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65C5D7CB">
      <w:pPr>
        <w:keepNext w:val="0"/>
        <w:keepLines w:val="0"/>
        <w:pageBreakBefore w:val="0"/>
        <w:widowControl w:val="0"/>
        <w:kinsoku/>
        <w:wordWrap/>
        <w:overflowPunct/>
        <w:topLinePunct w:val="0"/>
        <w:autoSpaceDE/>
        <w:autoSpaceDN/>
        <w:bidi w:val="0"/>
        <w:jc w:val="center"/>
        <w:textAlignment w:val="auto"/>
        <w:rPr>
          <w:rFonts w:hint="eastAsia" w:ascii="黑体" w:hAnsi="黑体" w:eastAsia="黑体" w:cs="黑体"/>
          <w:b/>
          <w:bCs/>
          <w:sz w:val="28"/>
          <w:szCs w:val="28"/>
        </w:rPr>
      </w:pPr>
    </w:p>
    <w:p w14:paraId="7A33D0F3">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宋体" w:hAnsi="宋体" w:eastAsia="宋体" w:cs="宋体"/>
          <w:b/>
          <w:bCs/>
          <w:sz w:val="52"/>
          <w:szCs w:val="52"/>
        </w:rPr>
      </w:pPr>
      <w:bookmarkStart w:id="0" w:name="_Toc17408"/>
      <w:bookmarkStart w:id="1" w:name="_Toc15233"/>
      <w:r>
        <w:rPr>
          <w:rFonts w:hint="eastAsia" w:ascii="宋体" w:hAnsi="宋体" w:eastAsia="宋体" w:cs="宋体"/>
          <w:b/>
          <w:bCs/>
          <w:sz w:val="52"/>
          <w:szCs w:val="52"/>
        </w:rPr>
        <w:t>中国石化销售有限公司</w:t>
      </w:r>
      <w:bookmarkEnd w:id="0"/>
      <w:bookmarkEnd w:id="1"/>
    </w:p>
    <w:p w14:paraId="2AB3A202">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宋体" w:hAnsi="宋体" w:eastAsia="宋体" w:cs="宋体"/>
          <w:b/>
          <w:bCs/>
          <w:sz w:val="52"/>
          <w:szCs w:val="52"/>
        </w:rPr>
      </w:pPr>
      <w:bookmarkStart w:id="2" w:name="_Toc7377"/>
      <w:bookmarkStart w:id="3" w:name="_Toc11381"/>
      <w:r>
        <w:rPr>
          <w:rFonts w:hint="eastAsia" w:ascii="宋体" w:hAnsi="宋体" w:eastAsia="宋体" w:cs="宋体"/>
          <w:b/>
          <w:bCs/>
          <w:sz w:val="52"/>
          <w:szCs w:val="52"/>
        </w:rPr>
        <w:t>江西余干石油分公司社庚加油站</w:t>
      </w:r>
      <w:bookmarkEnd w:id="2"/>
      <w:bookmarkEnd w:id="3"/>
    </w:p>
    <w:p w14:paraId="59925A65">
      <w:pPr>
        <w:keepNext w:val="0"/>
        <w:keepLines w:val="0"/>
        <w:pageBreakBefore w:val="0"/>
        <w:widowControl w:val="0"/>
        <w:kinsoku/>
        <w:wordWrap/>
        <w:overflowPunct/>
        <w:topLinePunct w:val="0"/>
        <w:autoSpaceDE/>
        <w:autoSpaceDN/>
        <w:bidi w:val="0"/>
        <w:adjustRightInd w:val="0"/>
        <w:snapToGrid w:val="0"/>
        <w:spacing w:before="313" w:beforeLines="100"/>
        <w:jc w:val="center"/>
        <w:textAlignment w:val="auto"/>
        <w:outlineLvl w:val="9"/>
        <w:rPr>
          <w:rFonts w:hint="eastAsia" w:asciiTheme="majorEastAsia" w:hAnsiTheme="majorEastAsia" w:eastAsiaTheme="majorEastAsia" w:cstheme="majorEastAsia"/>
          <w:b/>
          <w:bCs/>
          <w:sz w:val="52"/>
          <w:szCs w:val="52"/>
        </w:rPr>
      </w:pPr>
      <w:bookmarkStart w:id="4" w:name="_Toc11600"/>
      <w:bookmarkStart w:id="5" w:name="_Toc27323"/>
      <w:bookmarkStart w:id="6" w:name="_Toc23255"/>
      <w:bookmarkStart w:id="7" w:name="_Toc18607"/>
      <w:bookmarkStart w:id="8" w:name="_Toc14986"/>
      <w:r>
        <w:rPr>
          <w:rFonts w:hint="eastAsia" w:asciiTheme="majorEastAsia" w:hAnsiTheme="majorEastAsia" w:eastAsiaTheme="majorEastAsia" w:cstheme="majorEastAsia"/>
          <w:b/>
          <w:bCs/>
          <w:sz w:val="52"/>
          <w:szCs w:val="52"/>
        </w:rPr>
        <w:t>安全现状评价报告</w:t>
      </w:r>
      <w:bookmarkEnd w:id="4"/>
      <w:bookmarkEnd w:id="5"/>
      <w:bookmarkEnd w:id="6"/>
      <w:bookmarkEnd w:id="7"/>
      <w:bookmarkEnd w:id="8"/>
    </w:p>
    <w:p w14:paraId="26D78B2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宋体" w:hAnsi="宋体" w:eastAsia="宋体" w:cs="宋体"/>
          <w:b/>
          <w:bCs/>
          <w:sz w:val="44"/>
          <w:szCs w:val="44"/>
          <w:lang w:eastAsia="zh-CN"/>
        </w:rPr>
      </w:pPr>
      <w:r>
        <w:rPr>
          <w:rFonts w:hint="eastAsia" w:ascii="宋体" w:hAnsi="宋体" w:eastAsia="宋体" w:cs="宋体"/>
          <w:b/>
          <w:bCs/>
          <w:sz w:val="44"/>
          <w:szCs w:val="44"/>
          <w:lang w:val="en-US" w:eastAsia="zh-CN"/>
        </w:rPr>
        <w:t>（</w:t>
      </w:r>
      <w:r>
        <w:rPr>
          <w:rFonts w:hint="eastAsia" w:ascii="宋体" w:hAnsi="宋体" w:cs="宋体"/>
          <w:b/>
          <w:bCs/>
          <w:sz w:val="44"/>
          <w:szCs w:val="44"/>
          <w:lang w:val="en-US" w:eastAsia="zh-CN"/>
        </w:rPr>
        <w:t>终稿</w:t>
      </w:r>
      <w:r>
        <w:rPr>
          <w:rFonts w:hint="eastAsia" w:ascii="宋体" w:hAnsi="宋体" w:eastAsia="宋体" w:cs="宋体"/>
          <w:b/>
          <w:bCs/>
          <w:sz w:val="44"/>
          <w:szCs w:val="44"/>
          <w:lang w:eastAsia="zh-CN"/>
        </w:rPr>
        <w:t>）</w:t>
      </w:r>
    </w:p>
    <w:p w14:paraId="322EEBB3">
      <w:pPr>
        <w:keepNext w:val="0"/>
        <w:keepLines w:val="0"/>
        <w:pageBreakBefore w:val="0"/>
        <w:widowControl w:val="0"/>
        <w:kinsoku/>
        <w:wordWrap/>
        <w:overflowPunct/>
        <w:topLinePunct w:val="0"/>
        <w:autoSpaceDE/>
        <w:autoSpaceDN/>
        <w:bidi w:val="0"/>
        <w:adjustRightInd w:val="0"/>
        <w:snapToGrid w:val="0"/>
        <w:spacing w:before="7489" w:beforeLines="2400" w:line="360" w:lineRule="auto"/>
        <w:jc w:val="center"/>
        <w:textAlignment w:val="auto"/>
        <w:outlineLvl w:val="9"/>
        <w:rPr>
          <w:rFonts w:hint="eastAsia" w:ascii="宋体" w:hAnsi="宋体" w:eastAsia="宋体" w:cs="宋体"/>
          <w:b/>
          <w:bCs/>
          <w:sz w:val="44"/>
          <w:szCs w:val="44"/>
        </w:rPr>
      </w:pPr>
      <w:bookmarkStart w:id="9" w:name="_Toc6020"/>
      <w:bookmarkStart w:id="10" w:name="_Toc25111"/>
      <w:r>
        <w:rPr>
          <w:rFonts w:hint="eastAsia" w:ascii="宋体" w:hAnsi="宋体" w:eastAsia="宋体" w:cs="宋体"/>
          <w:b/>
          <w:bCs/>
          <w:sz w:val="44"/>
          <w:szCs w:val="44"/>
        </w:rPr>
        <w:t>江西赣安安全生产科学技术咨询服务中心</w:t>
      </w:r>
      <w:bookmarkEnd w:id="9"/>
      <w:bookmarkEnd w:id="10"/>
    </w:p>
    <w:p w14:paraId="29D1FF86">
      <w:pPr>
        <w:keepNext w:val="0"/>
        <w:keepLines w:val="0"/>
        <w:pageBreakBefore w:val="0"/>
        <w:widowControl w:val="0"/>
        <w:kinsoku/>
        <w:wordWrap/>
        <w:overflowPunct/>
        <w:topLinePunct w:val="0"/>
        <w:autoSpaceDE/>
        <w:autoSpaceDN/>
        <w:bidi w:val="0"/>
        <w:adjustRightInd w:val="0"/>
        <w:snapToGrid w:val="0"/>
        <w:spacing w:before="313" w:beforeLines="100" w:line="360" w:lineRule="auto"/>
        <w:jc w:val="center"/>
        <w:textAlignment w:val="auto"/>
        <w:outlineLvl w:val="9"/>
        <w:rPr>
          <w:rFonts w:hint="eastAsia" w:ascii="宋体" w:hAnsi="宋体" w:eastAsia="宋体" w:cs="宋体"/>
          <w:b/>
          <w:bCs/>
          <w:sz w:val="32"/>
          <w:szCs w:val="32"/>
        </w:rPr>
      </w:pPr>
      <w:bookmarkStart w:id="11" w:name="_Toc6860"/>
      <w:bookmarkStart w:id="12" w:name="_Toc16135"/>
      <w:r>
        <w:rPr>
          <w:rFonts w:hint="eastAsia" w:ascii="宋体" w:hAnsi="宋体" w:eastAsia="宋体" w:cs="宋体"/>
          <w:b/>
          <w:bCs/>
          <w:sz w:val="32"/>
          <w:szCs w:val="32"/>
        </w:rPr>
        <w:t>APJ-（赣）-002</w:t>
      </w:r>
      <w:bookmarkEnd w:id="11"/>
      <w:bookmarkEnd w:id="12"/>
    </w:p>
    <w:p w14:paraId="335A8950">
      <w:pPr>
        <w:keepNext w:val="0"/>
        <w:keepLines w:val="0"/>
        <w:pageBreakBefore w:val="0"/>
        <w:widowControl w:val="0"/>
        <w:kinsoku/>
        <w:wordWrap/>
        <w:overflowPunct/>
        <w:topLinePunct w:val="0"/>
        <w:autoSpaceDE/>
        <w:autoSpaceDN/>
        <w:bidi w:val="0"/>
        <w:adjustRightInd w:val="0"/>
        <w:snapToGrid w:val="0"/>
        <w:spacing w:before="313" w:beforeLines="100" w:line="360" w:lineRule="auto"/>
        <w:jc w:val="center"/>
        <w:textAlignment w:val="auto"/>
        <w:outlineLvl w:val="9"/>
        <w:rPr>
          <w:rFonts w:hint="eastAsia" w:ascii="宋体" w:hAnsi="宋体" w:eastAsia="宋体" w:cs="宋体"/>
          <w:b/>
          <w:bCs/>
          <w:sz w:val="32"/>
          <w:szCs w:val="32"/>
        </w:rPr>
      </w:pPr>
      <w:r>
        <w:rPr>
          <w:rFonts w:hint="eastAsia" w:ascii="宋体" w:hAnsi="宋体" w:eastAsia="宋体" w:cs="宋体"/>
          <w:b/>
          <w:bCs/>
          <w:sz w:val="32"/>
          <w:szCs w:val="32"/>
        </w:rPr>
        <w:t>202</w:t>
      </w:r>
      <w:r>
        <w:rPr>
          <w:rFonts w:hint="eastAsia" w:ascii="宋体" w:hAnsi="宋体" w:eastAsia="宋体" w:cs="宋体"/>
          <w:b/>
          <w:bCs/>
          <w:sz w:val="32"/>
          <w:szCs w:val="32"/>
          <w:lang w:val="en-US" w:eastAsia="zh-CN"/>
        </w:rPr>
        <w:t>4</w:t>
      </w:r>
      <w:r>
        <w:rPr>
          <w:rFonts w:hint="eastAsia" w:ascii="宋体" w:hAnsi="宋体" w:eastAsia="宋体" w:cs="宋体"/>
          <w:b/>
          <w:bCs/>
          <w:sz w:val="32"/>
          <w:szCs w:val="32"/>
        </w:rPr>
        <w:t>年</w:t>
      </w:r>
      <w:r>
        <w:rPr>
          <w:rFonts w:hint="eastAsia" w:ascii="宋体" w:hAnsi="宋体" w:eastAsia="宋体" w:cs="宋体"/>
          <w:b/>
          <w:bCs/>
          <w:sz w:val="32"/>
          <w:szCs w:val="32"/>
          <w:lang w:val="en-US" w:eastAsia="zh-CN"/>
        </w:rPr>
        <w:t>5</w:t>
      </w:r>
      <w:r>
        <w:rPr>
          <w:rFonts w:hint="eastAsia" w:ascii="宋体" w:hAnsi="宋体" w:eastAsia="宋体" w:cs="宋体"/>
          <w:b/>
          <w:bCs/>
          <w:sz w:val="32"/>
          <w:szCs w:val="32"/>
        </w:rPr>
        <w:t>月</w:t>
      </w:r>
      <w:r>
        <w:rPr>
          <w:rFonts w:hint="eastAsia" w:ascii="宋体" w:hAnsi="宋体" w:cs="宋体"/>
          <w:b/>
          <w:bCs/>
          <w:sz w:val="32"/>
          <w:szCs w:val="32"/>
          <w:lang w:val="en-US" w:eastAsia="zh-CN"/>
        </w:rPr>
        <w:t>20</w:t>
      </w:r>
      <w:r>
        <w:rPr>
          <w:rFonts w:hint="eastAsia" w:ascii="宋体" w:hAnsi="宋体" w:eastAsia="宋体" w:cs="宋体"/>
          <w:b/>
          <w:bCs/>
          <w:sz w:val="32"/>
          <w:szCs w:val="32"/>
        </w:rPr>
        <w:t>日</w:t>
      </w:r>
    </w:p>
    <w:p w14:paraId="2D35984D">
      <w:pPr>
        <w:keepNext w:val="0"/>
        <w:keepLines w:val="0"/>
        <w:pageBreakBefore w:val="0"/>
        <w:widowControl w:val="0"/>
        <w:kinsoku/>
        <w:wordWrap/>
        <w:overflowPunct/>
        <w:topLinePunct w:val="0"/>
        <w:autoSpaceDE/>
        <w:autoSpaceDN/>
        <w:bidi w:val="0"/>
        <w:adjustRightInd w:val="0"/>
        <w:snapToGrid w:val="0"/>
        <w:spacing w:before="625" w:beforeLines="200"/>
        <w:jc w:val="center"/>
        <w:textAlignment w:val="auto"/>
        <w:outlineLvl w:val="9"/>
        <w:rPr>
          <w:rFonts w:hint="eastAsia"/>
          <w:sz w:val="32"/>
          <w:szCs w:val="32"/>
        </w:rPr>
        <w:sectPr>
          <w:headerReference r:id="rId3" w:type="default"/>
          <w:footerReference r:id="rId4" w:type="default"/>
          <w:pgSz w:w="11906" w:h="16838"/>
          <w:pgMar w:top="1418" w:right="1418" w:bottom="1418" w:left="1418" w:header="851" w:footer="992" w:gutter="0"/>
          <w:pgNumType w:fmt="upperRoman" w:start="1"/>
          <w:cols w:space="0" w:num="1"/>
          <w:titlePg/>
          <w:docGrid w:type="lines" w:linePitch="312" w:charSpace="0"/>
        </w:sectPr>
      </w:pPr>
      <w:bookmarkStart w:id="13" w:name="_Toc29369"/>
      <w:bookmarkStart w:id="14" w:name="_Toc27694"/>
    </w:p>
    <w:p w14:paraId="54144408">
      <w:pPr>
        <w:pStyle w:val="2"/>
        <w:rPr>
          <w:rFonts w:hint="eastAsia"/>
        </w:rPr>
      </w:pPr>
    </w:p>
    <w:p w14:paraId="5393B90A">
      <w:pPr>
        <w:keepNext w:val="0"/>
        <w:keepLines w:val="0"/>
        <w:pageBreakBefore w:val="0"/>
        <w:widowControl w:val="0"/>
        <w:kinsoku/>
        <w:wordWrap/>
        <w:overflowPunct/>
        <w:topLinePunct w:val="0"/>
        <w:autoSpaceDE/>
        <w:autoSpaceDN/>
        <w:bidi w:val="0"/>
        <w:adjustRightInd w:val="0"/>
        <w:snapToGrid w:val="0"/>
        <w:spacing w:before="625" w:beforeLines="200"/>
        <w:jc w:val="center"/>
        <w:textAlignment w:val="auto"/>
        <w:outlineLvl w:val="9"/>
        <w:rPr>
          <w:rFonts w:hint="eastAsia"/>
          <w:sz w:val="32"/>
          <w:szCs w:val="32"/>
        </w:rPr>
      </w:pPr>
    </w:p>
    <w:p w14:paraId="1E8D9D5C">
      <w:pPr>
        <w:keepNext w:val="0"/>
        <w:keepLines w:val="0"/>
        <w:pageBreakBefore w:val="0"/>
        <w:widowControl w:val="0"/>
        <w:kinsoku/>
        <w:wordWrap/>
        <w:overflowPunct/>
        <w:topLinePunct w:val="0"/>
        <w:autoSpaceDE/>
        <w:autoSpaceDN/>
        <w:bidi w:val="0"/>
        <w:adjustRightInd w:val="0"/>
        <w:snapToGrid w:val="0"/>
        <w:spacing w:before="625" w:beforeLines="200"/>
        <w:jc w:val="center"/>
        <w:textAlignment w:val="auto"/>
        <w:outlineLvl w:val="9"/>
        <w:rPr>
          <w:b/>
          <w:bCs/>
          <w:sz w:val="36"/>
          <w:szCs w:val="36"/>
        </w:rPr>
      </w:pPr>
      <w:r>
        <w:rPr>
          <w:rFonts w:hint="eastAsia"/>
          <w:b/>
          <w:bCs/>
          <w:sz w:val="36"/>
          <w:szCs w:val="36"/>
        </w:rPr>
        <w:t>中国石化销售有限公司</w:t>
      </w:r>
      <w:bookmarkEnd w:id="13"/>
      <w:bookmarkEnd w:id="14"/>
    </w:p>
    <w:p w14:paraId="068D7770">
      <w:pPr>
        <w:keepNext w:val="0"/>
        <w:keepLines w:val="0"/>
        <w:pageBreakBefore w:val="0"/>
        <w:widowControl w:val="0"/>
        <w:kinsoku/>
        <w:wordWrap/>
        <w:overflowPunct/>
        <w:topLinePunct w:val="0"/>
        <w:autoSpaceDE/>
        <w:autoSpaceDN/>
        <w:bidi w:val="0"/>
        <w:adjustRightInd w:val="0"/>
        <w:snapToGrid w:val="0"/>
        <w:spacing w:before="313" w:beforeLines="100"/>
        <w:jc w:val="center"/>
        <w:textAlignment w:val="auto"/>
        <w:outlineLvl w:val="9"/>
        <w:rPr>
          <w:b/>
          <w:bCs/>
          <w:sz w:val="36"/>
          <w:szCs w:val="36"/>
        </w:rPr>
      </w:pPr>
      <w:bookmarkStart w:id="15" w:name="_Toc3918"/>
      <w:bookmarkStart w:id="16" w:name="_Toc6795"/>
      <w:r>
        <w:rPr>
          <w:rFonts w:hint="eastAsia"/>
          <w:b/>
          <w:bCs/>
          <w:sz w:val="36"/>
          <w:szCs w:val="36"/>
        </w:rPr>
        <w:t>江西余干石油分公司社庚加油站</w:t>
      </w:r>
      <w:bookmarkEnd w:id="15"/>
      <w:bookmarkEnd w:id="16"/>
    </w:p>
    <w:p w14:paraId="556935EE">
      <w:pPr>
        <w:keepNext w:val="0"/>
        <w:keepLines w:val="0"/>
        <w:pageBreakBefore w:val="0"/>
        <w:widowControl w:val="0"/>
        <w:kinsoku/>
        <w:wordWrap/>
        <w:overflowPunct/>
        <w:topLinePunct w:val="0"/>
        <w:autoSpaceDE/>
        <w:autoSpaceDN/>
        <w:bidi w:val="0"/>
        <w:adjustRightInd w:val="0"/>
        <w:snapToGrid w:val="0"/>
        <w:spacing w:before="313" w:beforeLines="100"/>
        <w:jc w:val="center"/>
        <w:textAlignment w:val="auto"/>
        <w:outlineLvl w:val="9"/>
        <w:rPr>
          <w:rFonts w:hint="eastAsia"/>
          <w:b/>
          <w:bCs/>
          <w:sz w:val="36"/>
          <w:szCs w:val="36"/>
        </w:rPr>
      </w:pPr>
      <w:bookmarkStart w:id="17" w:name="_Toc10477"/>
      <w:bookmarkStart w:id="18" w:name="_Toc12140"/>
      <w:r>
        <w:rPr>
          <w:rFonts w:hint="eastAsia"/>
          <w:b/>
          <w:bCs/>
          <w:sz w:val="36"/>
          <w:szCs w:val="36"/>
        </w:rPr>
        <w:t>安全现状评价报告</w:t>
      </w:r>
      <w:bookmarkEnd w:id="17"/>
      <w:bookmarkEnd w:id="18"/>
    </w:p>
    <w:p w14:paraId="3A20F2E1">
      <w:pPr>
        <w:pStyle w:val="18"/>
        <w:jc w:val="center"/>
        <w:rPr>
          <w:rFonts w:hint="eastAsia"/>
          <w:b/>
          <w:bCs/>
          <w:sz w:val="36"/>
          <w:szCs w:val="36"/>
          <w:lang w:val="en-US" w:eastAsia="zh-CN"/>
        </w:rPr>
      </w:pPr>
      <w:r>
        <w:rPr>
          <w:rFonts w:hint="eastAsia"/>
          <w:b/>
          <w:bCs/>
          <w:sz w:val="36"/>
          <w:szCs w:val="36"/>
          <w:lang w:eastAsia="zh-CN"/>
        </w:rPr>
        <w:t>（</w:t>
      </w:r>
      <w:r>
        <w:rPr>
          <w:rFonts w:hint="eastAsia"/>
          <w:b/>
          <w:bCs/>
          <w:sz w:val="36"/>
          <w:szCs w:val="36"/>
          <w:lang w:val="en-US" w:eastAsia="zh-CN"/>
        </w:rPr>
        <w:t>终稿）</w:t>
      </w:r>
    </w:p>
    <w:p w14:paraId="7EF1BE43">
      <w:pPr>
        <w:keepNext w:val="0"/>
        <w:keepLines w:val="0"/>
        <w:pageBreakBefore w:val="0"/>
        <w:widowControl w:val="0"/>
        <w:kinsoku/>
        <w:wordWrap/>
        <w:overflowPunct/>
        <w:topLinePunct w:val="0"/>
        <w:autoSpaceDE/>
        <w:autoSpaceDN/>
        <w:bidi w:val="0"/>
        <w:adjustRightInd w:val="0"/>
        <w:snapToGrid w:val="0"/>
        <w:spacing w:before="4681" w:beforeLines="1500" w:line="360" w:lineRule="auto"/>
        <w:jc w:val="center"/>
        <w:textAlignment w:val="auto"/>
        <w:outlineLvl w:val="9"/>
        <w:rPr>
          <w:rFonts w:hint="eastAsia" w:ascii="宋体" w:hAnsi="宋体" w:eastAsia="宋体" w:cs="宋体"/>
          <w:b w:val="0"/>
          <w:bCs w:val="0"/>
          <w:sz w:val="32"/>
          <w:szCs w:val="32"/>
        </w:rPr>
      </w:pPr>
      <w:r>
        <w:rPr>
          <w:rFonts w:hint="eastAsia" w:ascii="宋体" w:hAnsi="宋体" w:eastAsia="宋体" w:cs="宋体"/>
          <w:b w:val="0"/>
          <w:bCs w:val="0"/>
          <w:sz w:val="32"/>
          <w:szCs w:val="32"/>
        </w:rPr>
        <w:t>法定代表人：应  宏</w:t>
      </w:r>
    </w:p>
    <w:p w14:paraId="11C168D1">
      <w:pPr>
        <w:keepNext w:val="0"/>
        <w:keepLines w:val="0"/>
        <w:pageBreakBefore w:val="0"/>
        <w:widowControl w:val="0"/>
        <w:kinsoku/>
        <w:wordWrap/>
        <w:overflowPunct/>
        <w:topLinePunct w:val="0"/>
        <w:autoSpaceDE/>
        <w:autoSpaceDN/>
        <w:bidi w:val="0"/>
        <w:adjustRightInd w:val="0"/>
        <w:snapToGrid w:val="0"/>
        <w:spacing w:before="313" w:beforeLines="100" w:line="360" w:lineRule="auto"/>
        <w:jc w:val="center"/>
        <w:textAlignment w:val="auto"/>
        <w:outlineLvl w:val="9"/>
        <w:rPr>
          <w:rFonts w:hint="eastAsia" w:ascii="宋体" w:hAnsi="宋体" w:eastAsia="宋体" w:cs="宋体"/>
          <w:b w:val="0"/>
          <w:bCs w:val="0"/>
          <w:sz w:val="32"/>
          <w:szCs w:val="32"/>
        </w:rPr>
      </w:pPr>
      <w:r>
        <w:rPr>
          <w:rFonts w:hint="eastAsia" w:ascii="宋体" w:hAnsi="宋体" w:eastAsia="宋体" w:cs="宋体"/>
          <w:b w:val="0"/>
          <w:bCs w:val="0"/>
          <w:sz w:val="32"/>
          <w:szCs w:val="32"/>
        </w:rPr>
        <w:t>技术负责人：周红波</w:t>
      </w:r>
    </w:p>
    <w:p w14:paraId="04537D1A">
      <w:pPr>
        <w:keepNext w:val="0"/>
        <w:keepLines w:val="0"/>
        <w:pageBreakBefore w:val="0"/>
        <w:widowControl w:val="0"/>
        <w:kinsoku/>
        <w:wordWrap/>
        <w:overflowPunct/>
        <w:topLinePunct w:val="0"/>
        <w:autoSpaceDE/>
        <w:autoSpaceDN/>
        <w:bidi w:val="0"/>
        <w:adjustRightInd w:val="0"/>
        <w:snapToGrid w:val="0"/>
        <w:spacing w:before="313" w:beforeLines="100" w:line="360" w:lineRule="auto"/>
        <w:jc w:val="center"/>
        <w:textAlignment w:val="auto"/>
        <w:outlineLvl w:val="9"/>
        <w:rPr>
          <w:rFonts w:hint="eastAsia" w:ascii="宋体" w:hAnsi="宋体" w:eastAsia="宋体" w:cs="宋体"/>
          <w:b w:val="0"/>
          <w:bCs w:val="0"/>
          <w:sz w:val="32"/>
          <w:szCs w:val="32"/>
          <w:lang w:eastAsia="zh-CN"/>
        </w:rPr>
      </w:pPr>
      <w:r>
        <w:rPr>
          <w:rFonts w:hint="eastAsia" w:ascii="宋体" w:hAnsi="宋体" w:eastAsia="宋体" w:cs="宋体"/>
          <w:b w:val="0"/>
          <w:bCs w:val="0"/>
          <w:sz w:val="32"/>
          <w:szCs w:val="32"/>
        </w:rPr>
        <w:t>项目负责人：</w:t>
      </w:r>
      <w:r>
        <w:rPr>
          <w:rFonts w:hint="eastAsia" w:ascii="宋体" w:hAnsi="宋体" w:cs="宋体"/>
          <w:b w:val="0"/>
          <w:bCs w:val="0"/>
          <w:sz w:val="32"/>
          <w:szCs w:val="32"/>
          <w:lang w:val="en-US" w:eastAsia="zh-CN"/>
        </w:rPr>
        <w:t>谢寒梅</w:t>
      </w:r>
    </w:p>
    <w:p w14:paraId="7B63135C">
      <w:pPr>
        <w:keepNext w:val="0"/>
        <w:keepLines w:val="0"/>
        <w:pageBreakBefore w:val="0"/>
        <w:widowControl w:val="0"/>
        <w:kinsoku/>
        <w:wordWrap/>
        <w:overflowPunct/>
        <w:topLinePunct w:val="0"/>
        <w:autoSpaceDE/>
        <w:autoSpaceDN/>
        <w:bidi w:val="0"/>
        <w:adjustRightInd w:val="0"/>
        <w:snapToGrid w:val="0"/>
        <w:spacing w:before="313" w:beforeLines="100" w:line="360" w:lineRule="auto"/>
        <w:jc w:val="center"/>
        <w:textAlignment w:val="auto"/>
        <w:outlineLvl w:val="9"/>
        <w:rPr>
          <w:rFonts w:hint="eastAsia" w:ascii="宋体" w:hAnsi="宋体" w:eastAsia="宋体" w:cs="宋体"/>
          <w:b w:val="0"/>
          <w:bCs w:val="0"/>
          <w:sz w:val="32"/>
          <w:szCs w:val="32"/>
        </w:rPr>
      </w:pPr>
      <w:r>
        <w:rPr>
          <w:rFonts w:hint="eastAsia" w:ascii="宋体" w:hAnsi="宋体" w:eastAsia="宋体" w:cs="宋体"/>
          <w:b w:val="0"/>
          <w:bCs w:val="0"/>
          <w:sz w:val="32"/>
          <w:szCs w:val="32"/>
        </w:rPr>
        <w:t>评价报告完成日期：202</w:t>
      </w:r>
      <w:r>
        <w:rPr>
          <w:rFonts w:hint="eastAsia" w:ascii="宋体" w:hAnsi="宋体" w:cs="宋体"/>
          <w:b w:val="0"/>
          <w:bCs w:val="0"/>
          <w:sz w:val="32"/>
          <w:szCs w:val="32"/>
          <w:lang w:val="en-US" w:eastAsia="zh-CN"/>
        </w:rPr>
        <w:t>4</w:t>
      </w:r>
      <w:r>
        <w:rPr>
          <w:rFonts w:hint="eastAsia" w:ascii="宋体" w:hAnsi="宋体" w:eastAsia="宋体" w:cs="宋体"/>
          <w:b w:val="0"/>
          <w:bCs w:val="0"/>
          <w:sz w:val="32"/>
          <w:szCs w:val="32"/>
        </w:rPr>
        <w:t>年</w:t>
      </w:r>
      <w:r>
        <w:rPr>
          <w:rFonts w:hint="eastAsia" w:ascii="宋体" w:hAnsi="宋体" w:cs="宋体"/>
          <w:b w:val="0"/>
          <w:bCs w:val="0"/>
          <w:sz w:val="32"/>
          <w:szCs w:val="32"/>
          <w:lang w:val="en-US" w:eastAsia="zh-CN"/>
        </w:rPr>
        <w:t>5</w:t>
      </w:r>
      <w:r>
        <w:rPr>
          <w:rFonts w:hint="eastAsia" w:ascii="宋体" w:hAnsi="宋体" w:eastAsia="宋体" w:cs="宋体"/>
          <w:b w:val="0"/>
          <w:bCs w:val="0"/>
          <w:sz w:val="32"/>
          <w:szCs w:val="32"/>
        </w:rPr>
        <w:t>月</w:t>
      </w:r>
      <w:r>
        <w:rPr>
          <w:rFonts w:hint="eastAsia" w:ascii="宋体" w:hAnsi="宋体" w:cs="宋体"/>
          <w:b w:val="0"/>
          <w:bCs w:val="0"/>
          <w:sz w:val="32"/>
          <w:szCs w:val="32"/>
          <w:lang w:val="en-US" w:eastAsia="zh-CN"/>
        </w:rPr>
        <w:t>20</w:t>
      </w:r>
      <w:r>
        <w:rPr>
          <w:rFonts w:hint="eastAsia" w:ascii="宋体" w:hAnsi="宋体" w:eastAsia="宋体" w:cs="宋体"/>
          <w:b w:val="0"/>
          <w:bCs w:val="0"/>
          <w:sz w:val="32"/>
          <w:szCs w:val="32"/>
        </w:rPr>
        <w:t>日</w:t>
      </w:r>
    </w:p>
    <w:p w14:paraId="77A4BF69">
      <w:pPr>
        <w:rPr>
          <w:rFonts w:hint="eastAsia" w:cs="宋体"/>
          <w:b/>
          <w:bCs/>
          <w:color w:val="C00000"/>
          <w:sz w:val="28"/>
          <w:szCs w:val="28"/>
        </w:rPr>
      </w:pPr>
      <w:r>
        <w:rPr>
          <w:rFonts w:hint="eastAsia" w:cs="宋体"/>
          <w:b/>
          <w:bCs/>
          <w:color w:val="C00000"/>
          <w:sz w:val="28"/>
          <w:szCs w:val="28"/>
        </w:rPr>
        <w:br w:type="page"/>
      </w:r>
    </w:p>
    <w:p w14:paraId="3039A873">
      <w:pPr>
        <w:bidi w:val="0"/>
        <w:rPr>
          <w:rFonts w:hint="eastAsia"/>
          <w:lang w:eastAsia="zh-CN"/>
        </w:rPr>
      </w:pPr>
      <w:r>
        <w:rPr>
          <w:rFonts w:hint="eastAsia"/>
          <w:lang w:eastAsia="zh-CN"/>
        </w:rPr>
        <w:drawing>
          <wp:inline distT="0" distB="0" distL="114300" distR="114300">
            <wp:extent cx="5759450" cy="8721725"/>
            <wp:effectExtent l="0" t="0" r="12700" b="3175"/>
            <wp:docPr id="89" name="图片 89" descr="赣安资质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赣安资质图片"/>
                    <pic:cNvPicPr>
                      <a:picLocks noChangeAspect="1"/>
                    </pic:cNvPicPr>
                  </pic:nvPicPr>
                  <pic:blipFill>
                    <a:blip r:embed="rId9"/>
                    <a:stretch>
                      <a:fillRect/>
                    </a:stretch>
                  </pic:blipFill>
                  <pic:spPr>
                    <a:xfrm>
                      <a:off x="0" y="0"/>
                      <a:ext cx="5759450" cy="8721725"/>
                    </a:xfrm>
                    <a:prstGeom prst="rect">
                      <a:avLst/>
                    </a:prstGeom>
                  </pic:spPr>
                </pic:pic>
              </a:graphicData>
            </a:graphic>
          </wp:inline>
        </w:drawing>
      </w:r>
    </w:p>
    <w:p w14:paraId="09E0256B">
      <w:pPr>
        <w:keepNext w:val="0"/>
        <w:keepLines w:val="0"/>
        <w:pageBreakBefore w:val="0"/>
        <w:widowControl w:val="0"/>
        <w:kinsoku/>
        <w:wordWrap/>
        <w:overflowPunct/>
        <w:topLinePunct w:val="0"/>
        <w:autoSpaceDE/>
        <w:autoSpaceDN/>
        <w:bidi w:val="0"/>
        <w:adjustRightInd w:val="0"/>
        <w:snapToGrid w:val="0"/>
        <w:spacing w:before="1249" w:beforeLines="400"/>
        <w:jc w:val="center"/>
        <w:textAlignment w:val="auto"/>
        <w:outlineLvl w:val="9"/>
        <w:rPr>
          <w:rFonts w:hint="eastAsia"/>
          <w:sz w:val="36"/>
          <w:szCs w:val="36"/>
        </w:rPr>
      </w:pPr>
      <w:bookmarkStart w:id="19" w:name="_Toc1199"/>
      <w:bookmarkStart w:id="20" w:name="_Toc16519"/>
    </w:p>
    <w:p w14:paraId="2856EE6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outlineLvl w:val="9"/>
        <w:rPr>
          <w:rFonts w:hint="eastAsia"/>
          <w:b/>
          <w:bCs/>
          <w:sz w:val="28"/>
          <w:szCs w:val="28"/>
        </w:rPr>
      </w:pPr>
      <w:r>
        <w:rPr>
          <w:rFonts w:hint="eastAsia"/>
          <w:b/>
          <w:bCs/>
          <w:sz w:val="28"/>
          <w:szCs w:val="28"/>
        </w:rPr>
        <w:t>中国石化销售有限公司</w:t>
      </w:r>
      <w:bookmarkEnd w:id="19"/>
      <w:bookmarkEnd w:id="20"/>
    </w:p>
    <w:p w14:paraId="16F93A09">
      <w:pPr>
        <w:keepNext w:val="0"/>
        <w:keepLines w:val="0"/>
        <w:pageBreakBefore w:val="0"/>
        <w:widowControl w:val="0"/>
        <w:kinsoku/>
        <w:wordWrap/>
        <w:overflowPunct/>
        <w:topLinePunct w:val="0"/>
        <w:autoSpaceDE/>
        <w:autoSpaceDN/>
        <w:bidi w:val="0"/>
        <w:adjustRightInd w:val="0"/>
        <w:snapToGrid w:val="0"/>
        <w:spacing w:before="313" w:beforeLines="100" w:line="400" w:lineRule="exact"/>
        <w:jc w:val="center"/>
        <w:textAlignment w:val="auto"/>
        <w:outlineLvl w:val="9"/>
        <w:rPr>
          <w:rFonts w:hint="eastAsia"/>
          <w:b/>
          <w:bCs/>
          <w:sz w:val="28"/>
          <w:szCs w:val="28"/>
        </w:rPr>
      </w:pPr>
      <w:bookmarkStart w:id="21" w:name="_Toc17380"/>
      <w:bookmarkStart w:id="22" w:name="_Toc24194"/>
      <w:r>
        <w:rPr>
          <w:rFonts w:hint="eastAsia"/>
          <w:b/>
          <w:bCs/>
          <w:sz w:val="28"/>
          <w:szCs w:val="28"/>
        </w:rPr>
        <w:t>江西余干石油分公司社庚加油站</w:t>
      </w:r>
    </w:p>
    <w:bookmarkEnd w:id="21"/>
    <w:bookmarkEnd w:id="22"/>
    <w:p w14:paraId="50AB6430">
      <w:pPr>
        <w:keepNext w:val="0"/>
        <w:keepLines w:val="0"/>
        <w:pageBreakBefore w:val="0"/>
        <w:widowControl w:val="0"/>
        <w:kinsoku/>
        <w:wordWrap/>
        <w:overflowPunct/>
        <w:topLinePunct w:val="0"/>
        <w:autoSpaceDE/>
        <w:autoSpaceDN/>
        <w:bidi w:val="0"/>
        <w:adjustRightInd w:val="0"/>
        <w:snapToGrid w:val="0"/>
        <w:spacing w:before="313" w:beforeLines="100" w:line="400" w:lineRule="exact"/>
        <w:jc w:val="center"/>
        <w:textAlignment w:val="auto"/>
        <w:outlineLvl w:val="9"/>
        <w:rPr>
          <w:rFonts w:hint="eastAsia"/>
          <w:b/>
          <w:bCs/>
          <w:sz w:val="28"/>
          <w:szCs w:val="28"/>
        </w:rPr>
      </w:pPr>
      <w:bookmarkStart w:id="23" w:name="_Toc25598"/>
      <w:bookmarkStart w:id="24" w:name="_Toc5347"/>
      <w:r>
        <w:rPr>
          <w:rFonts w:hint="eastAsia"/>
          <w:b/>
          <w:bCs/>
          <w:sz w:val="28"/>
          <w:szCs w:val="28"/>
        </w:rPr>
        <w:t>安全现状评价报告</w:t>
      </w:r>
    </w:p>
    <w:p w14:paraId="32289C6E">
      <w:pPr>
        <w:keepNext w:val="0"/>
        <w:keepLines w:val="0"/>
        <w:pageBreakBefore w:val="0"/>
        <w:widowControl w:val="0"/>
        <w:kinsoku/>
        <w:wordWrap/>
        <w:overflowPunct/>
        <w:topLinePunct w:val="0"/>
        <w:autoSpaceDE/>
        <w:autoSpaceDN/>
        <w:bidi w:val="0"/>
        <w:adjustRightInd/>
        <w:snapToGrid/>
        <w:spacing w:before="625" w:beforeLines="200" w:line="400" w:lineRule="exact"/>
        <w:jc w:val="center"/>
        <w:textAlignment w:val="auto"/>
        <w:outlineLvl w:val="9"/>
        <w:rPr>
          <w:b/>
          <w:bCs/>
          <w:sz w:val="28"/>
          <w:szCs w:val="28"/>
        </w:rPr>
      </w:pPr>
      <w:r>
        <w:rPr>
          <w:rFonts w:hint="eastAsia"/>
          <w:b/>
          <w:bCs/>
          <w:sz w:val="28"/>
          <w:szCs w:val="28"/>
        </w:rPr>
        <w:t>安全评价技术服务承诺书</w:t>
      </w:r>
      <w:bookmarkEnd w:id="23"/>
      <w:bookmarkEnd w:id="24"/>
    </w:p>
    <w:p w14:paraId="35820C94">
      <w:pPr>
        <w:keepNext w:val="0"/>
        <w:keepLines w:val="0"/>
        <w:pageBreakBefore w:val="0"/>
        <w:widowControl/>
        <w:kinsoku/>
        <w:wordWrap w:val="0"/>
        <w:overflowPunct/>
        <w:topLinePunct w:val="0"/>
        <w:autoSpaceDE/>
        <w:autoSpaceDN/>
        <w:bidi w:val="0"/>
        <w:adjustRightInd w:val="0"/>
        <w:snapToGrid w:val="0"/>
        <w:spacing w:before="937" w:beforeLines="300" w:line="425" w:lineRule="auto"/>
        <w:ind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一、在本项目安全评价活动过程中，我单位严格遵守《安全生产法》及相关法律、法规和标准的要求。</w:t>
      </w:r>
    </w:p>
    <w:p w14:paraId="1B92DD74">
      <w:pPr>
        <w:keepNext w:val="0"/>
        <w:keepLines w:val="0"/>
        <w:pageBreakBefore w:val="0"/>
        <w:widowControl/>
        <w:kinsoku/>
        <w:wordWrap w:val="0"/>
        <w:overflowPunct/>
        <w:topLinePunct w:val="0"/>
        <w:autoSpaceDE/>
        <w:autoSpaceDN/>
        <w:bidi w:val="0"/>
        <w:adjustRightInd/>
        <w:snapToGrid w:val="0"/>
        <w:spacing w:line="360" w:lineRule="auto"/>
        <w:ind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二、在本项目安全评价活动过程中，我单位作为第三方，未受到任何组织和个人的干预和影响，依法独立开展工作，保证了技术服务活动的客观公正性。</w:t>
      </w:r>
    </w:p>
    <w:p w14:paraId="3FE749C8">
      <w:pPr>
        <w:keepNext w:val="0"/>
        <w:keepLines w:val="0"/>
        <w:pageBreakBefore w:val="0"/>
        <w:widowControl/>
        <w:kinsoku/>
        <w:wordWrap w:val="0"/>
        <w:overflowPunct/>
        <w:topLinePunct w:val="0"/>
        <w:autoSpaceDE/>
        <w:autoSpaceDN/>
        <w:bidi w:val="0"/>
        <w:adjustRightInd w:val="0"/>
        <w:snapToGrid w:val="0"/>
        <w:spacing w:line="360" w:lineRule="auto"/>
        <w:ind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rPr>
        <w:t>三、我单位按照实事求是的原则，对本项目进行安全评价，确保出具的报告均真实有效，报告所提出的措施具有针对性、有效性和可行性。</w:t>
      </w:r>
    </w:p>
    <w:p w14:paraId="5DC0A4F2">
      <w:pPr>
        <w:keepNext w:val="0"/>
        <w:keepLines w:val="0"/>
        <w:pageBreakBefore w:val="0"/>
        <w:widowControl/>
        <w:kinsoku/>
        <w:wordWrap w:val="0"/>
        <w:overflowPunct/>
        <w:topLinePunct w:val="0"/>
        <w:autoSpaceDE/>
        <w:autoSpaceDN/>
        <w:bidi w:val="0"/>
        <w:adjustRightInd w:val="0"/>
        <w:snapToGrid w:val="0"/>
        <w:spacing w:line="360" w:lineRule="auto"/>
        <w:ind w:firstLine="560" w:firstLineChars="200"/>
        <w:jc w:val="left"/>
        <w:textAlignment w:val="auto"/>
        <w:outlineLvl w:val="9"/>
        <w:rPr>
          <w:rFonts w:hint="eastAsia" w:ascii="宋体" w:hAnsi="宋体" w:eastAsia="宋体" w:cs="宋体"/>
          <w:kern w:val="0"/>
          <w:sz w:val="28"/>
          <w:szCs w:val="28"/>
        </w:rPr>
      </w:pPr>
      <w:bookmarkStart w:id="25" w:name="_Toc11022"/>
      <w:bookmarkStart w:id="26" w:name="_Toc29729"/>
      <w:r>
        <w:rPr>
          <w:rFonts w:hint="eastAsia" w:ascii="宋体" w:hAnsi="宋体" w:eastAsia="宋体" w:cs="宋体"/>
          <w:kern w:val="0"/>
          <w:sz w:val="28"/>
          <w:szCs w:val="28"/>
        </w:rPr>
        <w:t>四、我单位对本项目安全评价报告中结论性内容承担法律责任。</w:t>
      </w:r>
      <w:bookmarkEnd w:id="25"/>
      <w:bookmarkEnd w:id="26"/>
    </w:p>
    <w:p w14:paraId="0A45B525">
      <w:pPr>
        <w:keepNext w:val="0"/>
        <w:keepLines w:val="0"/>
        <w:pageBreakBefore w:val="0"/>
        <w:widowControl/>
        <w:kinsoku/>
        <w:wordWrap w:val="0"/>
        <w:overflowPunct/>
        <w:topLinePunct w:val="0"/>
        <w:autoSpaceDE/>
        <w:autoSpaceDN/>
        <w:bidi w:val="0"/>
        <w:adjustRightInd w:val="0"/>
        <w:snapToGrid w:val="0"/>
        <w:spacing w:before="1249" w:beforeLines="400" w:line="360" w:lineRule="auto"/>
        <w:jc w:val="right"/>
        <w:textAlignment w:val="auto"/>
        <w:rPr>
          <w:rFonts w:hint="eastAsia" w:asciiTheme="majorEastAsia" w:hAnsiTheme="majorEastAsia" w:eastAsiaTheme="majorEastAsia" w:cstheme="majorEastAsia"/>
          <w:kern w:val="0"/>
          <w:sz w:val="28"/>
          <w:szCs w:val="28"/>
        </w:rPr>
      </w:pPr>
      <w:r>
        <w:rPr>
          <w:rFonts w:hint="eastAsia" w:asciiTheme="majorEastAsia" w:hAnsiTheme="majorEastAsia" w:eastAsiaTheme="majorEastAsia" w:cstheme="majorEastAsia"/>
          <w:kern w:val="0"/>
          <w:sz w:val="28"/>
          <w:szCs w:val="28"/>
        </w:rPr>
        <w:t>江西赣安安全生产科学技术咨询服务中心</w:t>
      </w:r>
    </w:p>
    <w:p w14:paraId="2C4E7D31">
      <w:pPr>
        <w:keepNext w:val="0"/>
        <w:keepLines w:val="0"/>
        <w:pageBreakBefore w:val="0"/>
        <w:widowControl/>
        <w:kinsoku/>
        <w:wordWrap w:val="0"/>
        <w:overflowPunct/>
        <w:topLinePunct w:val="0"/>
        <w:autoSpaceDE/>
        <w:autoSpaceDN/>
        <w:bidi w:val="0"/>
        <w:adjustRightInd w:val="0"/>
        <w:snapToGrid w:val="0"/>
        <w:spacing w:line="360" w:lineRule="auto"/>
        <w:ind w:firstLine="560" w:firstLineChars="200"/>
        <w:jc w:val="right"/>
        <w:textAlignment w:val="auto"/>
        <w:outlineLvl w:val="9"/>
        <w:rPr>
          <w:rFonts w:hint="eastAsia" w:ascii="宋体" w:hAnsi="宋体" w:eastAsia="宋体" w:cs="宋体"/>
          <w:kern w:val="0"/>
          <w:sz w:val="28"/>
          <w:szCs w:val="28"/>
        </w:rPr>
      </w:pPr>
      <w:r>
        <w:rPr>
          <w:rFonts w:hint="eastAsia" w:ascii="宋体" w:hAnsi="宋体" w:eastAsia="宋体" w:cs="宋体"/>
          <w:kern w:val="0"/>
          <w:sz w:val="28"/>
          <w:szCs w:val="28"/>
        </w:rPr>
        <w:t>202</w:t>
      </w:r>
      <w:r>
        <w:rPr>
          <w:rFonts w:hint="eastAsia" w:ascii="宋体" w:hAnsi="宋体" w:eastAsia="宋体" w:cs="宋体"/>
          <w:kern w:val="0"/>
          <w:sz w:val="28"/>
          <w:szCs w:val="28"/>
          <w:lang w:val="en-US" w:eastAsia="zh-CN"/>
        </w:rPr>
        <w:t>4</w:t>
      </w:r>
      <w:r>
        <w:rPr>
          <w:rFonts w:hint="eastAsia" w:ascii="宋体" w:hAnsi="宋体" w:eastAsia="宋体" w:cs="宋体"/>
          <w:kern w:val="0"/>
          <w:sz w:val="28"/>
          <w:szCs w:val="28"/>
        </w:rPr>
        <w:t>年0</w:t>
      </w:r>
      <w:r>
        <w:rPr>
          <w:rFonts w:hint="eastAsia" w:ascii="宋体" w:hAnsi="宋体" w:eastAsia="宋体" w:cs="宋体"/>
          <w:kern w:val="0"/>
          <w:sz w:val="28"/>
          <w:szCs w:val="28"/>
          <w:lang w:val="en-US" w:eastAsia="zh-CN"/>
        </w:rPr>
        <w:t>5</w:t>
      </w:r>
      <w:r>
        <w:rPr>
          <w:rFonts w:hint="eastAsia" w:ascii="宋体" w:hAnsi="宋体" w:eastAsia="宋体" w:cs="宋体"/>
          <w:kern w:val="0"/>
          <w:sz w:val="28"/>
          <w:szCs w:val="28"/>
        </w:rPr>
        <w:t>月</w:t>
      </w:r>
      <w:r>
        <w:rPr>
          <w:rFonts w:hint="eastAsia" w:ascii="宋体" w:hAnsi="宋体" w:cs="宋体"/>
          <w:kern w:val="0"/>
          <w:sz w:val="28"/>
          <w:szCs w:val="28"/>
          <w:lang w:val="en-US" w:eastAsia="zh-CN"/>
        </w:rPr>
        <w:t>20</w:t>
      </w:r>
      <w:r>
        <w:rPr>
          <w:rFonts w:hint="eastAsia" w:ascii="宋体" w:hAnsi="宋体" w:eastAsia="宋体" w:cs="宋体"/>
          <w:kern w:val="0"/>
          <w:sz w:val="28"/>
          <w:szCs w:val="28"/>
        </w:rPr>
        <w:t>日</w:t>
      </w:r>
    </w:p>
    <w:p w14:paraId="38D48F44">
      <w:pPr>
        <w:rPr>
          <w:rFonts w:ascii="仿宋" w:hAnsi="仿宋" w:eastAsia="仿宋" w:cs="Times New Roman"/>
          <w:kern w:val="0"/>
          <w:sz w:val="32"/>
          <w:szCs w:val="32"/>
        </w:rPr>
      </w:pPr>
      <w:r>
        <w:rPr>
          <w:rFonts w:hint="eastAsia" w:asciiTheme="majorEastAsia" w:hAnsiTheme="majorEastAsia" w:eastAsiaTheme="majorEastAsia" w:cstheme="majorEastAsia"/>
          <w:color w:val="C00000"/>
          <w:kern w:val="0"/>
          <w:sz w:val="28"/>
          <w:szCs w:val="28"/>
        </w:rPr>
        <w:br w:type="page"/>
      </w:r>
    </w:p>
    <w:p w14:paraId="12E6112D">
      <w:pPr>
        <w:widowControl/>
        <w:wordWrap w:val="0"/>
        <w:spacing w:line="425" w:lineRule="auto"/>
        <w:jc w:val="left"/>
        <w:rPr>
          <w:rFonts w:ascii="仿宋" w:hAnsi="仿宋" w:eastAsia="仿宋" w:cs="Times New Roman"/>
          <w:kern w:val="0"/>
          <w:sz w:val="32"/>
          <w:szCs w:val="32"/>
        </w:rPr>
      </w:pPr>
    </w:p>
    <w:p w14:paraId="47780181">
      <w:pPr>
        <w:bidi w:val="0"/>
        <w:jc w:val="center"/>
        <w:rPr>
          <w:rFonts w:hint="eastAsia" w:ascii="方正公文小标宋" w:hAnsi="方正公文小标宋" w:eastAsia="方正公文小标宋" w:cs="方正公文小标宋"/>
          <w:sz w:val="44"/>
          <w:szCs w:val="44"/>
        </w:rPr>
      </w:pPr>
      <w:bookmarkStart w:id="27" w:name="_Toc11764"/>
      <w:bookmarkStart w:id="28" w:name="_Toc9592"/>
      <w:r>
        <w:rPr>
          <w:rFonts w:hint="eastAsia" w:ascii="方正公文小标宋" w:hAnsi="方正公文小标宋" w:eastAsia="方正公文小标宋" w:cs="方正公文小标宋"/>
          <w:sz w:val="44"/>
          <w:szCs w:val="44"/>
        </w:rPr>
        <w:t>规范安全生产中介行为的九条禁令</w:t>
      </w:r>
      <w:bookmarkEnd w:id="27"/>
      <w:bookmarkEnd w:id="28"/>
    </w:p>
    <w:p w14:paraId="32D2D6D6">
      <w:pPr>
        <w:pStyle w:val="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0"/>
        <w:jc w:val="center"/>
        <w:textAlignment w:val="auto"/>
        <w:outlineLvl w:val="9"/>
        <w:rPr>
          <w:rFonts w:hint="eastAsia" w:ascii="方正小标宋简体" w:hAnsi="方正小标宋简体" w:eastAsia="方正小标宋简体" w:cs="方正小标宋简体"/>
          <w:sz w:val="44"/>
          <w:szCs w:val="44"/>
        </w:rPr>
      </w:pPr>
    </w:p>
    <w:p w14:paraId="55C8BB2E">
      <w:pPr>
        <w:bidi w:val="0"/>
        <w:rPr>
          <w:sz w:val="28"/>
          <w:szCs w:val="28"/>
        </w:rPr>
      </w:pPr>
      <w:r>
        <w:rPr>
          <w:rFonts w:hint="eastAsia"/>
          <w:sz w:val="28"/>
          <w:szCs w:val="28"/>
        </w:rPr>
        <w:t>一、禁止从事安全生产和职业卫生服务的中介服务机构（以下统称中介机构）租借资质证书、非法挂靠、转包服务项目的行为；</w:t>
      </w:r>
    </w:p>
    <w:p w14:paraId="5AA2D4B7">
      <w:pPr>
        <w:bidi w:val="0"/>
        <w:rPr>
          <w:sz w:val="28"/>
          <w:szCs w:val="28"/>
        </w:rPr>
      </w:pPr>
      <w:r>
        <w:rPr>
          <w:rFonts w:hint="eastAsia"/>
          <w:sz w:val="28"/>
          <w:szCs w:val="28"/>
        </w:rPr>
        <w:t>二、禁止中介机构假借、冒用他人名义要求服务对象接受有偿服务，或者恶意低价竞争以及采取串标、围标等不正当竞争手段，扰乱技术服务市场秩序的行为；</w:t>
      </w:r>
    </w:p>
    <w:p w14:paraId="700FCC5E">
      <w:pPr>
        <w:bidi w:val="0"/>
        <w:rPr>
          <w:rFonts w:hint="eastAsia"/>
          <w:sz w:val="28"/>
          <w:szCs w:val="28"/>
          <w:lang w:val="en-US" w:eastAsia="zh-CN"/>
        </w:rPr>
      </w:pPr>
      <w:bookmarkStart w:id="29" w:name="_Toc25010"/>
      <w:bookmarkStart w:id="30" w:name="_Toc29296"/>
      <w:r>
        <w:rPr>
          <w:rFonts w:hint="eastAsia"/>
          <w:sz w:val="28"/>
          <w:szCs w:val="28"/>
          <w:lang w:val="en-US" w:eastAsia="zh-CN"/>
        </w:rPr>
        <w:t>三、禁止中介机构出具虚假或漏项、缺项技术报告的行为；</w:t>
      </w:r>
      <w:bookmarkEnd w:id="29"/>
      <w:bookmarkEnd w:id="30"/>
    </w:p>
    <w:p w14:paraId="5CD49A2E">
      <w:pPr>
        <w:bidi w:val="0"/>
        <w:rPr>
          <w:sz w:val="28"/>
          <w:szCs w:val="28"/>
        </w:rPr>
      </w:pPr>
      <w:r>
        <w:rPr>
          <w:rFonts w:hint="eastAsia"/>
          <w:sz w:val="28"/>
          <w:szCs w:val="28"/>
        </w:rPr>
        <w:t>四、禁止中介机构出租、出借资格证书、在报告上冒用他人签名的行为；</w:t>
      </w:r>
    </w:p>
    <w:p w14:paraId="7EA9D4F3">
      <w:pPr>
        <w:bidi w:val="0"/>
        <w:rPr>
          <w:rFonts w:hint="eastAsia"/>
          <w:sz w:val="28"/>
          <w:szCs w:val="28"/>
          <w:lang w:val="en-US" w:eastAsia="zh-CN"/>
        </w:rPr>
      </w:pPr>
      <w:bookmarkStart w:id="31" w:name="_Toc17401"/>
      <w:bookmarkStart w:id="32" w:name="_Toc32038"/>
      <w:r>
        <w:rPr>
          <w:rFonts w:hint="eastAsia"/>
          <w:sz w:val="28"/>
          <w:szCs w:val="28"/>
          <w:lang w:val="en-US" w:eastAsia="zh-CN"/>
        </w:rPr>
        <w:t>五、禁止中介机构有应到而不到现场开展技术服务的行为；</w:t>
      </w:r>
      <w:bookmarkEnd w:id="31"/>
      <w:bookmarkEnd w:id="32"/>
    </w:p>
    <w:p w14:paraId="29AA254A">
      <w:pPr>
        <w:bidi w:val="0"/>
        <w:rPr>
          <w:sz w:val="28"/>
          <w:szCs w:val="28"/>
        </w:rPr>
      </w:pPr>
      <w:r>
        <w:rPr>
          <w:rFonts w:hint="eastAsia"/>
          <w:sz w:val="28"/>
          <w:szCs w:val="28"/>
        </w:rPr>
        <w:t>六、禁止安全生产监管部门及其工作人员要求生产经营单位接受指定的中介机构开展技术服务的行为；</w:t>
      </w:r>
    </w:p>
    <w:p w14:paraId="3155A967">
      <w:pPr>
        <w:bidi w:val="0"/>
        <w:rPr>
          <w:sz w:val="28"/>
          <w:szCs w:val="28"/>
        </w:rPr>
      </w:pPr>
      <w:r>
        <w:rPr>
          <w:rFonts w:hint="eastAsia"/>
          <w:sz w:val="28"/>
          <w:szCs w:val="28"/>
        </w:rPr>
        <w:t>七、禁止安全生产监管部门及其工作人员没有法律依据组织由生产经营单位或机构支付费用的行政性评审的行为；</w:t>
      </w:r>
    </w:p>
    <w:p w14:paraId="098F1958">
      <w:pPr>
        <w:bidi w:val="0"/>
        <w:rPr>
          <w:sz w:val="28"/>
          <w:szCs w:val="28"/>
        </w:rPr>
      </w:pPr>
      <w:r>
        <w:rPr>
          <w:rFonts w:hint="eastAsia"/>
          <w:sz w:val="28"/>
          <w:szCs w:val="28"/>
        </w:rPr>
        <w:t>八、禁止安全生产监管部门及其工作人员干预市场定价，违规擅自出台技术服务收费标准的行为；</w:t>
      </w:r>
    </w:p>
    <w:p w14:paraId="5F4ABE1B">
      <w:pPr>
        <w:bidi w:val="0"/>
        <w:rPr>
          <w:rFonts w:hint="eastAsia"/>
          <w:sz w:val="28"/>
          <w:szCs w:val="28"/>
        </w:rPr>
      </w:pPr>
      <w:r>
        <w:rPr>
          <w:rFonts w:hint="eastAsia"/>
          <w:sz w:val="28"/>
          <w:szCs w:val="28"/>
        </w:rPr>
        <w:t>九、禁止安全生产监管部门及其工作人员参与、擅自干预中介机构从业活动，或者有获取不正当利益的行为。</w:t>
      </w:r>
    </w:p>
    <w:p w14:paraId="039893A2">
      <w:pPr>
        <w:rPr>
          <w:rFonts w:hint="eastAsia"/>
          <w:sz w:val="28"/>
          <w:szCs w:val="28"/>
        </w:rPr>
      </w:pPr>
      <w:r>
        <w:rPr>
          <w:rFonts w:hint="eastAsia"/>
          <w:sz w:val="28"/>
          <w:szCs w:val="28"/>
        </w:rPr>
        <w:br w:type="page"/>
      </w:r>
    </w:p>
    <w:p w14:paraId="63AB2406">
      <w:pPr>
        <w:jc w:val="center"/>
        <w:rPr>
          <w:rFonts w:hint="default" w:ascii="Times New Roman" w:hAnsi="Times New Roman" w:eastAsia="黑体" w:cs="Times New Roman"/>
          <w:b/>
          <w:color w:val="auto"/>
          <w:sz w:val="32"/>
          <w:szCs w:val="24"/>
        </w:rPr>
      </w:pPr>
      <w:r>
        <w:rPr>
          <w:rFonts w:hint="default" w:ascii="Times New Roman" w:hAnsi="Times New Roman" w:eastAsia="黑体" w:cs="Times New Roman"/>
          <w:b/>
          <w:color w:val="auto"/>
          <w:sz w:val="32"/>
          <w:szCs w:val="24"/>
        </w:rPr>
        <w:t>评 价 人 员</w:t>
      </w:r>
    </w:p>
    <w:p w14:paraId="61014AE0">
      <w:pPr>
        <w:jc w:val="center"/>
        <w:rPr>
          <w:rFonts w:hint="default" w:ascii="Times New Roman" w:hAnsi="Times New Roman" w:eastAsia="黑体" w:cs="Times New Roman"/>
          <w:b/>
          <w:color w:val="auto"/>
          <w:sz w:val="32"/>
          <w:szCs w:val="24"/>
        </w:rPr>
      </w:pPr>
    </w:p>
    <w:tbl>
      <w:tblPr>
        <w:tblStyle w:val="19"/>
        <w:tblW w:w="88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1158"/>
        <w:gridCol w:w="2853"/>
        <w:gridCol w:w="1528"/>
        <w:gridCol w:w="1299"/>
      </w:tblGrid>
      <w:tr w14:paraId="49DA5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tcBorders>
              <w:top w:val="single" w:color="auto" w:sz="4" w:space="0"/>
              <w:left w:val="single" w:color="auto" w:sz="4" w:space="0"/>
              <w:bottom w:val="single" w:color="auto" w:sz="4" w:space="0"/>
              <w:right w:val="single" w:color="auto" w:sz="4" w:space="0"/>
            </w:tcBorders>
            <w:noWrap w:val="0"/>
            <w:vAlign w:val="center"/>
          </w:tcPr>
          <w:p w14:paraId="641D7EDD">
            <w:pPr>
              <w:jc w:val="center"/>
              <w:rPr>
                <w:rFonts w:hint="default" w:ascii="Times New Roman" w:hAnsi="Times New Roman" w:eastAsia="宋体" w:cs="Times New Roman"/>
                <w:color w:val="auto"/>
                <w:sz w:val="24"/>
                <w:szCs w:val="24"/>
              </w:rPr>
            </w:pPr>
          </w:p>
        </w:tc>
        <w:tc>
          <w:tcPr>
            <w:tcW w:w="1158" w:type="dxa"/>
            <w:tcBorders>
              <w:top w:val="single" w:color="auto" w:sz="4" w:space="0"/>
              <w:left w:val="single" w:color="auto" w:sz="4" w:space="0"/>
              <w:bottom w:val="single" w:color="auto" w:sz="4" w:space="0"/>
              <w:right w:val="single" w:color="auto" w:sz="4" w:space="0"/>
            </w:tcBorders>
            <w:noWrap w:val="0"/>
            <w:vAlign w:val="center"/>
          </w:tcPr>
          <w:p w14:paraId="7F323086">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姓  名</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28654A89">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职业资格证书编号</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739222B9">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从业信息</w:t>
            </w:r>
          </w:p>
          <w:p w14:paraId="4D357412">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识别卡编号</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35802B95">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签    字</w:t>
            </w:r>
          </w:p>
        </w:tc>
      </w:tr>
      <w:tr w14:paraId="2202E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tcBorders>
              <w:top w:val="single" w:color="auto" w:sz="4" w:space="0"/>
              <w:left w:val="single" w:color="auto" w:sz="4" w:space="0"/>
              <w:bottom w:val="single" w:color="auto" w:sz="4" w:space="0"/>
              <w:right w:val="single" w:color="auto" w:sz="4" w:space="0"/>
            </w:tcBorders>
            <w:noWrap w:val="0"/>
            <w:vAlign w:val="center"/>
          </w:tcPr>
          <w:p w14:paraId="7408E42C">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项目负责人</w:t>
            </w:r>
          </w:p>
        </w:tc>
        <w:tc>
          <w:tcPr>
            <w:tcW w:w="1158" w:type="dxa"/>
            <w:tcBorders>
              <w:top w:val="single" w:color="auto" w:sz="4" w:space="0"/>
              <w:left w:val="single" w:color="auto" w:sz="4" w:space="0"/>
              <w:bottom w:val="single" w:color="auto" w:sz="4" w:space="0"/>
              <w:right w:val="single" w:color="auto" w:sz="4" w:space="0"/>
            </w:tcBorders>
            <w:noWrap w:val="0"/>
            <w:vAlign w:val="center"/>
          </w:tcPr>
          <w:p w14:paraId="524E128F">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color w:val="000000"/>
                <w:sz w:val="24"/>
                <w:szCs w:val="24"/>
              </w:rPr>
              <w:t>谢寒梅</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74307687">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ascii="Times New Roman" w:hAnsi="Times New Roman" w:eastAsia="宋体" w:cs="Times New Roman"/>
                <w:color w:val="000000"/>
                <w:sz w:val="24"/>
                <w:szCs w:val="24"/>
              </w:rPr>
              <w:t>S011035000110192001584</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70CF2D27">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ascii="Times New Roman" w:hAnsi="Times New Roman" w:eastAsia="宋体" w:cs="Times New Roman"/>
                <w:color w:val="000000"/>
                <w:sz w:val="24"/>
                <w:szCs w:val="24"/>
              </w:rPr>
              <w:t>027089</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6832E306">
            <w:pPr>
              <w:jc w:val="center"/>
              <w:rPr>
                <w:rFonts w:hint="default" w:ascii="Times New Roman" w:hAnsi="Times New Roman" w:eastAsia="宋体" w:cs="Times New Roman"/>
                <w:color w:val="auto"/>
                <w:sz w:val="24"/>
                <w:szCs w:val="24"/>
              </w:rPr>
            </w:pPr>
          </w:p>
        </w:tc>
      </w:tr>
      <w:tr w14:paraId="7C997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vMerge w:val="restart"/>
            <w:tcBorders>
              <w:left w:val="single" w:color="auto" w:sz="4" w:space="0"/>
              <w:right w:val="single" w:color="auto" w:sz="4" w:space="0"/>
            </w:tcBorders>
            <w:noWrap w:val="0"/>
            <w:vAlign w:val="center"/>
          </w:tcPr>
          <w:p w14:paraId="027C7422">
            <w:pPr>
              <w:jc w:val="center"/>
              <w:rPr>
                <w:rFonts w:hint="default" w:ascii="Times New Roman" w:hAnsi="Times New Roman" w:eastAsia="宋体" w:cs="Times New Roman"/>
                <w:color w:val="auto"/>
                <w:sz w:val="24"/>
                <w:szCs w:val="24"/>
              </w:rPr>
            </w:pPr>
          </w:p>
          <w:p w14:paraId="7D17B100">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项目组成员</w:t>
            </w:r>
          </w:p>
        </w:tc>
        <w:tc>
          <w:tcPr>
            <w:tcW w:w="1158" w:type="dxa"/>
            <w:tcBorders>
              <w:top w:val="single" w:color="auto" w:sz="4" w:space="0"/>
              <w:left w:val="single" w:color="auto" w:sz="4" w:space="0"/>
              <w:bottom w:val="single" w:color="auto" w:sz="4" w:space="0"/>
              <w:right w:val="single" w:color="auto" w:sz="4" w:space="0"/>
            </w:tcBorders>
            <w:noWrap w:val="0"/>
            <w:vAlign w:val="center"/>
          </w:tcPr>
          <w:p w14:paraId="37EAA1F7">
            <w:pPr>
              <w:spacing w:line="400" w:lineRule="exact"/>
              <w:jc w:val="center"/>
              <w:rPr>
                <w:rFonts w:hint="eastAsia"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color w:val="000000"/>
                <w:sz w:val="24"/>
                <w:szCs w:val="24"/>
              </w:rPr>
              <w:t>谢寒梅</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674BB2A9">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ascii="Times New Roman" w:hAnsi="Times New Roman" w:eastAsia="宋体" w:cs="Times New Roman"/>
                <w:color w:val="000000"/>
                <w:sz w:val="24"/>
                <w:szCs w:val="24"/>
              </w:rPr>
              <w:t>S011035000110192001584</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01A747B1">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ascii="Times New Roman" w:hAnsi="Times New Roman" w:eastAsia="宋体" w:cs="Times New Roman"/>
                <w:color w:val="000000"/>
                <w:sz w:val="24"/>
                <w:szCs w:val="24"/>
              </w:rPr>
              <w:t>027089</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07F2637E">
            <w:pPr>
              <w:spacing w:line="520" w:lineRule="exact"/>
              <w:jc w:val="center"/>
              <w:rPr>
                <w:rFonts w:hint="default" w:ascii="Times New Roman" w:hAnsi="Times New Roman" w:eastAsia="宋体" w:cs="Times New Roman"/>
                <w:color w:val="auto"/>
                <w:sz w:val="24"/>
                <w:szCs w:val="24"/>
              </w:rPr>
            </w:pPr>
          </w:p>
        </w:tc>
      </w:tr>
      <w:tr w14:paraId="2AEF3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vMerge w:val="continue"/>
            <w:tcBorders>
              <w:left w:val="single" w:color="auto" w:sz="4" w:space="0"/>
              <w:right w:val="single" w:color="auto" w:sz="4" w:space="0"/>
            </w:tcBorders>
            <w:noWrap w:val="0"/>
            <w:vAlign w:val="center"/>
          </w:tcPr>
          <w:p w14:paraId="5CB2982A">
            <w:pPr>
              <w:jc w:val="center"/>
              <w:rPr>
                <w:rFonts w:hint="default" w:ascii="Times New Roman" w:hAnsi="Times New Roman" w:eastAsia="宋体" w:cs="Times New Roman"/>
                <w:color w:val="auto"/>
                <w:sz w:val="24"/>
                <w:szCs w:val="24"/>
              </w:rPr>
            </w:pPr>
          </w:p>
        </w:tc>
        <w:tc>
          <w:tcPr>
            <w:tcW w:w="1158" w:type="dxa"/>
            <w:tcBorders>
              <w:top w:val="single" w:color="auto" w:sz="4" w:space="0"/>
              <w:left w:val="single" w:color="auto" w:sz="4" w:space="0"/>
              <w:bottom w:val="single" w:color="auto" w:sz="4" w:space="0"/>
              <w:right w:val="single" w:color="auto" w:sz="4" w:space="0"/>
            </w:tcBorders>
            <w:noWrap w:val="0"/>
            <w:vAlign w:val="center"/>
          </w:tcPr>
          <w:p w14:paraId="74C257D7">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color w:val="000000"/>
                <w:sz w:val="24"/>
                <w:szCs w:val="24"/>
                <w:lang w:val="en-US" w:eastAsia="zh-CN"/>
              </w:rPr>
              <w:t>曾华玉</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767A01E5">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新宋体" w:cs="Times New Roman"/>
                <w:color w:val="000000"/>
                <w:sz w:val="24"/>
                <w:szCs w:val="24"/>
                <w:lang w:val="en-US" w:eastAsia="zh-CN"/>
              </w:rPr>
              <w:t>0800000000203970</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1B5ECCB0">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color w:val="000000"/>
                <w:sz w:val="24"/>
                <w:szCs w:val="24"/>
                <w:lang w:val="en-US" w:eastAsia="zh-CN"/>
              </w:rPr>
              <w:t>007037</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5AB20FDA">
            <w:pPr>
              <w:spacing w:line="520" w:lineRule="exact"/>
              <w:jc w:val="center"/>
              <w:rPr>
                <w:rFonts w:hint="default" w:ascii="Times New Roman" w:hAnsi="Times New Roman" w:eastAsia="宋体" w:cs="Times New Roman"/>
                <w:color w:val="auto"/>
                <w:sz w:val="24"/>
                <w:szCs w:val="24"/>
              </w:rPr>
            </w:pPr>
          </w:p>
        </w:tc>
      </w:tr>
      <w:tr w14:paraId="26565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vMerge w:val="continue"/>
            <w:tcBorders>
              <w:left w:val="single" w:color="auto" w:sz="4" w:space="0"/>
              <w:right w:val="single" w:color="auto" w:sz="4" w:space="0"/>
            </w:tcBorders>
            <w:noWrap w:val="0"/>
            <w:vAlign w:val="center"/>
          </w:tcPr>
          <w:p w14:paraId="28633F64">
            <w:pPr>
              <w:jc w:val="center"/>
              <w:rPr>
                <w:rFonts w:hint="default" w:ascii="Times New Roman" w:hAnsi="Times New Roman" w:eastAsia="宋体" w:cs="Times New Roman"/>
                <w:color w:val="auto"/>
                <w:sz w:val="24"/>
                <w:szCs w:val="24"/>
              </w:rPr>
            </w:pPr>
          </w:p>
        </w:tc>
        <w:tc>
          <w:tcPr>
            <w:tcW w:w="1158" w:type="dxa"/>
            <w:tcBorders>
              <w:top w:val="single" w:color="auto" w:sz="4" w:space="0"/>
              <w:left w:val="single" w:color="auto" w:sz="4" w:space="0"/>
              <w:bottom w:val="single" w:color="auto" w:sz="4" w:space="0"/>
              <w:right w:val="single" w:color="auto" w:sz="4" w:space="0"/>
            </w:tcBorders>
            <w:noWrap w:val="0"/>
            <w:vAlign w:val="center"/>
          </w:tcPr>
          <w:p w14:paraId="7E8229AB">
            <w:pPr>
              <w:spacing w:line="400" w:lineRule="exact"/>
              <w:jc w:val="center"/>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sz w:val="24"/>
                <w:szCs w:val="24"/>
                <w:lang w:val="en-US" w:eastAsia="zh-CN"/>
              </w:rPr>
              <w:t>王  波</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4B06487F">
            <w:pPr>
              <w:spacing w:line="320" w:lineRule="exact"/>
              <w:jc w:val="center"/>
              <w:rPr>
                <w:rFonts w:hint="default" w:ascii="Times New Roman" w:hAnsi="Times New Roman" w:eastAsia="宋体" w:cs="Times New Roman"/>
                <w:color w:val="000000"/>
                <w:kern w:val="2"/>
                <w:sz w:val="24"/>
                <w:szCs w:val="24"/>
                <w:lang w:val="en-US" w:eastAsia="zh-CN" w:bidi="ar-SA"/>
              </w:rPr>
            </w:pPr>
            <w:r>
              <w:rPr>
                <w:rFonts w:ascii="Times New Roman" w:hAnsi="Times New Roman" w:eastAsia="宋体" w:cs="Times New Roman"/>
                <w:color w:val="000000"/>
                <w:sz w:val="24"/>
                <w:szCs w:val="24"/>
              </w:rPr>
              <w:t>S011035000110</w:t>
            </w:r>
            <w:r>
              <w:rPr>
                <w:rFonts w:hint="eastAsia" w:ascii="Times New Roman" w:hAnsi="Times New Roman" w:eastAsia="宋体" w:cs="Times New Roman"/>
                <w:color w:val="000000"/>
                <w:sz w:val="24"/>
                <w:szCs w:val="24"/>
                <w:lang w:val="en-US" w:eastAsia="zh-CN"/>
              </w:rPr>
              <w:t>202</w:t>
            </w:r>
            <w:r>
              <w:rPr>
                <w:rFonts w:ascii="Times New Roman" w:hAnsi="Times New Roman" w:eastAsia="宋体" w:cs="Times New Roman"/>
                <w:color w:val="000000"/>
                <w:sz w:val="24"/>
                <w:szCs w:val="24"/>
              </w:rPr>
              <w:t>001</w:t>
            </w:r>
            <w:r>
              <w:rPr>
                <w:rFonts w:hint="eastAsia" w:ascii="Times New Roman" w:hAnsi="Times New Roman" w:eastAsia="宋体" w:cs="Times New Roman"/>
                <w:color w:val="000000"/>
                <w:sz w:val="24"/>
                <w:szCs w:val="24"/>
                <w:lang w:val="en-US" w:eastAsia="zh-CN"/>
              </w:rPr>
              <w:t>263</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58269EA8">
            <w:pPr>
              <w:spacing w:line="320" w:lineRule="exact"/>
              <w:jc w:val="center"/>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sz w:val="24"/>
                <w:szCs w:val="24"/>
                <w:lang w:val="en-US" w:eastAsia="zh-CN"/>
              </w:rPr>
              <w:t>040122</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2B936F29">
            <w:pPr>
              <w:spacing w:line="520" w:lineRule="exact"/>
              <w:jc w:val="center"/>
              <w:rPr>
                <w:rFonts w:hint="default" w:ascii="Times New Roman" w:hAnsi="Times New Roman" w:eastAsia="宋体" w:cs="Times New Roman"/>
                <w:color w:val="auto"/>
                <w:sz w:val="24"/>
                <w:szCs w:val="24"/>
              </w:rPr>
            </w:pPr>
          </w:p>
        </w:tc>
      </w:tr>
      <w:tr w14:paraId="70DE0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vMerge w:val="continue"/>
            <w:tcBorders>
              <w:left w:val="single" w:color="auto" w:sz="4" w:space="0"/>
              <w:right w:val="single" w:color="auto" w:sz="4" w:space="0"/>
            </w:tcBorders>
            <w:noWrap w:val="0"/>
            <w:vAlign w:val="center"/>
          </w:tcPr>
          <w:p w14:paraId="2D7453A0">
            <w:pPr>
              <w:jc w:val="center"/>
              <w:rPr>
                <w:rFonts w:hint="default" w:ascii="Times New Roman" w:hAnsi="Times New Roman" w:eastAsia="宋体" w:cs="Times New Roman"/>
                <w:color w:val="auto"/>
                <w:sz w:val="24"/>
                <w:szCs w:val="24"/>
              </w:rPr>
            </w:pPr>
          </w:p>
        </w:tc>
        <w:tc>
          <w:tcPr>
            <w:tcW w:w="1158" w:type="dxa"/>
            <w:tcBorders>
              <w:top w:val="single" w:color="auto" w:sz="4" w:space="0"/>
              <w:left w:val="single" w:color="auto" w:sz="4" w:space="0"/>
              <w:bottom w:val="single" w:color="auto" w:sz="4" w:space="0"/>
              <w:right w:val="single" w:color="auto" w:sz="4" w:space="0"/>
            </w:tcBorders>
            <w:noWrap w:val="0"/>
            <w:vAlign w:val="center"/>
          </w:tcPr>
          <w:p w14:paraId="26BADFB1">
            <w:pPr>
              <w:spacing w:line="400" w:lineRule="exact"/>
              <w:jc w:val="center"/>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sz w:val="24"/>
                <w:szCs w:val="24"/>
                <w:lang w:val="en-US" w:eastAsia="zh-CN"/>
              </w:rPr>
              <w:t>王  冠</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25DEA71E">
            <w:pPr>
              <w:spacing w:line="320" w:lineRule="exact"/>
              <w:jc w:val="center"/>
              <w:rPr>
                <w:rFonts w:hint="default" w:ascii="Times New Roman" w:hAnsi="Times New Roman" w:eastAsia="宋体" w:cs="Times New Roman"/>
                <w:color w:val="000000"/>
                <w:kern w:val="2"/>
                <w:sz w:val="24"/>
                <w:szCs w:val="24"/>
                <w:lang w:val="en-US" w:eastAsia="zh-CN" w:bidi="ar-SA"/>
              </w:rPr>
            </w:pPr>
            <w:r>
              <w:rPr>
                <w:rFonts w:ascii="Times New Roman" w:hAnsi="Times New Roman" w:eastAsia="宋体" w:cs="Times New Roman"/>
                <w:color w:val="000000"/>
                <w:sz w:val="24"/>
                <w:szCs w:val="24"/>
              </w:rPr>
              <w:t>S011035000110</w:t>
            </w:r>
            <w:r>
              <w:rPr>
                <w:rFonts w:hint="eastAsia" w:ascii="Times New Roman" w:hAnsi="Times New Roman" w:eastAsia="宋体" w:cs="Times New Roman"/>
                <w:color w:val="000000"/>
                <w:sz w:val="24"/>
                <w:szCs w:val="24"/>
                <w:lang w:val="en-US" w:eastAsia="zh-CN"/>
              </w:rPr>
              <w:t>202</w:t>
            </w:r>
            <w:r>
              <w:rPr>
                <w:rFonts w:ascii="Times New Roman" w:hAnsi="Times New Roman" w:eastAsia="宋体" w:cs="Times New Roman"/>
                <w:color w:val="000000"/>
                <w:sz w:val="24"/>
                <w:szCs w:val="24"/>
              </w:rPr>
              <w:t>001</w:t>
            </w:r>
            <w:r>
              <w:rPr>
                <w:rFonts w:hint="eastAsia" w:ascii="Times New Roman" w:hAnsi="Times New Roman" w:eastAsia="宋体" w:cs="Times New Roman"/>
                <w:color w:val="000000"/>
                <w:sz w:val="24"/>
                <w:szCs w:val="24"/>
                <w:lang w:val="en-US" w:eastAsia="zh-CN"/>
              </w:rPr>
              <w:t>523</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6564C709">
            <w:pPr>
              <w:spacing w:line="320" w:lineRule="exact"/>
              <w:jc w:val="center"/>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sz w:val="24"/>
                <w:szCs w:val="24"/>
                <w:lang w:val="en-US" w:eastAsia="zh-CN"/>
              </w:rPr>
              <w:t>027086</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45ADD6A4">
            <w:pPr>
              <w:spacing w:line="520" w:lineRule="exact"/>
              <w:jc w:val="center"/>
              <w:rPr>
                <w:rFonts w:hint="default" w:ascii="Times New Roman" w:hAnsi="Times New Roman" w:eastAsia="宋体" w:cs="Times New Roman"/>
                <w:color w:val="auto"/>
                <w:sz w:val="24"/>
                <w:szCs w:val="24"/>
              </w:rPr>
            </w:pPr>
          </w:p>
        </w:tc>
      </w:tr>
      <w:tr w14:paraId="4A86A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vMerge w:val="continue"/>
            <w:tcBorders>
              <w:left w:val="single" w:color="auto" w:sz="4" w:space="0"/>
              <w:right w:val="single" w:color="auto" w:sz="4" w:space="0"/>
            </w:tcBorders>
            <w:noWrap w:val="0"/>
            <w:vAlign w:val="center"/>
          </w:tcPr>
          <w:p w14:paraId="1DE07AC4">
            <w:pPr>
              <w:jc w:val="center"/>
              <w:rPr>
                <w:rFonts w:hint="default" w:ascii="Times New Roman" w:hAnsi="Times New Roman" w:eastAsia="宋体" w:cs="Times New Roman"/>
                <w:color w:val="auto"/>
                <w:sz w:val="24"/>
                <w:szCs w:val="24"/>
              </w:rPr>
            </w:pPr>
          </w:p>
        </w:tc>
        <w:tc>
          <w:tcPr>
            <w:tcW w:w="1158" w:type="dxa"/>
            <w:tcBorders>
              <w:top w:val="single" w:color="auto" w:sz="4" w:space="0"/>
              <w:left w:val="single" w:color="auto" w:sz="4" w:space="0"/>
              <w:bottom w:val="single" w:color="auto" w:sz="4" w:space="0"/>
              <w:right w:val="single" w:color="auto" w:sz="4" w:space="0"/>
            </w:tcBorders>
            <w:noWrap w:val="0"/>
            <w:vAlign w:val="center"/>
          </w:tcPr>
          <w:p w14:paraId="7180D634">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ascii="Times New Roman" w:hAnsi="Times New Roman" w:eastAsia="宋体" w:cs="Times New Roman"/>
                <w:sz w:val="24"/>
                <w:szCs w:val="24"/>
              </w:rPr>
              <w:t>郑  强</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7654CC9E">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sz w:val="24"/>
                <w:szCs w:val="24"/>
              </w:rPr>
              <w:t>0800000000101605</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4FE63C02">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sz w:val="24"/>
                <w:szCs w:val="24"/>
              </w:rPr>
              <w:t>001851</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1749CB3A">
            <w:pPr>
              <w:spacing w:line="520" w:lineRule="exact"/>
              <w:jc w:val="center"/>
              <w:rPr>
                <w:rFonts w:hint="default" w:ascii="Times New Roman" w:hAnsi="Times New Roman" w:eastAsia="宋体" w:cs="Times New Roman"/>
                <w:color w:val="auto"/>
                <w:sz w:val="24"/>
                <w:szCs w:val="24"/>
              </w:rPr>
            </w:pPr>
          </w:p>
        </w:tc>
      </w:tr>
      <w:tr w14:paraId="016D4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1996" w:type="dxa"/>
            <w:tcBorders>
              <w:top w:val="single" w:color="auto" w:sz="4" w:space="0"/>
              <w:left w:val="single" w:color="auto" w:sz="4" w:space="0"/>
              <w:right w:val="single" w:color="auto" w:sz="4" w:space="0"/>
            </w:tcBorders>
            <w:noWrap w:val="0"/>
            <w:vAlign w:val="center"/>
          </w:tcPr>
          <w:p w14:paraId="248D9C75">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报告编制人</w:t>
            </w:r>
          </w:p>
        </w:tc>
        <w:tc>
          <w:tcPr>
            <w:tcW w:w="1158" w:type="dxa"/>
            <w:tcBorders>
              <w:top w:val="single" w:color="auto" w:sz="4" w:space="0"/>
              <w:left w:val="single" w:color="auto" w:sz="4" w:space="0"/>
              <w:right w:val="single" w:color="auto" w:sz="4" w:space="0"/>
            </w:tcBorders>
            <w:noWrap w:val="0"/>
            <w:vAlign w:val="center"/>
          </w:tcPr>
          <w:p w14:paraId="3F40748F">
            <w:pPr>
              <w:spacing w:line="400" w:lineRule="exact"/>
              <w:jc w:val="center"/>
              <w:rPr>
                <w:rFonts w:hint="eastAsia" w:ascii="Times New Roman" w:hAnsi="Times New Roman" w:eastAsia="宋体" w:cs="Times New Roman"/>
                <w:color w:val="000000"/>
                <w:kern w:val="2"/>
                <w:sz w:val="24"/>
                <w:szCs w:val="24"/>
                <w:lang w:val="en-US" w:eastAsia="zh-CN" w:bidi="ar-SA"/>
              </w:rPr>
            </w:pPr>
            <w:r>
              <w:rPr>
                <w:rFonts w:ascii="Times New Roman" w:hAnsi="Times New Roman" w:eastAsia="宋体" w:cs="Times New Roman"/>
                <w:sz w:val="24"/>
                <w:szCs w:val="24"/>
              </w:rPr>
              <w:t>郑  强</w:t>
            </w:r>
          </w:p>
        </w:tc>
        <w:tc>
          <w:tcPr>
            <w:tcW w:w="2853" w:type="dxa"/>
            <w:tcBorders>
              <w:top w:val="single" w:color="auto" w:sz="4" w:space="0"/>
              <w:left w:val="single" w:color="auto" w:sz="4" w:space="0"/>
              <w:right w:val="single" w:color="auto" w:sz="4" w:space="0"/>
            </w:tcBorders>
            <w:noWrap w:val="0"/>
            <w:vAlign w:val="center"/>
          </w:tcPr>
          <w:p w14:paraId="72BCD6F6">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sz w:val="24"/>
                <w:szCs w:val="24"/>
              </w:rPr>
              <w:t>0800000000101605</w:t>
            </w:r>
          </w:p>
        </w:tc>
        <w:tc>
          <w:tcPr>
            <w:tcW w:w="1528" w:type="dxa"/>
            <w:tcBorders>
              <w:top w:val="single" w:color="auto" w:sz="4" w:space="0"/>
              <w:left w:val="single" w:color="auto" w:sz="4" w:space="0"/>
              <w:right w:val="single" w:color="auto" w:sz="4" w:space="0"/>
            </w:tcBorders>
            <w:noWrap w:val="0"/>
            <w:vAlign w:val="center"/>
          </w:tcPr>
          <w:p w14:paraId="4D00F5C1">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eastAsia" w:ascii="Times New Roman" w:hAnsi="Times New Roman" w:eastAsia="宋体" w:cs="Times New Roman"/>
                <w:sz w:val="24"/>
                <w:szCs w:val="24"/>
              </w:rPr>
              <w:t>001851</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522A2DB0">
            <w:pPr>
              <w:spacing w:line="520" w:lineRule="exact"/>
              <w:jc w:val="center"/>
              <w:rPr>
                <w:rFonts w:hint="default" w:ascii="Times New Roman" w:hAnsi="Times New Roman" w:eastAsia="宋体" w:cs="Times New Roman"/>
                <w:color w:val="auto"/>
                <w:sz w:val="24"/>
                <w:szCs w:val="24"/>
              </w:rPr>
            </w:pPr>
          </w:p>
        </w:tc>
      </w:tr>
      <w:tr w14:paraId="08CCF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tcBorders>
              <w:top w:val="single" w:color="auto" w:sz="4" w:space="0"/>
              <w:left w:val="single" w:color="auto" w:sz="4" w:space="0"/>
              <w:bottom w:val="single" w:color="auto" w:sz="4" w:space="0"/>
              <w:right w:val="single" w:color="auto" w:sz="4" w:space="0"/>
            </w:tcBorders>
            <w:noWrap w:val="0"/>
            <w:vAlign w:val="center"/>
          </w:tcPr>
          <w:p w14:paraId="6ABEB23D">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报告审核人</w:t>
            </w:r>
          </w:p>
        </w:tc>
        <w:tc>
          <w:tcPr>
            <w:tcW w:w="1158" w:type="dxa"/>
            <w:tcBorders>
              <w:top w:val="single" w:color="auto" w:sz="4" w:space="0"/>
              <w:left w:val="single" w:color="auto" w:sz="4" w:space="0"/>
              <w:bottom w:val="single" w:color="auto" w:sz="4" w:space="0"/>
              <w:right w:val="single" w:color="auto" w:sz="4" w:space="0"/>
            </w:tcBorders>
            <w:noWrap w:val="0"/>
            <w:vAlign w:val="center"/>
          </w:tcPr>
          <w:p w14:paraId="36E37FCA">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default" w:ascii="Times New Roman" w:hAnsi="Times New Roman" w:eastAsia="新宋体" w:cs="Times New Roman"/>
                <w:color w:val="auto"/>
                <w:sz w:val="24"/>
                <w:szCs w:val="24"/>
              </w:rPr>
              <w:t>戴  磷</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43838027">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default" w:ascii="Times New Roman" w:hAnsi="Times New Roman" w:eastAsia="新宋体" w:cs="Times New Roman"/>
                <w:color w:val="auto"/>
                <w:sz w:val="24"/>
                <w:szCs w:val="24"/>
              </w:rPr>
              <w:t>1100000000200597</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12072F76">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default" w:ascii="Times New Roman" w:hAnsi="Times New Roman" w:eastAsia="新宋体" w:cs="Times New Roman"/>
                <w:color w:val="auto"/>
                <w:sz w:val="24"/>
                <w:szCs w:val="24"/>
              </w:rPr>
              <w:t>019915</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46A12615">
            <w:pPr>
              <w:jc w:val="center"/>
              <w:rPr>
                <w:rFonts w:hint="default" w:ascii="Times New Roman" w:hAnsi="Times New Roman" w:eastAsia="宋体" w:cs="Times New Roman"/>
                <w:color w:val="auto"/>
                <w:sz w:val="24"/>
                <w:szCs w:val="24"/>
              </w:rPr>
            </w:pPr>
          </w:p>
        </w:tc>
      </w:tr>
      <w:tr w14:paraId="1F03D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tcBorders>
              <w:top w:val="single" w:color="auto" w:sz="4" w:space="0"/>
              <w:left w:val="single" w:color="auto" w:sz="4" w:space="0"/>
              <w:bottom w:val="single" w:color="auto" w:sz="4" w:space="0"/>
              <w:right w:val="single" w:color="auto" w:sz="4" w:space="0"/>
            </w:tcBorders>
            <w:noWrap w:val="0"/>
            <w:vAlign w:val="center"/>
          </w:tcPr>
          <w:p w14:paraId="3B0BA20A">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过程控制负责人</w:t>
            </w:r>
          </w:p>
        </w:tc>
        <w:tc>
          <w:tcPr>
            <w:tcW w:w="1158" w:type="dxa"/>
            <w:tcBorders>
              <w:top w:val="single" w:color="auto" w:sz="4" w:space="0"/>
              <w:left w:val="single" w:color="auto" w:sz="4" w:space="0"/>
              <w:bottom w:val="single" w:color="auto" w:sz="4" w:space="0"/>
              <w:right w:val="single" w:color="auto" w:sz="4" w:space="0"/>
            </w:tcBorders>
            <w:noWrap w:val="0"/>
            <w:vAlign w:val="center"/>
          </w:tcPr>
          <w:p w14:paraId="75723043">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default" w:ascii="Times New Roman" w:hAnsi="Times New Roman" w:eastAsia="新宋体" w:cs="Times New Roman"/>
                <w:color w:val="auto"/>
                <w:sz w:val="24"/>
                <w:szCs w:val="24"/>
              </w:rPr>
              <w:t>檀廷斌</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44051EBF">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default" w:ascii="Times New Roman" w:hAnsi="Times New Roman" w:eastAsia="新宋体" w:cs="Times New Roman"/>
                <w:color w:val="auto"/>
                <w:sz w:val="24"/>
                <w:szCs w:val="24"/>
              </w:rPr>
              <w:t>1600000000200717</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4C742563">
            <w:pPr>
              <w:spacing w:line="400" w:lineRule="exact"/>
              <w:jc w:val="center"/>
              <w:rPr>
                <w:rFonts w:hint="default" w:ascii="Times New Roman" w:hAnsi="Times New Roman" w:eastAsia="新宋体" w:cs="Times New Roman"/>
                <w:color w:val="auto"/>
                <w:kern w:val="2"/>
                <w:sz w:val="24"/>
                <w:szCs w:val="24"/>
                <w:lang w:val="en-US" w:eastAsia="zh-CN" w:bidi="ar-SA"/>
              </w:rPr>
            </w:pPr>
            <w:r>
              <w:rPr>
                <w:rFonts w:hint="default" w:ascii="Times New Roman" w:hAnsi="Times New Roman" w:eastAsia="新宋体" w:cs="Times New Roman"/>
                <w:color w:val="auto"/>
                <w:sz w:val="24"/>
                <w:szCs w:val="24"/>
              </w:rPr>
              <w:t>029648</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1B58B4DB">
            <w:pPr>
              <w:jc w:val="center"/>
              <w:rPr>
                <w:rFonts w:hint="default" w:ascii="Times New Roman" w:hAnsi="Times New Roman" w:eastAsia="宋体" w:cs="Times New Roman"/>
                <w:color w:val="auto"/>
                <w:sz w:val="24"/>
                <w:szCs w:val="24"/>
              </w:rPr>
            </w:pPr>
          </w:p>
        </w:tc>
      </w:tr>
      <w:tr w14:paraId="7A2F9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996" w:type="dxa"/>
            <w:tcBorders>
              <w:top w:val="single" w:color="auto" w:sz="4" w:space="0"/>
              <w:left w:val="single" w:color="auto" w:sz="4" w:space="0"/>
              <w:bottom w:val="single" w:color="auto" w:sz="4" w:space="0"/>
              <w:right w:val="single" w:color="auto" w:sz="4" w:space="0"/>
            </w:tcBorders>
            <w:noWrap w:val="0"/>
            <w:vAlign w:val="center"/>
          </w:tcPr>
          <w:p w14:paraId="224C2FFF">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技术负责人</w:t>
            </w:r>
          </w:p>
        </w:tc>
        <w:tc>
          <w:tcPr>
            <w:tcW w:w="1158" w:type="dxa"/>
            <w:tcBorders>
              <w:top w:val="single" w:color="auto" w:sz="4" w:space="0"/>
              <w:left w:val="single" w:color="auto" w:sz="4" w:space="0"/>
              <w:bottom w:val="single" w:color="auto" w:sz="4" w:space="0"/>
              <w:right w:val="single" w:color="auto" w:sz="4" w:space="0"/>
            </w:tcBorders>
            <w:noWrap w:val="0"/>
            <w:vAlign w:val="center"/>
          </w:tcPr>
          <w:p w14:paraId="62CF50F1">
            <w:pPr>
              <w:spacing w:line="520" w:lineRule="exact"/>
              <w:jc w:val="center"/>
              <w:rPr>
                <w:rFonts w:hint="eastAsia" w:ascii="Times New Roman" w:hAnsi="Times New Roman" w:eastAsia="宋体" w:cs="Times New Roman"/>
                <w:color w:val="000000"/>
                <w:kern w:val="2"/>
                <w:sz w:val="24"/>
                <w:szCs w:val="24"/>
                <w:lang w:val="en-US" w:eastAsia="zh-CN" w:bidi="ar-SA"/>
              </w:rPr>
            </w:pPr>
            <w:r>
              <w:rPr>
                <w:rFonts w:ascii="Times New Roman" w:hAnsi="Times New Roman" w:eastAsia="宋体" w:cs="Times New Roman"/>
                <w:color w:val="000000"/>
                <w:sz w:val="24"/>
                <w:szCs w:val="24"/>
              </w:rPr>
              <w:t>周红波</w:t>
            </w:r>
          </w:p>
        </w:tc>
        <w:tc>
          <w:tcPr>
            <w:tcW w:w="2853" w:type="dxa"/>
            <w:tcBorders>
              <w:top w:val="single" w:color="auto" w:sz="4" w:space="0"/>
              <w:left w:val="single" w:color="auto" w:sz="4" w:space="0"/>
              <w:bottom w:val="single" w:color="auto" w:sz="4" w:space="0"/>
              <w:right w:val="single" w:color="auto" w:sz="4" w:space="0"/>
            </w:tcBorders>
            <w:noWrap w:val="0"/>
            <w:vAlign w:val="center"/>
          </w:tcPr>
          <w:p w14:paraId="1FCF24A5">
            <w:pPr>
              <w:spacing w:line="520" w:lineRule="exact"/>
              <w:jc w:val="center"/>
              <w:rPr>
                <w:rFonts w:hint="default" w:ascii="Times New Roman" w:hAnsi="Times New Roman" w:eastAsia="宋体" w:cs="Times New Roman"/>
                <w:color w:val="000000"/>
                <w:kern w:val="2"/>
                <w:sz w:val="24"/>
                <w:szCs w:val="24"/>
                <w:lang w:val="en-US" w:eastAsia="zh-CN" w:bidi="ar-SA"/>
              </w:rPr>
            </w:pPr>
            <w:r>
              <w:rPr>
                <w:rFonts w:ascii="Times New Roman" w:hAnsi="Times New Roman" w:eastAsia="宋体" w:cs="Times New Roman"/>
                <w:color w:val="000000"/>
                <w:kern w:val="0"/>
                <w:sz w:val="24"/>
                <w:szCs w:val="24"/>
              </w:rPr>
              <w:t>1700000000100121</w:t>
            </w:r>
          </w:p>
        </w:tc>
        <w:tc>
          <w:tcPr>
            <w:tcW w:w="1528" w:type="dxa"/>
            <w:tcBorders>
              <w:top w:val="single" w:color="auto" w:sz="4" w:space="0"/>
              <w:left w:val="single" w:color="auto" w:sz="4" w:space="0"/>
              <w:bottom w:val="single" w:color="auto" w:sz="4" w:space="0"/>
              <w:right w:val="single" w:color="auto" w:sz="4" w:space="0"/>
            </w:tcBorders>
            <w:noWrap w:val="0"/>
            <w:vAlign w:val="center"/>
          </w:tcPr>
          <w:p w14:paraId="075C776B">
            <w:pPr>
              <w:spacing w:line="520" w:lineRule="exact"/>
              <w:jc w:val="center"/>
              <w:rPr>
                <w:rFonts w:hint="default" w:ascii="Times New Roman" w:hAnsi="Times New Roman" w:eastAsia="宋体" w:cs="Times New Roman"/>
                <w:color w:val="000000"/>
                <w:kern w:val="2"/>
                <w:sz w:val="24"/>
                <w:szCs w:val="24"/>
                <w:lang w:val="en-US" w:eastAsia="zh-CN" w:bidi="ar-SA"/>
              </w:rPr>
            </w:pPr>
            <w:r>
              <w:rPr>
                <w:rFonts w:ascii="Times New Roman" w:hAnsi="Times New Roman" w:eastAsia="宋体" w:cs="Times New Roman"/>
                <w:color w:val="000000"/>
                <w:sz w:val="24"/>
                <w:szCs w:val="24"/>
              </w:rPr>
              <w:t>020702</w:t>
            </w:r>
          </w:p>
        </w:tc>
        <w:tc>
          <w:tcPr>
            <w:tcW w:w="1299" w:type="dxa"/>
            <w:tcBorders>
              <w:top w:val="single" w:color="auto" w:sz="4" w:space="0"/>
              <w:left w:val="single" w:color="auto" w:sz="4" w:space="0"/>
              <w:bottom w:val="single" w:color="auto" w:sz="4" w:space="0"/>
              <w:right w:val="single" w:color="auto" w:sz="4" w:space="0"/>
            </w:tcBorders>
            <w:noWrap w:val="0"/>
            <w:vAlign w:val="center"/>
          </w:tcPr>
          <w:p w14:paraId="53C2DCC4">
            <w:pPr>
              <w:jc w:val="center"/>
              <w:rPr>
                <w:rFonts w:hint="default" w:ascii="Times New Roman" w:hAnsi="Times New Roman" w:eastAsia="宋体" w:cs="Times New Roman"/>
                <w:color w:val="auto"/>
                <w:sz w:val="24"/>
                <w:szCs w:val="24"/>
              </w:rPr>
            </w:pPr>
          </w:p>
        </w:tc>
      </w:tr>
    </w:tbl>
    <w:p w14:paraId="11D4547A">
      <w:pPr>
        <w:jc w:val="center"/>
        <w:rPr>
          <w:rFonts w:hint="default" w:ascii="Times New Roman" w:hAnsi="Times New Roman" w:eastAsia="宋体" w:cs="Times New Roman"/>
          <w:color w:val="auto"/>
          <w:kern w:val="0"/>
          <w:sz w:val="32"/>
          <w:szCs w:val="32"/>
        </w:rPr>
      </w:pPr>
    </w:p>
    <w:p w14:paraId="2441E39F">
      <w:pPr>
        <w:autoSpaceDE w:val="0"/>
        <w:autoSpaceDN w:val="0"/>
        <w:adjustRightInd w:val="0"/>
        <w:ind w:firstLine="643"/>
        <w:jc w:val="center"/>
        <w:rPr>
          <w:rFonts w:hint="eastAsia" w:ascii="Times New Roman" w:hAnsi="Times New Roman" w:eastAsia="宋体" w:cs="宋体"/>
          <w:b/>
          <w:bCs/>
          <w:color w:val="auto"/>
          <w:sz w:val="32"/>
          <w:szCs w:val="32"/>
        </w:rPr>
      </w:pPr>
      <w:r>
        <w:rPr>
          <w:rFonts w:hint="eastAsia" w:ascii="Times New Roman" w:hAnsi="Times New Roman" w:eastAsia="宋体" w:cs="宋体"/>
          <w:b/>
          <w:bCs/>
          <w:color w:val="auto"/>
          <w:sz w:val="32"/>
          <w:szCs w:val="32"/>
        </w:rPr>
        <w:t>参</w:t>
      </w:r>
      <w:r>
        <w:rPr>
          <w:rFonts w:ascii="Times New Roman" w:hAnsi="Times New Roman" w:eastAsia="宋体" w:cs="Times New Roman"/>
          <w:b/>
          <w:bCs/>
          <w:color w:val="auto"/>
          <w:sz w:val="32"/>
          <w:szCs w:val="32"/>
        </w:rPr>
        <w:t xml:space="preserve">  </w:t>
      </w:r>
      <w:r>
        <w:rPr>
          <w:rFonts w:hint="eastAsia" w:ascii="Times New Roman" w:hAnsi="Times New Roman" w:eastAsia="宋体" w:cs="宋体"/>
          <w:b/>
          <w:bCs/>
          <w:color w:val="auto"/>
          <w:sz w:val="32"/>
          <w:szCs w:val="32"/>
        </w:rPr>
        <w:t>与</w:t>
      </w:r>
      <w:r>
        <w:rPr>
          <w:rFonts w:ascii="Times New Roman" w:hAnsi="Times New Roman" w:eastAsia="宋体" w:cs="Times New Roman"/>
          <w:b/>
          <w:bCs/>
          <w:color w:val="auto"/>
          <w:sz w:val="32"/>
          <w:szCs w:val="32"/>
        </w:rPr>
        <w:t xml:space="preserve">  </w:t>
      </w:r>
      <w:r>
        <w:rPr>
          <w:rFonts w:hint="eastAsia" w:ascii="Times New Roman" w:hAnsi="Times New Roman" w:eastAsia="宋体" w:cs="宋体"/>
          <w:b/>
          <w:bCs/>
          <w:color w:val="auto"/>
          <w:sz w:val="32"/>
          <w:szCs w:val="32"/>
        </w:rPr>
        <w:t>人</w:t>
      </w:r>
      <w:r>
        <w:rPr>
          <w:rFonts w:ascii="Times New Roman" w:hAnsi="Times New Roman" w:eastAsia="宋体" w:cs="Times New Roman"/>
          <w:b/>
          <w:bCs/>
          <w:color w:val="auto"/>
          <w:sz w:val="32"/>
          <w:szCs w:val="32"/>
        </w:rPr>
        <w:t xml:space="preserve">  </w:t>
      </w:r>
      <w:r>
        <w:rPr>
          <w:rFonts w:hint="eastAsia" w:ascii="Times New Roman" w:hAnsi="Times New Roman" w:eastAsia="宋体" w:cs="宋体"/>
          <w:b/>
          <w:bCs/>
          <w:color w:val="auto"/>
          <w:sz w:val="32"/>
          <w:szCs w:val="32"/>
        </w:rPr>
        <w:t>员</w:t>
      </w:r>
    </w:p>
    <w:p w14:paraId="194EEA89">
      <w:pPr>
        <w:autoSpaceDE w:val="0"/>
        <w:autoSpaceDN w:val="0"/>
        <w:adjustRightInd w:val="0"/>
        <w:ind w:firstLine="643"/>
        <w:jc w:val="center"/>
        <w:rPr>
          <w:rFonts w:hint="eastAsia" w:ascii="Times New Roman" w:hAnsi="Times New Roman" w:eastAsia="宋体" w:cs="宋体"/>
          <w:b/>
          <w:bCs/>
          <w:color w:val="auto"/>
          <w:sz w:val="32"/>
          <w:szCs w:val="32"/>
        </w:rPr>
      </w:pP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2"/>
        <w:gridCol w:w="3180"/>
        <w:gridCol w:w="2658"/>
      </w:tblGrid>
      <w:tr w14:paraId="5D84A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992" w:type="dxa"/>
            <w:noWrap w:val="0"/>
            <w:vAlign w:val="center"/>
          </w:tcPr>
          <w:p w14:paraId="4FA23B8E">
            <w:pPr>
              <w:spacing w:line="400" w:lineRule="exact"/>
              <w:jc w:val="center"/>
              <w:rPr>
                <w:rFonts w:hint="eastAsia"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姓  名</w:t>
            </w:r>
          </w:p>
        </w:tc>
        <w:tc>
          <w:tcPr>
            <w:tcW w:w="3180" w:type="dxa"/>
            <w:noWrap w:val="0"/>
            <w:vAlign w:val="center"/>
          </w:tcPr>
          <w:p w14:paraId="2C9E0D28">
            <w:pPr>
              <w:spacing w:line="400" w:lineRule="exact"/>
              <w:jc w:val="center"/>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职称/专业</w:t>
            </w:r>
          </w:p>
        </w:tc>
        <w:tc>
          <w:tcPr>
            <w:tcW w:w="2658" w:type="dxa"/>
            <w:noWrap w:val="0"/>
            <w:vAlign w:val="center"/>
          </w:tcPr>
          <w:p w14:paraId="00D0BBC5">
            <w:pPr>
              <w:spacing w:line="400" w:lineRule="exact"/>
              <w:jc w:val="center"/>
              <w:rPr>
                <w:rFonts w:hint="eastAsia"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签  字</w:t>
            </w:r>
          </w:p>
        </w:tc>
      </w:tr>
      <w:tr w14:paraId="6272C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992" w:type="dxa"/>
            <w:noWrap w:val="0"/>
            <w:vAlign w:val="center"/>
          </w:tcPr>
          <w:p w14:paraId="2F34B9C4">
            <w:pPr>
              <w:spacing w:line="400" w:lineRule="exact"/>
              <w:jc w:val="center"/>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彭建华</w:t>
            </w:r>
          </w:p>
        </w:tc>
        <w:tc>
          <w:tcPr>
            <w:tcW w:w="3180" w:type="dxa"/>
            <w:noWrap w:val="0"/>
            <w:vAlign w:val="center"/>
          </w:tcPr>
          <w:p w14:paraId="53CA279E">
            <w:pPr>
              <w:spacing w:line="400" w:lineRule="exact"/>
              <w:jc w:val="center"/>
              <w:rPr>
                <w:rFonts w:hint="eastAsia"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注册安全工程师（化工）</w:t>
            </w:r>
          </w:p>
        </w:tc>
        <w:tc>
          <w:tcPr>
            <w:tcW w:w="2658" w:type="dxa"/>
            <w:noWrap w:val="0"/>
            <w:vAlign w:val="center"/>
          </w:tcPr>
          <w:p w14:paraId="160A4530">
            <w:pPr>
              <w:spacing w:line="400" w:lineRule="exact"/>
              <w:jc w:val="center"/>
              <w:rPr>
                <w:rFonts w:hint="eastAsia" w:ascii="Times New Roman" w:hAnsi="Times New Roman" w:eastAsia="宋体" w:cs="Times New Roman"/>
                <w:color w:val="000000"/>
                <w:sz w:val="24"/>
                <w:szCs w:val="24"/>
              </w:rPr>
            </w:pPr>
          </w:p>
        </w:tc>
      </w:tr>
    </w:tbl>
    <w:p w14:paraId="577C10AC">
      <w:pPr>
        <w:rPr>
          <w:rFonts w:hint="eastAsia"/>
          <w:color w:val="FFC000"/>
          <w:sz w:val="28"/>
          <w:szCs w:val="28"/>
        </w:rPr>
        <w:sectPr>
          <w:footerReference r:id="rId6" w:type="first"/>
          <w:footerReference r:id="rId5" w:type="default"/>
          <w:pgSz w:w="11906" w:h="16838"/>
          <w:pgMar w:top="1418" w:right="1418" w:bottom="1418" w:left="1418" w:header="851" w:footer="992" w:gutter="0"/>
          <w:pgNumType w:fmt="upperRoman" w:start="1"/>
          <w:cols w:space="0" w:num="1"/>
          <w:docGrid w:type="lines" w:linePitch="312" w:charSpace="0"/>
        </w:sectPr>
      </w:pPr>
    </w:p>
    <w:p w14:paraId="37CD88E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eastAsia" w:ascii="楷体" w:hAnsi="楷体" w:eastAsia="楷体" w:cs="楷体"/>
          <w:b/>
          <w:bCs/>
          <w:kern w:val="0"/>
          <w:sz w:val="28"/>
          <w:szCs w:val="28"/>
          <w:lang w:val="en-US" w:eastAsia="zh-CN" w:bidi="ar-SA"/>
        </w:rPr>
      </w:pPr>
      <w:r>
        <w:rPr>
          <w:rFonts w:hint="eastAsia" w:ascii="楷体" w:hAnsi="楷体" w:eastAsia="楷体" w:cs="楷体"/>
          <w:b/>
          <w:bCs/>
          <w:kern w:val="0"/>
          <w:sz w:val="28"/>
          <w:szCs w:val="28"/>
          <w:lang w:val="en-US" w:eastAsia="zh-CN" w:bidi="ar-SA"/>
        </w:rPr>
        <w:t>前    言</w:t>
      </w:r>
    </w:p>
    <w:p w14:paraId="7CCF5A9A">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中国石化销售股份有限公司江西余干石油分公司社庚加油站（以下简称该加油站）是从事成品油经营的企业，主要经营汽油、柴油。站内建筑、设备为自有，设有</w:t>
      </w:r>
      <w:r>
        <w:rPr>
          <w:rFonts w:hint="eastAsia" w:ascii="宋体" w:hAnsi="宋体" w:eastAsia="宋体" w:cs="宋体"/>
          <w:spacing w:val="-2"/>
          <w:sz w:val="28"/>
          <w:szCs w:val="28"/>
        </w:rPr>
        <w:t>3个30m³</w:t>
      </w:r>
      <w:r>
        <w:rPr>
          <w:rFonts w:hint="eastAsia" w:ascii="宋体" w:hAnsi="宋体" w:eastAsia="宋体" w:cs="宋体"/>
          <w:sz w:val="28"/>
          <w:szCs w:val="28"/>
        </w:rPr>
        <w:t>卧式埋地式油品双层储罐</w:t>
      </w:r>
      <w:r>
        <w:rPr>
          <w:rFonts w:hint="eastAsia" w:ascii="宋体" w:hAnsi="宋体" w:eastAsia="宋体" w:cs="宋体"/>
          <w:spacing w:val="-2"/>
          <w:sz w:val="28"/>
          <w:szCs w:val="28"/>
        </w:rPr>
        <w:t>，其中0#柴油储罐2个、92#汽油储罐1个，</w:t>
      </w:r>
      <w:r>
        <w:rPr>
          <w:rFonts w:hint="eastAsia" w:ascii="宋体" w:hAnsi="宋体" w:eastAsia="宋体" w:cs="宋体"/>
          <w:sz w:val="28"/>
          <w:szCs w:val="28"/>
        </w:rPr>
        <w:t>总容积为90m³</w:t>
      </w:r>
      <w:r>
        <w:rPr>
          <w:rFonts w:hint="eastAsia" w:ascii="宋体" w:hAnsi="宋体" w:eastAsia="宋体" w:cs="宋体"/>
          <w:sz w:val="28"/>
          <w:szCs w:val="28"/>
          <w:lang w:eastAsia="zh-CN"/>
        </w:rPr>
        <w:t>。按柴油折半计算</w:t>
      </w:r>
      <w:r>
        <w:rPr>
          <w:rFonts w:hint="eastAsia" w:ascii="宋体" w:hAnsi="宋体" w:eastAsia="宋体" w:cs="宋体"/>
          <w:sz w:val="28"/>
          <w:szCs w:val="28"/>
        </w:rPr>
        <w:t>容积为</w:t>
      </w:r>
      <w:r>
        <w:rPr>
          <w:rFonts w:hint="eastAsia" w:ascii="宋体" w:hAnsi="宋体" w:eastAsia="宋体" w:cs="宋体"/>
          <w:sz w:val="28"/>
          <w:szCs w:val="28"/>
          <w:lang w:val="en-US" w:eastAsia="zh-CN"/>
        </w:rPr>
        <w:t>60m³</w:t>
      </w:r>
      <w:r>
        <w:rPr>
          <w:rFonts w:hint="eastAsia" w:ascii="宋体" w:hAnsi="宋体" w:eastAsia="宋体" w:cs="宋体"/>
          <w:sz w:val="28"/>
          <w:szCs w:val="28"/>
        </w:rPr>
        <w:t>，</w:t>
      </w:r>
      <w:r>
        <w:rPr>
          <w:rFonts w:hint="eastAsia" w:ascii="宋体" w:hAnsi="宋体" w:cs="宋体"/>
          <w:sz w:val="28"/>
          <w:szCs w:val="28"/>
          <w:lang w:val="en-US" w:eastAsia="zh-CN"/>
        </w:rPr>
        <w:t>该站属于</w:t>
      </w:r>
      <w:r>
        <w:rPr>
          <w:rFonts w:hint="eastAsia" w:ascii="宋体" w:hAnsi="宋体" w:eastAsia="宋体" w:cs="宋体"/>
          <w:sz w:val="28"/>
          <w:szCs w:val="28"/>
        </w:rPr>
        <w:t>三级加油站。加油站取得上饶市应急管理局颁发的危险化学品经营许可证，证号：赣饶监管经字［20</w:t>
      </w:r>
      <w:r>
        <w:rPr>
          <w:rFonts w:hint="eastAsia" w:ascii="宋体" w:hAnsi="宋体" w:eastAsia="宋体" w:cs="宋体"/>
          <w:sz w:val="28"/>
          <w:szCs w:val="28"/>
          <w:lang w:val="en-US" w:eastAsia="zh-CN"/>
        </w:rPr>
        <w:t>21</w:t>
      </w:r>
      <w:r>
        <w:rPr>
          <w:rFonts w:hint="eastAsia" w:ascii="宋体" w:hAnsi="宋体" w:eastAsia="宋体" w:cs="宋体"/>
          <w:sz w:val="28"/>
          <w:szCs w:val="28"/>
        </w:rPr>
        <w:t>］</w:t>
      </w:r>
      <w:r>
        <w:rPr>
          <w:rFonts w:hint="eastAsia" w:ascii="宋体" w:hAnsi="宋体" w:eastAsia="宋体" w:cs="宋体"/>
          <w:sz w:val="28"/>
          <w:szCs w:val="28"/>
          <w:lang w:val="en-US" w:eastAsia="zh-CN"/>
        </w:rPr>
        <w:t>0625079</w:t>
      </w:r>
      <w:r>
        <w:rPr>
          <w:rFonts w:hint="eastAsia" w:ascii="宋体" w:hAnsi="宋体" w:eastAsia="宋体" w:cs="宋体"/>
          <w:sz w:val="28"/>
          <w:szCs w:val="28"/>
        </w:rPr>
        <w:t>号，有效期为20</w:t>
      </w:r>
      <w:r>
        <w:rPr>
          <w:rFonts w:hint="eastAsia" w:ascii="宋体" w:hAnsi="宋体" w:eastAsia="宋体" w:cs="宋体"/>
          <w:sz w:val="28"/>
          <w:szCs w:val="28"/>
          <w:lang w:val="en-US" w:eastAsia="zh-CN"/>
        </w:rPr>
        <w:t>21</w:t>
      </w:r>
      <w:r>
        <w:rPr>
          <w:rFonts w:hint="eastAsia" w:ascii="宋体" w:hAnsi="宋体" w:eastAsia="宋体" w:cs="宋体"/>
          <w:sz w:val="28"/>
          <w:szCs w:val="28"/>
        </w:rPr>
        <w:t>年7月11日至202</w:t>
      </w:r>
      <w:r>
        <w:rPr>
          <w:rFonts w:hint="eastAsia" w:ascii="宋体" w:hAnsi="宋体" w:eastAsia="宋体" w:cs="宋体"/>
          <w:sz w:val="28"/>
          <w:szCs w:val="28"/>
          <w:lang w:val="en-US" w:eastAsia="zh-CN"/>
        </w:rPr>
        <w:t>4</w:t>
      </w:r>
      <w:r>
        <w:rPr>
          <w:rFonts w:hint="eastAsia" w:ascii="宋体" w:hAnsi="宋体" w:eastAsia="宋体" w:cs="宋体"/>
          <w:sz w:val="28"/>
          <w:szCs w:val="28"/>
        </w:rPr>
        <w:t>年7月10日，许可经营范围为汽油、柴油。</w:t>
      </w:r>
    </w:p>
    <w:p w14:paraId="2D99A400">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根据《中华人民共和国安全生产法》、（中华人民共和国国家主席令【2021】第八十八号）、《危险化学品安全管理条例》国务院第591号令（645号修订）、《危险化学品经营许可证管理办法》国家安监总局55号令（安监总局令第79号修正）的要求：危险化学品经营许可证有效期为3年。有效期满后，经营单位继续从事危险化学品经营活动的，应当在经营许可证有效期满前3个月内向发证机关提出换证申请。</w:t>
      </w:r>
    </w:p>
    <w:p w14:paraId="154BCAC8">
      <w:pPr>
        <w:pStyle w:val="9"/>
        <w:spacing w:before="0" w:beforeAutospacing="0" w:after="0" w:afterAutospacing="0" w:line="600" w:lineRule="exact"/>
        <w:ind w:firstLine="560" w:firstLineChars="200"/>
        <w:jc w:val="both"/>
        <w:rPr>
          <w:rFonts w:hint="eastAsia" w:ascii="宋体" w:hAnsi="宋体" w:eastAsia="宋体" w:cs="宋体"/>
          <w:sz w:val="28"/>
          <w:szCs w:val="28"/>
        </w:rPr>
      </w:pPr>
      <w:r>
        <w:rPr>
          <w:rFonts w:hint="eastAsia" w:ascii="宋体" w:hAnsi="宋体" w:eastAsia="宋体" w:cs="宋体"/>
          <w:sz w:val="28"/>
          <w:szCs w:val="28"/>
        </w:rPr>
        <w:t>江西赣安安全生产科学技术咨询服务中心受中国石化销售股份有限公司江西余干石油分公司社庚加油站的委托</w:t>
      </w:r>
      <w:r>
        <w:rPr>
          <w:rFonts w:hint="eastAsia" w:ascii="宋体" w:hAnsi="宋体" w:eastAsia="宋体" w:cs="宋体"/>
          <w:sz w:val="28"/>
          <w:szCs w:val="28"/>
          <w:lang w:eastAsia="zh-CN"/>
        </w:rPr>
        <w:t>，</w:t>
      </w:r>
      <w:r>
        <w:rPr>
          <w:rFonts w:hint="eastAsia" w:ascii="宋体" w:hAnsi="宋体" w:eastAsia="宋体" w:cs="宋体"/>
          <w:sz w:val="28"/>
          <w:szCs w:val="28"/>
        </w:rPr>
        <w:t>202</w:t>
      </w:r>
      <w:r>
        <w:rPr>
          <w:rFonts w:hint="eastAsia" w:ascii="宋体" w:hAnsi="宋体" w:eastAsia="宋体" w:cs="宋体"/>
          <w:sz w:val="28"/>
          <w:szCs w:val="28"/>
          <w:lang w:val="en-US" w:eastAsia="zh-CN"/>
        </w:rPr>
        <w:t>4</w:t>
      </w:r>
      <w:r>
        <w:rPr>
          <w:rFonts w:hint="eastAsia" w:ascii="宋体" w:hAnsi="宋体" w:eastAsia="宋体" w:cs="宋体"/>
          <w:sz w:val="28"/>
          <w:szCs w:val="28"/>
        </w:rPr>
        <w:t>年</w:t>
      </w:r>
      <w:r>
        <w:rPr>
          <w:rFonts w:hint="eastAsia" w:cs="宋体"/>
          <w:sz w:val="28"/>
          <w:szCs w:val="28"/>
          <w:lang w:val="en-US" w:eastAsia="zh-CN"/>
        </w:rPr>
        <w:t>4</w:t>
      </w:r>
      <w:r>
        <w:rPr>
          <w:rFonts w:hint="eastAsia" w:ascii="宋体" w:hAnsi="宋体" w:eastAsia="宋体" w:cs="宋体"/>
          <w:sz w:val="28"/>
          <w:szCs w:val="28"/>
        </w:rPr>
        <w:t>月组织安全评价人员，针对该加油站经营、储存场所、经营条件、人员培训、安全生产管理制度、事故应急救援方面进行检查评价，依据AQ8001-20</w:t>
      </w:r>
      <w:r>
        <w:rPr>
          <w:rFonts w:hint="eastAsia" w:cs="宋体"/>
          <w:sz w:val="28"/>
          <w:szCs w:val="28"/>
          <w:lang w:val="en-US" w:eastAsia="zh-CN"/>
        </w:rPr>
        <w:t>07</w:t>
      </w:r>
      <w:r>
        <w:rPr>
          <w:rFonts w:hint="eastAsia" w:ascii="宋体" w:hAnsi="宋体" w:eastAsia="宋体" w:cs="宋体"/>
          <w:sz w:val="28"/>
          <w:szCs w:val="28"/>
        </w:rPr>
        <w:t>《安全评价通则》及国家安全生产监督管理总局安监管管二字［2003］38号《危险化学品经营单位安全评价导则（试行）》等现行危险化学品安全评价标准编制安全评价报告。</w:t>
      </w:r>
    </w:p>
    <w:p w14:paraId="52231CE1">
      <w:pPr>
        <w:pStyle w:val="9"/>
        <w:spacing w:before="0" w:beforeAutospacing="0" w:after="0" w:afterAutospacing="0" w:line="600" w:lineRule="exact"/>
        <w:ind w:firstLine="560" w:firstLineChars="200"/>
        <w:jc w:val="both"/>
        <w:rPr>
          <w:rFonts w:hint="eastAsia" w:ascii="宋体" w:hAnsi="宋体" w:eastAsia="宋体" w:cs="宋体"/>
          <w:sz w:val="28"/>
          <w:szCs w:val="28"/>
        </w:rPr>
      </w:pPr>
      <w:r>
        <w:rPr>
          <w:rFonts w:hint="eastAsia" w:ascii="宋体" w:hAnsi="宋体" w:eastAsia="宋体" w:cs="宋体"/>
          <w:sz w:val="28"/>
          <w:szCs w:val="28"/>
        </w:rPr>
        <w:t>本报告未盖“江西赣安安全生产科学技术咨询服务中心”印章无效；本报告涂改、缺页无效；本报告评价项目负责人、报告编制人、评价过程控制负责人、技术负责人、报告审核人未签字无效；复制本报告无重新加盖印章无效。</w:t>
      </w:r>
    </w:p>
    <w:p w14:paraId="116A5405">
      <w:pPr>
        <w:pStyle w:val="9"/>
        <w:spacing w:before="0" w:beforeAutospacing="0" w:after="0" w:afterAutospacing="0" w:line="600" w:lineRule="exact"/>
        <w:ind w:firstLine="560" w:firstLineChars="200"/>
        <w:jc w:val="both"/>
        <w:rPr>
          <w:rFonts w:hint="eastAsia" w:ascii="宋体" w:hAnsi="宋体" w:eastAsia="宋体" w:cs="宋体"/>
          <w:sz w:val="28"/>
          <w:szCs w:val="28"/>
        </w:rPr>
      </w:pPr>
      <w:r>
        <w:rPr>
          <w:rFonts w:hint="eastAsia" w:ascii="宋体" w:hAnsi="宋体" w:eastAsia="宋体" w:cs="宋体"/>
          <w:sz w:val="28"/>
          <w:szCs w:val="28"/>
        </w:rPr>
        <w:t>在评价过程中，得到了中国石化销售股份有限公司江西余干石油分公司社庚加油站的大力支持。评价组全体成员对此表示感谢。</w:t>
      </w:r>
    </w:p>
    <w:p w14:paraId="670B78D6">
      <w:pPr>
        <w:rPr>
          <w:rFonts w:hint="eastAsia" w:ascii="宋体" w:hAnsi="宋体" w:eastAsia="宋体" w:cs="宋体"/>
          <w:sz w:val="28"/>
          <w:szCs w:val="28"/>
        </w:rPr>
      </w:pPr>
      <w:r>
        <w:rPr>
          <w:rFonts w:hint="eastAsia" w:ascii="宋体" w:hAnsi="宋体" w:eastAsia="宋体" w:cs="宋体"/>
          <w:sz w:val="28"/>
          <w:szCs w:val="28"/>
        </w:rPr>
        <w:br w:type="page"/>
      </w:r>
    </w:p>
    <w:sdt>
      <w:sdtPr>
        <w:rPr>
          <w:rFonts w:ascii="宋体" w:hAnsi="宋体" w:eastAsia="宋体" w:cs="Calibri"/>
          <w:kern w:val="2"/>
          <w:sz w:val="21"/>
          <w:szCs w:val="21"/>
          <w:lang w:val="en-US" w:eastAsia="zh-CN" w:bidi="ar-SA"/>
        </w:rPr>
        <w:id w:val="147466374"/>
        <w15:color w:val="DBDBDB"/>
        <w:docPartObj>
          <w:docPartGallery w:val="Table of Contents"/>
          <w:docPartUnique/>
        </w:docPartObj>
      </w:sdtPr>
      <w:sdtEndPr>
        <w:rPr>
          <w:rFonts w:ascii="宋体" w:hAnsi="宋体" w:eastAsia="宋体" w:cs="Calibri"/>
          <w:kern w:val="2"/>
          <w:sz w:val="21"/>
          <w:szCs w:val="21"/>
          <w:lang w:val="en-US" w:eastAsia="zh-CN" w:bidi="ar-SA"/>
        </w:rPr>
      </w:sdtEndPr>
      <w:sdtContent>
        <w:p w14:paraId="6696A89D">
          <w:pPr>
            <w:spacing w:before="0" w:beforeLines="0" w:after="0" w:afterLines="0" w:line="240" w:lineRule="auto"/>
            <w:ind w:left="0" w:leftChars="0" w:right="0" w:rightChars="0" w:firstLine="0" w:firstLineChars="0"/>
            <w:jc w:val="center"/>
          </w:pPr>
          <w:r>
            <w:rPr>
              <w:rFonts w:ascii="宋体" w:hAnsi="宋体" w:eastAsia="宋体"/>
              <w:sz w:val="21"/>
            </w:rPr>
            <w:t>目录</w:t>
          </w:r>
        </w:p>
        <w:p w14:paraId="70D19C92">
          <w:pPr>
            <w:pStyle w:val="13"/>
            <w:tabs>
              <w:tab w:val="right" w:leader="dot" w:pos="9072"/>
            </w:tabs>
          </w:pPr>
          <w:r>
            <w:fldChar w:fldCharType="begin"/>
          </w:r>
          <w:r>
            <w:instrText xml:space="preserve">TOC \o "1-3" \h \u </w:instrText>
          </w:r>
          <w:r>
            <w:fldChar w:fldCharType="separate"/>
          </w:r>
          <w:r>
            <w:fldChar w:fldCharType="begin"/>
          </w:r>
          <w:r>
            <w:instrText xml:space="preserve"> HYPERLINK \l _Toc25756 </w:instrText>
          </w:r>
          <w:r>
            <w:fldChar w:fldCharType="separate"/>
          </w:r>
          <w:r>
            <w:rPr>
              <w:rFonts w:hint="eastAsia" w:ascii="楷体" w:hAnsi="楷体" w:eastAsia="楷体" w:cs="楷体"/>
              <w:szCs w:val="32"/>
            </w:rPr>
            <w:t>1评价概述</w:t>
          </w:r>
          <w:r>
            <w:tab/>
          </w:r>
          <w:r>
            <w:fldChar w:fldCharType="begin"/>
          </w:r>
          <w:r>
            <w:instrText xml:space="preserve"> PAGEREF _Toc25756 \h </w:instrText>
          </w:r>
          <w:r>
            <w:fldChar w:fldCharType="separate"/>
          </w:r>
          <w:r>
            <w:t>1</w:t>
          </w:r>
          <w:r>
            <w:fldChar w:fldCharType="end"/>
          </w:r>
          <w:r>
            <w:fldChar w:fldCharType="end"/>
          </w:r>
        </w:p>
        <w:p w14:paraId="21A341AB">
          <w:pPr>
            <w:pStyle w:val="16"/>
            <w:tabs>
              <w:tab w:val="right" w:leader="dot" w:pos="9072"/>
            </w:tabs>
          </w:pPr>
          <w:r>
            <w:fldChar w:fldCharType="begin"/>
          </w:r>
          <w:r>
            <w:instrText xml:space="preserve"> HYPERLINK \l _Toc19436 </w:instrText>
          </w:r>
          <w:r>
            <w:fldChar w:fldCharType="separate"/>
          </w:r>
          <w:r>
            <w:rPr>
              <w:rFonts w:hint="eastAsia" w:ascii="楷体" w:hAnsi="楷体" w:eastAsia="楷体" w:cs="楷体"/>
              <w:bCs/>
              <w:szCs w:val="32"/>
            </w:rPr>
            <w:t>1.1评价的目的</w:t>
          </w:r>
          <w:r>
            <w:tab/>
          </w:r>
          <w:r>
            <w:fldChar w:fldCharType="begin"/>
          </w:r>
          <w:r>
            <w:instrText xml:space="preserve"> PAGEREF _Toc19436 \h </w:instrText>
          </w:r>
          <w:r>
            <w:fldChar w:fldCharType="separate"/>
          </w:r>
          <w:r>
            <w:t>1</w:t>
          </w:r>
          <w:r>
            <w:fldChar w:fldCharType="end"/>
          </w:r>
          <w:r>
            <w:fldChar w:fldCharType="end"/>
          </w:r>
        </w:p>
        <w:p w14:paraId="44B07EA5">
          <w:pPr>
            <w:pStyle w:val="16"/>
            <w:tabs>
              <w:tab w:val="right" w:leader="dot" w:pos="9072"/>
            </w:tabs>
          </w:pPr>
          <w:r>
            <w:fldChar w:fldCharType="begin"/>
          </w:r>
          <w:r>
            <w:instrText xml:space="preserve"> HYPERLINK \l _Toc19876 </w:instrText>
          </w:r>
          <w:r>
            <w:fldChar w:fldCharType="separate"/>
          </w:r>
          <w:r>
            <w:rPr>
              <w:rFonts w:hint="eastAsia" w:ascii="楷体" w:hAnsi="楷体" w:eastAsia="楷体" w:cs="楷体"/>
              <w:szCs w:val="32"/>
            </w:rPr>
            <w:t>1.2评价的原则</w:t>
          </w:r>
          <w:r>
            <w:tab/>
          </w:r>
          <w:r>
            <w:fldChar w:fldCharType="begin"/>
          </w:r>
          <w:r>
            <w:instrText xml:space="preserve"> PAGEREF _Toc19876 \h </w:instrText>
          </w:r>
          <w:r>
            <w:fldChar w:fldCharType="separate"/>
          </w:r>
          <w:r>
            <w:t>1</w:t>
          </w:r>
          <w:r>
            <w:fldChar w:fldCharType="end"/>
          </w:r>
          <w:r>
            <w:fldChar w:fldCharType="end"/>
          </w:r>
        </w:p>
        <w:p w14:paraId="17ABFE08">
          <w:pPr>
            <w:pStyle w:val="16"/>
            <w:tabs>
              <w:tab w:val="right" w:leader="dot" w:pos="9072"/>
            </w:tabs>
          </w:pPr>
          <w:r>
            <w:fldChar w:fldCharType="begin"/>
          </w:r>
          <w:r>
            <w:instrText xml:space="preserve"> HYPERLINK \l _Toc3381 </w:instrText>
          </w:r>
          <w:r>
            <w:fldChar w:fldCharType="separate"/>
          </w:r>
          <w:r>
            <w:rPr>
              <w:rFonts w:hint="eastAsia" w:ascii="楷体" w:hAnsi="楷体" w:eastAsia="楷体" w:cs="楷体"/>
              <w:szCs w:val="32"/>
            </w:rPr>
            <w:t>1.3评价依据</w:t>
          </w:r>
          <w:r>
            <w:tab/>
          </w:r>
          <w:r>
            <w:fldChar w:fldCharType="begin"/>
          </w:r>
          <w:r>
            <w:instrText xml:space="preserve"> PAGEREF _Toc3381 \h </w:instrText>
          </w:r>
          <w:r>
            <w:fldChar w:fldCharType="separate"/>
          </w:r>
          <w:r>
            <w:t>2</w:t>
          </w:r>
          <w:r>
            <w:fldChar w:fldCharType="end"/>
          </w:r>
          <w:r>
            <w:fldChar w:fldCharType="end"/>
          </w:r>
        </w:p>
        <w:p w14:paraId="7B7DF06A">
          <w:pPr>
            <w:pStyle w:val="11"/>
            <w:tabs>
              <w:tab w:val="right" w:leader="dot" w:pos="9072"/>
            </w:tabs>
          </w:pPr>
          <w:r>
            <w:fldChar w:fldCharType="begin"/>
          </w:r>
          <w:r>
            <w:instrText xml:space="preserve"> HYPERLINK \l _Toc32067 </w:instrText>
          </w:r>
          <w:r>
            <w:fldChar w:fldCharType="separate"/>
          </w:r>
          <w:r>
            <w:rPr>
              <w:rFonts w:hint="eastAsia" w:ascii="楷体" w:hAnsi="楷体" w:eastAsia="楷体" w:cs="楷体"/>
              <w:szCs w:val="32"/>
            </w:rPr>
            <w:t>1.3.1法律、法规、规定、规范性文件</w:t>
          </w:r>
          <w:r>
            <w:tab/>
          </w:r>
          <w:r>
            <w:fldChar w:fldCharType="begin"/>
          </w:r>
          <w:r>
            <w:instrText xml:space="preserve"> PAGEREF _Toc32067 \h </w:instrText>
          </w:r>
          <w:r>
            <w:fldChar w:fldCharType="separate"/>
          </w:r>
          <w:r>
            <w:t>2</w:t>
          </w:r>
          <w:r>
            <w:fldChar w:fldCharType="end"/>
          </w:r>
          <w:r>
            <w:fldChar w:fldCharType="end"/>
          </w:r>
        </w:p>
        <w:p w14:paraId="3CF7F2E3">
          <w:pPr>
            <w:pStyle w:val="11"/>
            <w:tabs>
              <w:tab w:val="right" w:leader="dot" w:pos="9072"/>
            </w:tabs>
          </w:pPr>
          <w:r>
            <w:fldChar w:fldCharType="begin"/>
          </w:r>
          <w:r>
            <w:instrText xml:space="preserve"> HYPERLINK \l _Toc27143 </w:instrText>
          </w:r>
          <w:r>
            <w:fldChar w:fldCharType="separate"/>
          </w:r>
          <w:r>
            <w:rPr>
              <w:rFonts w:hint="eastAsia" w:ascii="楷体" w:hAnsi="楷体" w:eastAsia="楷体" w:cs="楷体"/>
              <w:szCs w:val="32"/>
            </w:rPr>
            <w:t>1.3.2评价标准、规范</w:t>
          </w:r>
          <w:r>
            <w:tab/>
          </w:r>
          <w:r>
            <w:fldChar w:fldCharType="begin"/>
          </w:r>
          <w:r>
            <w:instrText xml:space="preserve"> PAGEREF _Toc27143 \h </w:instrText>
          </w:r>
          <w:r>
            <w:fldChar w:fldCharType="separate"/>
          </w:r>
          <w:r>
            <w:t>6</w:t>
          </w:r>
          <w:r>
            <w:fldChar w:fldCharType="end"/>
          </w:r>
          <w:r>
            <w:fldChar w:fldCharType="end"/>
          </w:r>
        </w:p>
        <w:p w14:paraId="08ED68C6">
          <w:pPr>
            <w:pStyle w:val="16"/>
            <w:tabs>
              <w:tab w:val="right" w:leader="dot" w:pos="9072"/>
            </w:tabs>
          </w:pPr>
          <w:r>
            <w:fldChar w:fldCharType="begin"/>
          </w:r>
          <w:r>
            <w:instrText xml:space="preserve"> HYPERLINK \l _Toc20833 </w:instrText>
          </w:r>
          <w:r>
            <w:fldChar w:fldCharType="separate"/>
          </w:r>
          <w:r>
            <w:rPr>
              <w:rFonts w:hint="eastAsia" w:ascii="楷体" w:hAnsi="楷体" w:eastAsia="楷体" w:cs="楷体"/>
              <w:szCs w:val="32"/>
            </w:rPr>
            <w:t>1.</w:t>
          </w:r>
          <w:r>
            <w:rPr>
              <w:rFonts w:hint="eastAsia" w:ascii="楷体" w:hAnsi="楷体" w:eastAsia="楷体" w:cs="楷体"/>
              <w:szCs w:val="32"/>
              <w:lang w:val="en-US" w:eastAsia="zh-CN"/>
            </w:rPr>
            <w:t>4</w:t>
          </w:r>
          <w:r>
            <w:rPr>
              <w:rFonts w:hint="eastAsia" w:ascii="楷体" w:hAnsi="楷体" w:eastAsia="楷体" w:cs="楷体"/>
              <w:szCs w:val="32"/>
            </w:rPr>
            <w:t>评价范围</w:t>
          </w:r>
          <w:r>
            <w:tab/>
          </w:r>
          <w:r>
            <w:fldChar w:fldCharType="begin"/>
          </w:r>
          <w:r>
            <w:instrText xml:space="preserve"> PAGEREF _Toc20833 \h </w:instrText>
          </w:r>
          <w:r>
            <w:fldChar w:fldCharType="separate"/>
          </w:r>
          <w:r>
            <w:t>8</w:t>
          </w:r>
          <w:r>
            <w:fldChar w:fldCharType="end"/>
          </w:r>
          <w:r>
            <w:fldChar w:fldCharType="end"/>
          </w:r>
        </w:p>
        <w:p w14:paraId="3EB3ACD3">
          <w:pPr>
            <w:pStyle w:val="16"/>
            <w:tabs>
              <w:tab w:val="right" w:leader="dot" w:pos="9072"/>
            </w:tabs>
          </w:pPr>
          <w:r>
            <w:fldChar w:fldCharType="begin"/>
          </w:r>
          <w:r>
            <w:instrText xml:space="preserve"> HYPERLINK \l _Toc9491 </w:instrText>
          </w:r>
          <w:r>
            <w:fldChar w:fldCharType="separate"/>
          </w:r>
          <w:r>
            <w:rPr>
              <w:rFonts w:hint="eastAsia" w:ascii="楷体" w:hAnsi="楷体" w:eastAsia="楷体" w:cs="楷体"/>
              <w:bCs/>
              <w:szCs w:val="30"/>
            </w:rPr>
            <w:t>1.</w:t>
          </w:r>
          <w:r>
            <w:rPr>
              <w:rFonts w:hint="eastAsia" w:ascii="楷体" w:hAnsi="楷体" w:eastAsia="楷体" w:cs="楷体"/>
              <w:bCs/>
              <w:szCs w:val="30"/>
              <w:lang w:val="en-US" w:eastAsia="zh-CN"/>
            </w:rPr>
            <w:t>5</w:t>
          </w:r>
          <w:r>
            <w:rPr>
              <w:rFonts w:hint="eastAsia" w:ascii="楷体" w:hAnsi="楷体" w:eastAsia="楷体" w:cs="楷体"/>
              <w:bCs/>
              <w:szCs w:val="30"/>
            </w:rPr>
            <w:t>评价程序</w:t>
          </w:r>
          <w:r>
            <w:tab/>
          </w:r>
          <w:r>
            <w:fldChar w:fldCharType="begin"/>
          </w:r>
          <w:r>
            <w:instrText xml:space="preserve"> PAGEREF _Toc9491 \h </w:instrText>
          </w:r>
          <w:r>
            <w:fldChar w:fldCharType="separate"/>
          </w:r>
          <w:r>
            <w:t>8</w:t>
          </w:r>
          <w:r>
            <w:fldChar w:fldCharType="end"/>
          </w:r>
          <w:r>
            <w:fldChar w:fldCharType="end"/>
          </w:r>
        </w:p>
        <w:p w14:paraId="64964EFA">
          <w:pPr>
            <w:pStyle w:val="13"/>
            <w:tabs>
              <w:tab w:val="right" w:leader="dot" w:pos="9072"/>
            </w:tabs>
          </w:pPr>
          <w:r>
            <w:fldChar w:fldCharType="begin"/>
          </w:r>
          <w:r>
            <w:instrText xml:space="preserve"> HYPERLINK \l _Toc5291 </w:instrText>
          </w:r>
          <w:r>
            <w:fldChar w:fldCharType="separate"/>
          </w:r>
          <w:r>
            <w:rPr>
              <w:rFonts w:hint="eastAsia" w:ascii="楷体" w:hAnsi="楷体" w:eastAsia="楷体" w:cs="楷体"/>
              <w:szCs w:val="32"/>
            </w:rPr>
            <w:t>2加油站基本情况</w:t>
          </w:r>
          <w:r>
            <w:tab/>
          </w:r>
          <w:r>
            <w:fldChar w:fldCharType="begin"/>
          </w:r>
          <w:r>
            <w:instrText xml:space="preserve"> PAGEREF _Toc5291 \h </w:instrText>
          </w:r>
          <w:r>
            <w:fldChar w:fldCharType="separate"/>
          </w:r>
          <w:r>
            <w:t>11</w:t>
          </w:r>
          <w:r>
            <w:fldChar w:fldCharType="end"/>
          </w:r>
          <w:r>
            <w:fldChar w:fldCharType="end"/>
          </w:r>
        </w:p>
        <w:p w14:paraId="694B3F13">
          <w:pPr>
            <w:pStyle w:val="16"/>
            <w:tabs>
              <w:tab w:val="right" w:leader="dot" w:pos="9072"/>
            </w:tabs>
          </w:pPr>
          <w:r>
            <w:fldChar w:fldCharType="begin"/>
          </w:r>
          <w:r>
            <w:instrText xml:space="preserve"> HYPERLINK \l _Toc11789 </w:instrText>
          </w:r>
          <w:r>
            <w:fldChar w:fldCharType="separate"/>
          </w:r>
          <w:r>
            <w:rPr>
              <w:rFonts w:hint="eastAsia" w:ascii="楷体" w:hAnsi="楷体" w:eastAsia="楷体" w:cs="楷体"/>
              <w:bCs/>
              <w:szCs w:val="32"/>
            </w:rPr>
            <w:t>2.1加油站基本情况</w:t>
          </w:r>
          <w:r>
            <w:tab/>
          </w:r>
          <w:r>
            <w:fldChar w:fldCharType="begin"/>
          </w:r>
          <w:r>
            <w:instrText xml:space="preserve"> PAGEREF _Toc11789 \h </w:instrText>
          </w:r>
          <w:r>
            <w:fldChar w:fldCharType="separate"/>
          </w:r>
          <w:r>
            <w:t>11</w:t>
          </w:r>
          <w:r>
            <w:fldChar w:fldCharType="end"/>
          </w:r>
          <w:r>
            <w:fldChar w:fldCharType="end"/>
          </w:r>
        </w:p>
        <w:p w14:paraId="2EB6F845">
          <w:pPr>
            <w:pStyle w:val="16"/>
            <w:tabs>
              <w:tab w:val="right" w:leader="dot" w:pos="9072"/>
            </w:tabs>
          </w:pPr>
          <w:r>
            <w:fldChar w:fldCharType="begin"/>
          </w:r>
          <w:r>
            <w:instrText xml:space="preserve"> HYPERLINK \l _Toc28886 </w:instrText>
          </w:r>
          <w:r>
            <w:fldChar w:fldCharType="separate"/>
          </w:r>
          <w:r>
            <w:rPr>
              <w:rFonts w:hint="eastAsia" w:ascii="楷体" w:hAnsi="楷体" w:eastAsia="楷体" w:cs="楷体"/>
              <w:szCs w:val="32"/>
            </w:rPr>
            <w:t>2.2加油站主要情况</w:t>
          </w:r>
          <w:r>
            <w:tab/>
          </w:r>
          <w:r>
            <w:fldChar w:fldCharType="begin"/>
          </w:r>
          <w:r>
            <w:instrText xml:space="preserve"> PAGEREF _Toc28886 \h </w:instrText>
          </w:r>
          <w:r>
            <w:fldChar w:fldCharType="separate"/>
          </w:r>
          <w:r>
            <w:t>12</w:t>
          </w:r>
          <w:r>
            <w:fldChar w:fldCharType="end"/>
          </w:r>
          <w:r>
            <w:fldChar w:fldCharType="end"/>
          </w:r>
        </w:p>
        <w:p w14:paraId="702F74F6">
          <w:pPr>
            <w:pStyle w:val="11"/>
            <w:tabs>
              <w:tab w:val="right" w:leader="dot" w:pos="9072"/>
            </w:tabs>
          </w:pPr>
          <w:r>
            <w:fldChar w:fldCharType="begin"/>
          </w:r>
          <w:r>
            <w:instrText xml:space="preserve"> HYPERLINK \l _Toc21516 </w:instrText>
          </w:r>
          <w:r>
            <w:fldChar w:fldCharType="separate"/>
          </w:r>
          <w:r>
            <w:rPr>
              <w:rFonts w:hint="eastAsia" w:ascii="楷体" w:hAnsi="楷体" w:eastAsia="楷体" w:cs="楷体"/>
              <w:szCs w:val="32"/>
            </w:rPr>
            <w:t>2.2.1站址</w:t>
          </w:r>
          <w:r>
            <w:tab/>
          </w:r>
          <w:r>
            <w:fldChar w:fldCharType="begin"/>
          </w:r>
          <w:r>
            <w:instrText xml:space="preserve"> PAGEREF _Toc21516 \h </w:instrText>
          </w:r>
          <w:r>
            <w:fldChar w:fldCharType="separate"/>
          </w:r>
          <w:r>
            <w:t>12</w:t>
          </w:r>
          <w:r>
            <w:fldChar w:fldCharType="end"/>
          </w:r>
          <w:r>
            <w:fldChar w:fldCharType="end"/>
          </w:r>
        </w:p>
        <w:p w14:paraId="2B47E118">
          <w:pPr>
            <w:pStyle w:val="11"/>
            <w:tabs>
              <w:tab w:val="right" w:leader="dot" w:pos="9072"/>
            </w:tabs>
          </w:pPr>
          <w:r>
            <w:fldChar w:fldCharType="begin"/>
          </w:r>
          <w:r>
            <w:instrText xml:space="preserve"> HYPERLINK \l _Toc23141 </w:instrText>
          </w:r>
          <w:r>
            <w:fldChar w:fldCharType="separate"/>
          </w:r>
          <w:r>
            <w:rPr>
              <w:rFonts w:hint="eastAsia" w:ascii="楷体" w:hAnsi="楷体" w:eastAsia="楷体" w:cs="楷体"/>
              <w:szCs w:val="32"/>
              <w:lang w:eastAsia="zh-CN"/>
            </w:rPr>
            <w:t>2.2.2</w:t>
          </w:r>
          <w:r>
            <w:rPr>
              <w:rFonts w:hint="eastAsia" w:ascii="楷体" w:hAnsi="楷体" w:eastAsia="楷体" w:cs="楷体"/>
              <w:szCs w:val="32"/>
            </w:rPr>
            <w:t>周围环境</w:t>
          </w:r>
          <w:r>
            <w:tab/>
          </w:r>
          <w:r>
            <w:fldChar w:fldCharType="begin"/>
          </w:r>
          <w:r>
            <w:instrText xml:space="preserve"> PAGEREF _Toc23141 \h </w:instrText>
          </w:r>
          <w:r>
            <w:fldChar w:fldCharType="separate"/>
          </w:r>
          <w:r>
            <w:t>13</w:t>
          </w:r>
          <w:r>
            <w:fldChar w:fldCharType="end"/>
          </w:r>
          <w:r>
            <w:fldChar w:fldCharType="end"/>
          </w:r>
        </w:p>
        <w:p w14:paraId="5312A221">
          <w:pPr>
            <w:pStyle w:val="11"/>
            <w:tabs>
              <w:tab w:val="right" w:leader="dot" w:pos="9072"/>
            </w:tabs>
          </w:pPr>
          <w:r>
            <w:fldChar w:fldCharType="begin"/>
          </w:r>
          <w:r>
            <w:instrText xml:space="preserve"> HYPERLINK \l _Toc27294 </w:instrText>
          </w:r>
          <w:r>
            <w:fldChar w:fldCharType="separate"/>
          </w:r>
          <w:r>
            <w:rPr>
              <w:rFonts w:hint="eastAsia" w:ascii="楷体" w:hAnsi="楷体" w:eastAsia="楷体" w:cs="楷体"/>
              <w:szCs w:val="32"/>
            </w:rPr>
            <w:t>2.2.3气象条件</w:t>
          </w:r>
          <w:r>
            <w:tab/>
          </w:r>
          <w:r>
            <w:fldChar w:fldCharType="begin"/>
          </w:r>
          <w:r>
            <w:instrText xml:space="preserve"> PAGEREF _Toc27294 \h </w:instrText>
          </w:r>
          <w:r>
            <w:fldChar w:fldCharType="separate"/>
          </w:r>
          <w:r>
            <w:t>14</w:t>
          </w:r>
          <w:r>
            <w:fldChar w:fldCharType="end"/>
          </w:r>
          <w:r>
            <w:fldChar w:fldCharType="end"/>
          </w:r>
        </w:p>
        <w:p w14:paraId="012FB15B">
          <w:pPr>
            <w:pStyle w:val="11"/>
            <w:tabs>
              <w:tab w:val="right" w:leader="dot" w:pos="9072"/>
            </w:tabs>
          </w:pPr>
          <w:r>
            <w:fldChar w:fldCharType="begin"/>
          </w:r>
          <w:r>
            <w:instrText xml:space="preserve"> HYPERLINK \l _Toc16599 </w:instrText>
          </w:r>
          <w:r>
            <w:fldChar w:fldCharType="separate"/>
          </w:r>
          <w:r>
            <w:rPr>
              <w:rFonts w:hint="eastAsia" w:ascii="楷体" w:hAnsi="楷体" w:eastAsia="楷体" w:cs="楷体"/>
              <w:szCs w:val="32"/>
            </w:rPr>
            <w:t>2.2.4交通运输</w:t>
          </w:r>
          <w:r>
            <w:tab/>
          </w:r>
          <w:r>
            <w:fldChar w:fldCharType="begin"/>
          </w:r>
          <w:r>
            <w:instrText xml:space="preserve"> PAGEREF _Toc16599 \h </w:instrText>
          </w:r>
          <w:r>
            <w:fldChar w:fldCharType="separate"/>
          </w:r>
          <w:r>
            <w:t>14</w:t>
          </w:r>
          <w:r>
            <w:fldChar w:fldCharType="end"/>
          </w:r>
          <w:r>
            <w:fldChar w:fldCharType="end"/>
          </w:r>
        </w:p>
        <w:p w14:paraId="2A0BE797">
          <w:pPr>
            <w:pStyle w:val="11"/>
            <w:tabs>
              <w:tab w:val="right" w:leader="dot" w:pos="9072"/>
            </w:tabs>
          </w:pPr>
          <w:r>
            <w:fldChar w:fldCharType="begin"/>
          </w:r>
          <w:r>
            <w:instrText xml:space="preserve"> HYPERLINK \l _Toc6003 </w:instrText>
          </w:r>
          <w:r>
            <w:fldChar w:fldCharType="separate"/>
          </w:r>
          <w:r>
            <w:rPr>
              <w:rFonts w:hint="eastAsia" w:ascii="楷体" w:hAnsi="楷体" w:eastAsia="楷体" w:cs="楷体"/>
              <w:szCs w:val="32"/>
            </w:rPr>
            <w:t>2.2.5总平面布置</w:t>
          </w:r>
          <w:r>
            <w:tab/>
          </w:r>
          <w:r>
            <w:fldChar w:fldCharType="begin"/>
          </w:r>
          <w:r>
            <w:instrText xml:space="preserve"> PAGEREF _Toc6003 \h </w:instrText>
          </w:r>
          <w:r>
            <w:fldChar w:fldCharType="separate"/>
          </w:r>
          <w:r>
            <w:t>14</w:t>
          </w:r>
          <w:r>
            <w:fldChar w:fldCharType="end"/>
          </w:r>
          <w:r>
            <w:fldChar w:fldCharType="end"/>
          </w:r>
        </w:p>
        <w:p w14:paraId="627413BC">
          <w:pPr>
            <w:pStyle w:val="16"/>
            <w:tabs>
              <w:tab w:val="right" w:leader="dot" w:pos="9072"/>
            </w:tabs>
          </w:pPr>
          <w:r>
            <w:fldChar w:fldCharType="begin"/>
          </w:r>
          <w:r>
            <w:instrText xml:space="preserve"> HYPERLINK \l _Toc32247 </w:instrText>
          </w:r>
          <w:r>
            <w:fldChar w:fldCharType="separate"/>
          </w:r>
          <w:r>
            <w:rPr>
              <w:rFonts w:hint="eastAsia" w:ascii="楷体" w:hAnsi="楷体" w:eastAsia="楷体" w:cs="楷体"/>
              <w:szCs w:val="32"/>
            </w:rPr>
            <w:t>2.3主要设备、建筑物及工艺</w:t>
          </w:r>
          <w:r>
            <w:tab/>
          </w:r>
          <w:r>
            <w:fldChar w:fldCharType="begin"/>
          </w:r>
          <w:r>
            <w:instrText xml:space="preserve"> PAGEREF _Toc32247 \h </w:instrText>
          </w:r>
          <w:r>
            <w:fldChar w:fldCharType="separate"/>
          </w:r>
          <w:r>
            <w:t>16</w:t>
          </w:r>
          <w:r>
            <w:fldChar w:fldCharType="end"/>
          </w:r>
          <w:r>
            <w:fldChar w:fldCharType="end"/>
          </w:r>
        </w:p>
        <w:p w14:paraId="668D9351">
          <w:pPr>
            <w:pStyle w:val="11"/>
            <w:tabs>
              <w:tab w:val="right" w:leader="dot" w:pos="9072"/>
            </w:tabs>
          </w:pPr>
          <w:r>
            <w:fldChar w:fldCharType="begin"/>
          </w:r>
          <w:r>
            <w:instrText xml:space="preserve"> HYPERLINK \l _Toc26833 </w:instrText>
          </w:r>
          <w:r>
            <w:fldChar w:fldCharType="separate"/>
          </w:r>
          <w:r>
            <w:rPr>
              <w:rFonts w:hint="eastAsia" w:ascii="楷体" w:hAnsi="楷体" w:eastAsia="楷体" w:cs="楷体"/>
              <w:szCs w:val="32"/>
            </w:rPr>
            <w:t>2.3.1主要设备、建筑物</w:t>
          </w:r>
          <w:r>
            <w:tab/>
          </w:r>
          <w:r>
            <w:fldChar w:fldCharType="begin"/>
          </w:r>
          <w:r>
            <w:instrText xml:space="preserve"> PAGEREF _Toc26833 \h </w:instrText>
          </w:r>
          <w:r>
            <w:fldChar w:fldCharType="separate"/>
          </w:r>
          <w:r>
            <w:t>16</w:t>
          </w:r>
          <w:r>
            <w:fldChar w:fldCharType="end"/>
          </w:r>
          <w:r>
            <w:fldChar w:fldCharType="end"/>
          </w:r>
        </w:p>
        <w:p w14:paraId="34FE0058">
          <w:pPr>
            <w:pStyle w:val="11"/>
            <w:tabs>
              <w:tab w:val="right" w:leader="dot" w:pos="9072"/>
            </w:tabs>
          </w:pPr>
          <w:r>
            <w:fldChar w:fldCharType="begin"/>
          </w:r>
          <w:r>
            <w:instrText xml:space="preserve"> HYPERLINK \l _Toc29889 </w:instrText>
          </w:r>
          <w:r>
            <w:fldChar w:fldCharType="separate"/>
          </w:r>
          <w:r>
            <w:rPr>
              <w:rFonts w:hint="eastAsia" w:ascii="楷体" w:hAnsi="楷体" w:eastAsia="楷体" w:cs="楷体"/>
              <w:szCs w:val="32"/>
            </w:rPr>
            <w:t>2.3.2卸油工艺流程</w:t>
          </w:r>
          <w:r>
            <w:tab/>
          </w:r>
          <w:r>
            <w:fldChar w:fldCharType="begin"/>
          </w:r>
          <w:r>
            <w:instrText xml:space="preserve"> PAGEREF _Toc29889 \h </w:instrText>
          </w:r>
          <w:r>
            <w:fldChar w:fldCharType="separate"/>
          </w:r>
          <w:r>
            <w:t>17</w:t>
          </w:r>
          <w:r>
            <w:fldChar w:fldCharType="end"/>
          </w:r>
          <w:r>
            <w:fldChar w:fldCharType="end"/>
          </w:r>
        </w:p>
        <w:p w14:paraId="1F71B8F2">
          <w:pPr>
            <w:pStyle w:val="11"/>
            <w:tabs>
              <w:tab w:val="right" w:leader="dot" w:pos="9072"/>
            </w:tabs>
          </w:pPr>
          <w:r>
            <w:fldChar w:fldCharType="begin"/>
          </w:r>
          <w:r>
            <w:instrText xml:space="preserve"> HYPERLINK \l _Toc13415 </w:instrText>
          </w:r>
          <w:r>
            <w:fldChar w:fldCharType="separate"/>
          </w:r>
          <w:r>
            <w:rPr>
              <w:rFonts w:hint="eastAsia" w:ascii="楷体" w:hAnsi="楷体" w:eastAsia="楷体" w:cs="楷体"/>
              <w:szCs w:val="32"/>
            </w:rPr>
            <w:t>2.3.3加油工艺流程</w:t>
          </w:r>
          <w:r>
            <w:tab/>
          </w:r>
          <w:r>
            <w:fldChar w:fldCharType="begin"/>
          </w:r>
          <w:r>
            <w:instrText xml:space="preserve"> PAGEREF _Toc13415 \h </w:instrText>
          </w:r>
          <w:r>
            <w:fldChar w:fldCharType="separate"/>
          </w:r>
          <w:r>
            <w:t>18</w:t>
          </w:r>
          <w:r>
            <w:fldChar w:fldCharType="end"/>
          </w:r>
          <w:r>
            <w:fldChar w:fldCharType="end"/>
          </w:r>
        </w:p>
        <w:p w14:paraId="5A235228">
          <w:pPr>
            <w:pStyle w:val="16"/>
            <w:tabs>
              <w:tab w:val="right" w:leader="dot" w:pos="9072"/>
            </w:tabs>
          </w:pPr>
          <w:r>
            <w:fldChar w:fldCharType="begin"/>
          </w:r>
          <w:r>
            <w:instrText xml:space="preserve"> HYPERLINK \l _Toc12351 </w:instrText>
          </w:r>
          <w:r>
            <w:fldChar w:fldCharType="separate"/>
          </w:r>
          <w:r>
            <w:rPr>
              <w:rFonts w:hint="eastAsia" w:ascii="楷体" w:hAnsi="楷体" w:eastAsia="楷体" w:cs="楷体"/>
              <w:szCs w:val="32"/>
            </w:rPr>
            <w:t>2.4辅助设施</w:t>
          </w:r>
          <w:r>
            <w:tab/>
          </w:r>
          <w:r>
            <w:fldChar w:fldCharType="begin"/>
          </w:r>
          <w:r>
            <w:instrText xml:space="preserve"> PAGEREF _Toc12351 \h </w:instrText>
          </w:r>
          <w:r>
            <w:fldChar w:fldCharType="separate"/>
          </w:r>
          <w:r>
            <w:t>19</w:t>
          </w:r>
          <w:r>
            <w:fldChar w:fldCharType="end"/>
          </w:r>
          <w:r>
            <w:fldChar w:fldCharType="end"/>
          </w:r>
        </w:p>
        <w:p w14:paraId="660605AF">
          <w:pPr>
            <w:pStyle w:val="11"/>
            <w:tabs>
              <w:tab w:val="right" w:leader="dot" w:pos="9072"/>
            </w:tabs>
          </w:pPr>
          <w:r>
            <w:fldChar w:fldCharType="begin"/>
          </w:r>
          <w:r>
            <w:instrText xml:space="preserve"> HYPERLINK \l _Toc7373 </w:instrText>
          </w:r>
          <w:r>
            <w:fldChar w:fldCharType="separate"/>
          </w:r>
          <w:r>
            <w:rPr>
              <w:rFonts w:hint="eastAsia" w:ascii="楷体" w:hAnsi="楷体" w:eastAsia="楷体" w:cs="楷体"/>
              <w:szCs w:val="32"/>
              <w:lang w:val="en-US" w:eastAsia="zh-CN"/>
            </w:rPr>
            <w:t>2.4.1供配电</w:t>
          </w:r>
          <w:r>
            <w:tab/>
          </w:r>
          <w:r>
            <w:fldChar w:fldCharType="begin"/>
          </w:r>
          <w:r>
            <w:instrText xml:space="preserve"> PAGEREF _Toc7373 \h </w:instrText>
          </w:r>
          <w:r>
            <w:fldChar w:fldCharType="separate"/>
          </w:r>
          <w:r>
            <w:t>19</w:t>
          </w:r>
          <w:r>
            <w:fldChar w:fldCharType="end"/>
          </w:r>
          <w:r>
            <w:fldChar w:fldCharType="end"/>
          </w:r>
        </w:p>
        <w:p w14:paraId="3FDB27B4">
          <w:pPr>
            <w:pStyle w:val="11"/>
            <w:tabs>
              <w:tab w:val="right" w:leader="dot" w:pos="9072"/>
            </w:tabs>
          </w:pPr>
          <w:r>
            <w:fldChar w:fldCharType="begin"/>
          </w:r>
          <w:r>
            <w:instrText xml:space="preserve"> HYPERLINK \l _Toc17814 </w:instrText>
          </w:r>
          <w:r>
            <w:fldChar w:fldCharType="separate"/>
          </w:r>
          <w:r>
            <w:rPr>
              <w:rFonts w:hint="eastAsia" w:ascii="楷体" w:hAnsi="楷体" w:eastAsia="楷体" w:cs="楷体"/>
              <w:szCs w:val="32"/>
              <w:lang w:val="en-US" w:eastAsia="zh-CN"/>
            </w:rPr>
            <w:t>2.4.2</w:t>
          </w:r>
          <w:r>
            <w:rPr>
              <w:rFonts w:hint="eastAsia" w:ascii="楷体" w:hAnsi="楷体" w:eastAsia="楷体" w:cs="楷体"/>
              <w:szCs w:val="32"/>
            </w:rPr>
            <w:t>给排水</w:t>
          </w:r>
          <w:r>
            <w:tab/>
          </w:r>
          <w:r>
            <w:fldChar w:fldCharType="begin"/>
          </w:r>
          <w:r>
            <w:instrText xml:space="preserve"> PAGEREF _Toc17814 \h </w:instrText>
          </w:r>
          <w:r>
            <w:fldChar w:fldCharType="separate"/>
          </w:r>
          <w:r>
            <w:t>20</w:t>
          </w:r>
          <w:r>
            <w:fldChar w:fldCharType="end"/>
          </w:r>
          <w:r>
            <w:fldChar w:fldCharType="end"/>
          </w:r>
        </w:p>
        <w:p w14:paraId="0E9ABBB5">
          <w:pPr>
            <w:pStyle w:val="11"/>
            <w:tabs>
              <w:tab w:val="right" w:leader="dot" w:pos="9072"/>
            </w:tabs>
          </w:pPr>
          <w:r>
            <w:fldChar w:fldCharType="begin"/>
          </w:r>
          <w:r>
            <w:instrText xml:space="preserve"> HYPERLINK \l _Toc5069 </w:instrText>
          </w:r>
          <w:r>
            <w:fldChar w:fldCharType="separate"/>
          </w:r>
          <w:r>
            <w:rPr>
              <w:rFonts w:hint="eastAsia" w:ascii="楷体" w:hAnsi="楷体" w:eastAsia="楷体" w:cs="楷体"/>
              <w:szCs w:val="32"/>
              <w:lang w:val="en-US" w:eastAsia="zh-CN"/>
            </w:rPr>
            <w:t>2.4.3供配电通讯</w:t>
          </w:r>
          <w:r>
            <w:tab/>
          </w:r>
          <w:r>
            <w:fldChar w:fldCharType="begin"/>
          </w:r>
          <w:r>
            <w:instrText xml:space="preserve"> PAGEREF _Toc5069 \h </w:instrText>
          </w:r>
          <w:r>
            <w:fldChar w:fldCharType="separate"/>
          </w:r>
          <w:r>
            <w:t>20</w:t>
          </w:r>
          <w:r>
            <w:fldChar w:fldCharType="end"/>
          </w:r>
          <w:r>
            <w:fldChar w:fldCharType="end"/>
          </w:r>
        </w:p>
        <w:p w14:paraId="70A351CF">
          <w:pPr>
            <w:pStyle w:val="11"/>
            <w:tabs>
              <w:tab w:val="right" w:leader="dot" w:pos="9072"/>
            </w:tabs>
          </w:pPr>
          <w:r>
            <w:fldChar w:fldCharType="begin"/>
          </w:r>
          <w:r>
            <w:instrText xml:space="preserve"> HYPERLINK \l _Toc21407 </w:instrText>
          </w:r>
          <w:r>
            <w:fldChar w:fldCharType="separate"/>
          </w:r>
          <w:r>
            <w:rPr>
              <w:rFonts w:hint="eastAsia" w:ascii="楷体" w:hAnsi="楷体" w:eastAsia="楷体" w:cs="楷体"/>
              <w:szCs w:val="32"/>
              <w:lang w:val="en-US" w:eastAsia="zh-CN"/>
            </w:rPr>
            <w:t>2.4.4视频监控系统</w:t>
          </w:r>
          <w:r>
            <w:tab/>
          </w:r>
          <w:r>
            <w:fldChar w:fldCharType="begin"/>
          </w:r>
          <w:r>
            <w:instrText xml:space="preserve"> PAGEREF _Toc21407 \h </w:instrText>
          </w:r>
          <w:r>
            <w:fldChar w:fldCharType="separate"/>
          </w:r>
          <w:r>
            <w:t>20</w:t>
          </w:r>
          <w:r>
            <w:fldChar w:fldCharType="end"/>
          </w:r>
          <w:r>
            <w:fldChar w:fldCharType="end"/>
          </w:r>
        </w:p>
        <w:p w14:paraId="3A74AF16">
          <w:pPr>
            <w:pStyle w:val="11"/>
            <w:tabs>
              <w:tab w:val="right" w:leader="dot" w:pos="9072"/>
            </w:tabs>
          </w:pPr>
          <w:r>
            <w:fldChar w:fldCharType="begin"/>
          </w:r>
          <w:r>
            <w:instrText xml:space="preserve"> HYPERLINK \l _Toc18486 </w:instrText>
          </w:r>
          <w:r>
            <w:fldChar w:fldCharType="separate"/>
          </w:r>
          <w:r>
            <w:rPr>
              <w:rFonts w:hint="eastAsia" w:ascii="楷体" w:hAnsi="楷体" w:eastAsia="楷体" w:cs="楷体"/>
              <w:szCs w:val="32"/>
            </w:rPr>
            <w:t>2.4.</w:t>
          </w:r>
          <w:r>
            <w:rPr>
              <w:rFonts w:hint="eastAsia" w:ascii="楷体" w:hAnsi="楷体" w:eastAsia="楷体" w:cs="楷体"/>
              <w:szCs w:val="32"/>
              <w:lang w:val="en-US" w:eastAsia="zh-CN"/>
            </w:rPr>
            <w:t>5</w:t>
          </w:r>
          <w:r>
            <w:rPr>
              <w:rFonts w:hint="eastAsia" w:ascii="楷体" w:hAnsi="楷体" w:eastAsia="楷体" w:cs="楷体"/>
              <w:szCs w:val="32"/>
            </w:rPr>
            <w:t>供配电防雷</w:t>
          </w:r>
          <w:r>
            <w:tab/>
          </w:r>
          <w:r>
            <w:fldChar w:fldCharType="begin"/>
          </w:r>
          <w:r>
            <w:instrText xml:space="preserve"> PAGEREF _Toc18486 \h </w:instrText>
          </w:r>
          <w:r>
            <w:fldChar w:fldCharType="separate"/>
          </w:r>
          <w:r>
            <w:t>20</w:t>
          </w:r>
          <w:r>
            <w:fldChar w:fldCharType="end"/>
          </w:r>
          <w:r>
            <w:fldChar w:fldCharType="end"/>
          </w:r>
        </w:p>
        <w:p w14:paraId="0457D547">
          <w:pPr>
            <w:pStyle w:val="16"/>
            <w:tabs>
              <w:tab w:val="right" w:leader="dot" w:pos="9072"/>
            </w:tabs>
          </w:pPr>
          <w:r>
            <w:fldChar w:fldCharType="begin"/>
          </w:r>
          <w:r>
            <w:instrText xml:space="preserve"> HYPERLINK \l _Toc29690 </w:instrText>
          </w:r>
          <w:r>
            <w:fldChar w:fldCharType="separate"/>
          </w:r>
          <w:r>
            <w:rPr>
              <w:rFonts w:hint="eastAsia" w:ascii="楷体" w:hAnsi="楷体" w:eastAsia="楷体" w:cs="楷体"/>
              <w:szCs w:val="32"/>
            </w:rPr>
            <w:t>2.5消防、安全设施</w:t>
          </w:r>
          <w:r>
            <w:tab/>
          </w:r>
          <w:r>
            <w:fldChar w:fldCharType="begin"/>
          </w:r>
          <w:r>
            <w:instrText xml:space="preserve"> PAGEREF _Toc29690 \h </w:instrText>
          </w:r>
          <w:r>
            <w:fldChar w:fldCharType="separate"/>
          </w:r>
          <w:r>
            <w:t>20</w:t>
          </w:r>
          <w:r>
            <w:fldChar w:fldCharType="end"/>
          </w:r>
          <w:r>
            <w:fldChar w:fldCharType="end"/>
          </w:r>
        </w:p>
        <w:p w14:paraId="0708D5D5">
          <w:pPr>
            <w:pStyle w:val="11"/>
            <w:tabs>
              <w:tab w:val="right" w:leader="dot" w:pos="9072"/>
            </w:tabs>
          </w:pPr>
          <w:r>
            <w:fldChar w:fldCharType="begin"/>
          </w:r>
          <w:r>
            <w:instrText xml:space="preserve"> HYPERLINK \l _Toc8969 </w:instrText>
          </w:r>
          <w:r>
            <w:fldChar w:fldCharType="separate"/>
          </w:r>
          <w:r>
            <w:rPr>
              <w:rFonts w:hint="eastAsia" w:ascii="楷体" w:hAnsi="楷体" w:eastAsia="楷体" w:cs="楷体"/>
              <w:szCs w:val="32"/>
              <w:lang w:val="en-US" w:eastAsia="zh-CN"/>
            </w:rPr>
            <w:t>2.5.1消防设施</w:t>
          </w:r>
          <w:r>
            <w:tab/>
          </w:r>
          <w:r>
            <w:fldChar w:fldCharType="begin"/>
          </w:r>
          <w:r>
            <w:instrText xml:space="preserve"> PAGEREF _Toc8969 \h </w:instrText>
          </w:r>
          <w:r>
            <w:fldChar w:fldCharType="separate"/>
          </w:r>
          <w:r>
            <w:t>20</w:t>
          </w:r>
          <w:r>
            <w:fldChar w:fldCharType="end"/>
          </w:r>
          <w:r>
            <w:fldChar w:fldCharType="end"/>
          </w:r>
        </w:p>
        <w:p w14:paraId="60EE3832">
          <w:pPr>
            <w:pStyle w:val="11"/>
            <w:tabs>
              <w:tab w:val="right" w:leader="dot" w:pos="9072"/>
            </w:tabs>
          </w:pPr>
          <w:r>
            <w:fldChar w:fldCharType="begin"/>
          </w:r>
          <w:r>
            <w:instrText xml:space="preserve"> HYPERLINK \l _Toc20986 </w:instrText>
          </w:r>
          <w:r>
            <w:fldChar w:fldCharType="separate"/>
          </w:r>
          <w:r>
            <w:rPr>
              <w:rFonts w:hint="eastAsia" w:ascii="楷体" w:hAnsi="楷体" w:eastAsia="楷体" w:cs="楷体"/>
              <w:szCs w:val="32"/>
            </w:rPr>
            <w:t>2.5.</w:t>
          </w:r>
          <w:r>
            <w:rPr>
              <w:rFonts w:hint="eastAsia" w:ascii="楷体" w:hAnsi="楷体" w:eastAsia="楷体" w:cs="楷体"/>
              <w:szCs w:val="32"/>
              <w:lang w:val="en-US" w:eastAsia="zh-CN"/>
            </w:rPr>
            <w:t>2</w:t>
          </w:r>
          <w:r>
            <w:rPr>
              <w:rFonts w:hint="eastAsia" w:ascii="楷体" w:hAnsi="楷体" w:eastAsia="楷体" w:cs="楷体"/>
              <w:szCs w:val="32"/>
            </w:rPr>
            <w:t>安全设施</w:t>
          </w:r>
          <w:r>
            <w:tab/>
          </w:r>
          <w:r>
            <w:fldChar w:fldCharType="begin"/>
          </w:r>
          <w:r>
            <w:instrText xml:space="preserve"> PAGEREF _Toc20986 \h </w:instrText>
          </w:r>
          <w:r>
            <w:fldChar w:fldCharType="separate"/>
          </w:r>
          <w:r>
            <w:t>21</w:t>
          </w:r>
          <w:r>
            <w:fldChar w:fldCharType="end"/>
          </w:r>
          <w:r>
            <w:fldChar w:fldCharType="end"/>
          </w:r>
        </w:p>
        <w:p w14:paraId="71292371">
          <w:pPr>
            <w:pStyle w:val="11"/>
            <w:tabs>
              <w:tab w:val="right" w:leader="dot" w:pos="9072"/>
            </w:tabs>
          </w:pPr>
          <w:r>
            <w:fldChar w:fldCharType="begin"/>
          </w:r>
          <w:r>
            <w:instrText xml:space="preserve"> HYPERLINK \l _Toc22331 </w:instrText>
          </w:r>
          <w:r>
            <w:fldChar w:fldCharType="separate"/>
          </w:r>
          <w:r>
            <w:rPr>
              <w:rFonts w:hint="eastAsia" w:ascii="楷体" w:hAnsi="楷体" w:eastAsia="楷体" w:cs="楷体"/>
              <w:szCs w:val="32"/>
            </w:rPr>
            <w:t>2.5.</w:t>
          </w:r>
          <w:r>
            <w:rPr>
              <w:rFonts w:hint="eastAsia" w:ascii="楷体" w:hAnsi="楷体" w:eastAsia="楷体" w:cs="楷体"/>
              <w:szCs w:val="32"/>
              <w:lang w:val="en-US" w:eastAsia="zh-CN"/>
            </w:rPr>
            <w:t>3</w:t>
          </w:r>
          <w:r>
            <w:rPr>
              <w:rFonts w:hint="eastAsia" w:ascii="楷体" w:hAnsi="楷体" w:eastAsia="楷体" w:cs="楷体"/>
              <w:szCs w:val="32"/>
            </w:rPr>
            <w:t>劳动保护用品</w:t>
          </w:r>
          <w:r>
            <w:tab/>
          </w:r>
          <w:r>
            <w:fldChar w:fldCharType="begin"/>
          </w:r>
          <w:r>
            <w:instrText xml:space="preserve"> PAGEREF _Toc22331 \h </w:instrText>
          </w:r>
          <w:r>
            <w:fldChar w:fldCharType="separate"/>
          </w:r>
          <w:r>
            <w:t>22</w:t>
          </w:r>
          <w:r>
            <w:fldChar w:fldCharType="end"/>
          </w:r>
          <w:r>
            <w:fldChar w:fldCharType="end"/>
          </w:r>
        </w:p>
        <w:p w14:paraId="72003433">
          <w:pPr>
            <w:pStyle w:val="11"/>
            <w:tabs>
              <w:tab w:val="right" w:leader="dot" w:pos="9072"/>
            </w:tabs>
          </w:pPr>
          <w:r>
            <w:fldChar w:fldCharType="begin"/>
          </w:r>
          <w:r>
            <w:instrText xml:space="preserve"> HYPERLINK \l _Toc32237 </w:instrText>
          </w:r>
          <w:r>
            <w:fldChar w:fldCharType="separate"/>
          </w:r>
          <w:r>
            <w:rPr>
              <w:rFonts w:hint="eastAsia" w:ascii="楷体" w:hAnsi="楷体" w:eastAsia="楷体" w:cs="楷体"/>
              <w:szCs w:val="32"/>
            </w:rPr>
            <w:t>2.5.</w:t>
          </w:r>
          <w:r>
            <w:rPr>
              <w:rFonts w:hint="eastAsia" w:ascii="楷体" w:hAnsi="楷体" w:eastAsia="楷体" w:cs="楷体"/>
              <w:szCs w:val="32"/>
              <w:lang w:val="en-US" w:eastAsia="zh-CN"/>
            </w:rPr>
            <w:t>4</w:t>
          </w:r>
          <w:r>
            <w:rPr>
              <w:rFonts w:hint="eastAsia" w:ascii="楷体" w:hAnsi="楷体" w:eastAsia="楷体" w:cs="楷体"/>
              <w:szCs w:val="32"/>
            </w:rPr>
            <w:t>消防验收</w:t>
          </w:r>
          <w:r>
            <w:tab/>
          </w:r>
          <w:r>
            <w:fldChar w:fldCharType="begin"/>
          </w:r>
          <w:r>
            <w:instrText xml:space="preserve"> PAGEREF _Toc32237 \h </w:instrText>
          </w:r>
          <w:r>
            <w:fldChar w:fldCharType="separate"/>
          </w:r>
          <w:r>
            <w:t>23</w:t>
          </w:r>
          <w:r>
            <w:fldChar w:fldCharType="end"/>
          </w:r>
          <w:r>
            <w:fldChar w:fldCharType="end"/>
          </w:r>
        </w:p>
        <w:p w14:paraId="4DF99C0B">
          <w:pPr>
            <w:pStyle w:val="16"/>
            <w:tabs>
              <w:tab w:val="right" w:leader="dot" w:pos="9072"/>
            </w:tabs>
          </w:pPr>
          <w:r>
            <w:fldChar w:fldCharType="begin"/>
          </w:r>
          <w:r>
            <w:instrText xml:space="preserve"> HYPERLINK \l _Toc24678 </w:instrText>
          </w:r>
          <w:r>
            <w:fldChar w:fldCharType="separate"/>
          </w:r>
          <w:r>
            <w:rPr>
              <w:rFonts w:hint="eastAsia" w:ascii="楷体" w:hAnsi="楷体" w:eastAsia="楷体" w:cs="楷体"/>
              <w:szCs w:val="32"/>
            </w:rPr>
            <w:t>2.6安全管理体系</w:t>
          </w:r>
          <w:r>
            <w:tab/>
          </w:r>
          <w:r>
            <w:fldChar w:fldCharType="begin"/>
          </w:r>
          <w:r>
            <w:instrText xml:space="preserve"> PAGEREF _Toc24678 \h </w:instrText>
          </w:r>
          <w:r>
            <w:fldChar w:fldCharType="separate"/>
          </w:r>
          <w:r>
            <w:t>23</w:t>
          </w:r>
          <w:r>
            <w:fldChar w:fldCharType="end"/>
          </w:r>
          <w:r>
            <w:fldChar w:fldCharType="end"/>
          </w:r>
        </w:p>
        <w:p w14:paraId="1EADF6C0">
          <w:pPr>
            <w:pStyle w:val="16"/>
            <w:tabs>
              <w:tab w:val="right" w:leader="dot" w:pos="9072"/>
            </w:tabs>
          </w:pPr>
          <w:r>
            <w:fldChar w:fldCharType="begin"/>
          </w:r>
          <w:r>
            <w:instrText xml:space="preserve"> HYPERLINK \l _Toc1918 </w:instrText>
          </w:r>
          <w:r>
            <w:fldChar w:fldCharType="separate"/>
          </w:r>
          <w:r>
            <w:rPr>
              <w:rFonts w:hint="eastAsia" w:ascii="楷体" w:hAnsi="楷体" w:eastAsia="楷体" w:cs="楷体"/>
              <w:szCs w:val="32"/>
            </w:rPr>
            <w:t>2.7加油站近三年变化情况</w:t>
          </w:r>
          <w:r>
            <w:tab/>
          </w:r>
          <w:r>
            <w:fldChar w:fldCharType="begin"/>
          </w:r>
          <w:r>
            <w:instrText xml:space="preserve"> PAGEREF _Toc1918 \h </w:instrText>
          </w:r>
          <w:r>
            <w:fldChar w:fldCharType="separate"/>
          </w:r>
          <w:r>
            <w:t>24</w:t>
          </w:r>
          <w:r>
            <w:fldChar w:fldCharType="end"/>
          </w:r>
          <w:r>
            <w:fldChar w:fldCharType="end"/>
          </w:r>
        </w:p>
        <w:p w14:paraId="18C4BA4A">
          <w:pPr>
            <w:pStyle w:val="13"/>
            <w:tabs>
              <w:tab w:val="right" w:leader="dot" w:pos="9072"/>
            </w:tabs>
          </w:pPr>
          <w:r>
            <w:fldChar w:fldCharType="begin"/>
          </w:r>
          <w:r>
            <w:instrText xml:space="preserve"> HYPERLINK \l _Toc28699 </w:instrText>
          </w:r>
          <w:r>
            <w:fldChar w:fldCharType="separate"/>
          </w:r>
          <w:r>
            <w:rPr>
              <w:rFonts w:hint="eastAsia" w:ascii="楷体" w:hAnsi="楷体" w:eastAsia="楷体" w:cs="楷体"/>
              <w:bCs/>
              <w:szCs w:val="32"/>
            </w:rPr>
            <w:t>3主要危险、有害因素分析</w:t>
          </w:r>
          <w:r>
            <w:tab/>
          </w:r>
          <w:r>
            <w:fldChar w:fldCharType="begin"/>
          </w:r>
          <w:r>
            <w:instrText xml:space="preserve"> PAGEREF _Toc28699 \h </w:instrText>
          </w:r>
          <w:r>
            <w:fldChar w:fldCharType="separate"/>
          </w:r>
          <w:r>
            <w:t>25</w:t>
          </w:r>
          <w:r>
            <w:fldChar w:fldCharType="end"/>
          </w:r>
          <w:r>
            <w:fldChar w:fldCharType="end"/>
          </w:r>
        </w:p>
        <w:p w14:paraId="33F0A1DC">
          <w:pPr>
            <w:pStyle w:val="16"/>
            <w:tabs>
              <w:tab w:val="right" w:leader="dot" w:pos="9072"/>
            </w:tabs>
          </w:pPr>
          <w:r>
            <w:fldChar w:fldCharType="begin"/>
          </w:r>
          <w:r>
            <w:instrText xml:space="preserve"> HYPERLINK \l _Toc68 </w:instrText>
          </w:r>
          <w:r>
            <w:fldChar w:fldCharType="separate"/>
          </w:r>
          <w:r>
            <w:rPr>
              <w:rFonts w:hint="eastAsia" w:ascii="楷体" w:hAnsi="楷体" w:eastAsia="楷体" w:cs="楷体"/>
              <w:szCs w:val="32"/>
            </w:rPr>
            <w:t>3.1物料的危险、有害因素分析</w:t>
          </w:r>
          <w:r>
            <w:tab/>
          </w:r>
          <w:r>
            <w:fldChar w:fldCharType="begin"/>
          </w:r>
          <w:r>
            <w:instrText xml:space="preserve"> PAGEREF _Toc68 \h </w:instrText>
          </w:r>
          <w:r>
            <w:fldChar w:fldCharType="separate"/>
          </w:r>
          <w:r>
            <w:t>25</w:t>
          </w:r>
          <w:r>
            <w:fldChar w:fldCharType="end"/>
          </w:r>
          <w:r>
            <w:fldChar w:fldCharType="end"/>
          </w:r>
        </w:p>
        <w:p w14:paraId="72680D2B">
          <w:pPr>
            <w:pStyle w:val="16"/>
            <w:tabs>
              <w:tab w:val="right" w:leader="dot" w:pos="9072"/>
            </w:tabs>
          </w:pPr>
          <w:r>
            <w:fldChar w:fldCharType="begin"/>
          </w:r>
          <w:r>
            <w:instrText xml:space="preserve"> HYPERLINK \l _Toc1720 </w:instrText>
          </w:r>
          <w:r>
            <w:fldChar w:fldCharType="separate"/>
          </w:r>
          <w:r>
            <w:rPr>
              <w:rFonts w:hint="eastAsia" w:ascii="楷体" w:hAnsi="楷体" w:eastAsia="楷体" w:cs="楷体"/>
              <w:szCs w:val="32"/>
              <w:lang w:val="en-US" w:eastAsia="zh-CN"/>
            </w:rPr>
            <w:t>3.2危险化学品及危险工艺辨识</w:t>
          </w:r>
          <w:r>
            <w:tab/>
          </w:r>
          <w:r>
            <w:fldChar w:fldCharType="begin"/>
          </w:r>
          <w:r>
            <w:instrText xml:space="preserve"> PAGEREF _Toc1720 \h </w:instrText>
          </w:r>
          <w:r>
            <w:fldChar w:fldCharType="separate"/>
          </w:r>
          <w:r>
            <w:t>26</w:t>
          </w:r>
          <w:r>
            <w:fldChar w:fldCharType="end"/>
          </w:r>
          <w:r>
            <w:fldChar w:fldCharType="end"/>
          </w:r>
        </w:p>
        <w:p w14:paraId="414A6ED4">
          <w:pPr>
            <w:pStyle w:val="16"/>
            <w:tabs>
              <w:tab w:val="right" w:leader="dot" w:pos="9072"/>
            </w:tabs>
          </w:pPr>
          <w:r>
            <w:fldChar w:fldCharType="begin"/>
          </w:r>
          <w:r>
            <w:instrText xml:space="preserve"> HYPERLINK \l _Toc20417 </w:instrText>
          </w:r>
          <w:r>
            <w:fldChar w:fldCharType="separate"/>
          </w:r>
          <w:r>
            <w:rPr>
              <w:rFonts w:hint="eastAsia" w:ascii="楷体" w:hAnsi="楷体" w:eastAsia="楷体" w:cs="楷体"/>
              <w:szCs w:val="32"/>
            </w:rPr>
            <w:t>3.</w:t>
          </w:r>
          <w:r>
            <w:rPr>
              <w:rFonts w:hint="eastAsia" w:ascii="楷体" w:hAnsi="楷体" w:eastAsia="楷体" w:cs="楷体"/>
              <w:szCs w:val="32"/>
              <w:lang w:val="en-US" w:eastAsia="zh-CN"/>
            </w:rPr>
            <w:t>3</w:t>
          </w:r>
          <w:r>
            <w:rPr>
              <w:rFonts w:hint="eastAsia" w:ascii="楷体" w:hAnsi="楷体" w:eastAsia="楷体" w:cs="楷体"/>
              <w:szCs w:val="32"/>
            </w:rPr>
            <w:t>重大危险源辨识</w:t>
          </w:r>
          <w:r>
            <w:tab/>
          </w:r>
          <w:r>
            <w:fldChar w:fldCharType="begin"/>
          </w:r>
          <w:r>
            <w:instrText xml:space="preserve"> PAGEREF _Toc20417 \h </w:instrText>
          </w:r>
          <w:r>
            <w:fldChar w:fldCharType="separate"/>
          </w:r>
          <w:r>
            <w:t>28</w:t>
          </w:r>
          <w:r>
            <w:fldChar w:fldCharType="end"/>
          </w:r>
          <w:r>
            <w:fldChar w:fldCharType="end"/>
          </w:r>
        </w:p>
        <w:p w14:paraId="21F16AF0">
          <w:pPr>
            <w:pStyle w:val="11"/>
            <w:tabs>
              <w:tab w:val="right" w:leader="dot" w:pos="9072"/>
            </w:tabs>
          </w:pPr>
          <w:r>
            <w:fldChar w:fldCharType="begin"/>
          </w:r>
          <w:r>
            <w:instrText xml:space="preserve"> HYPERLINK \l _Toc7144 </w:instrText>
          </w:r>
          <w:r>
            <w:fldChar w:fldCharType="separate"/>
          </w:r>
          <w:r>
            <w:rPr>
              <w:rFonts w:hint="eastAsia" w:ascii="楷体" w:hAnsi="楷体" w:eastAsia="楷体" w:cs="楷体"/>
              <w:szCs w:val="32"/>
            </w:rPr>
            <w:t>3.</w:t>
          </w:r>
          <w:r>
            <w:rPr>
              <w:rFonts w:hint="eastAsia" w:ascii="楷体" w:hAnsi="楷体" w:eastAsia="楷体" w:cs="楷体"/>
              <w:szCs w:val="32"/>
              <w:lang w:val="en-US" w:eastAsia="zh-CN"/>
            </w:rPr>
            <w:t>3</w:t>
          </w:r>
          <w:r>
            <w:rPr>
              <w:rFonts w:hint="eastAsia" w:ascii="楷体" w:hAnsi="楷体" w:eastAsia="楷体" w:cs="楷体"/>
              <w:szCs w:val="32"/>
            </w:rPr>
            <w:t>.1重大危险源辨识依据</w:t>
          </w:r>
          <w:r>
            <w:tab/>
          </w:r>
          <w:r>
            <w:fldChar w:fldCharType="begin"/>
          </w:r>
          <w:r>
            <w:instrText xml:space="preserve"> PAGEREF _Toc7144 \h </w:instrText>
          </w:r>
          <w:r>
            <w:fldChar w:fldCharType="separate"/>
          </w:r>
          <w:r>
            <w:t>28</w:t>
          </w:r>
          <w:r>
            <w:fldChar w:fldCharType="end"/>
          </w:r>
          <w:r>
            <w:fldChar w:fldCharType="end"/>
          </w:r>
        </w:p>
        <w:p w14:paraId="47AFB325">
          <w:pPr>
            <w:pStyle w:val="11"/>
            <w:tabs>
              <w:tab w:val="right" w:leader="dot" w:pos="9072"/>
            </w:tabs>
          </w:pPr>
          <w:r>
            <w:fldChar w:fldCharType="begin"/>
          </w:r>
          <w:r>
            <w:instrText xml:space="preserve"> HYPERLINK \l _Toc19546 </w:instrText>
          </w:r>
          <w:r>
            <w:fldChar w:fldCharType="separate"/>
          </w:r>
          <w:r>
            <w:rPr>
              <w:rFonts w:hint="eastAsia" w:ascii="楷体" w:hAnsi="楷体" w:eastAsia="楷体" w:cs="楷体"/>
              <w:szCs w:val="32"/>
            </w:rPr>
            <w:t>3.</w:t>
          </w:r>
          <w:r>
            <w:rPr>
              <w:rFonts w:hint="eastAsia" w:ascii="楷体" w:hAnsi="楷体" w:eastAsia="楷体" w:cs="楷体"/>
              <w:szCs w:val="32"/>
              <w:lang w:val="en-US" w:eastAsia="zh-CN"/>
            </w:rPr>
            <w:t>3</w:t>
          </w:r>
          <w:r>
            <w:rPr>
              <w:rFonts w:hint="eastAsia" w:ascii="楷体" w:hAnsi="楷体" w:eastAsia="楷体" w:cs="楷体"/>
              <w:szCs w:val="32"/>
            </w:rPr>
            <w:t>.2</w:t>
          </w:r>
          <w:r>
            <w:rPr>
              <w:rFonts w:hint="eastAsia" w:ascii="楷体" w:hAnsi="楷体" w:eastAsia="楷体" w:cs="楷体"/>
              <w:szCs w:val="32"/>
              <w:lang w:val="zh-CN"/>
            </w:rPr>
            <w:t>危险化学品</w:t>
          </w:r>
          <w:r>
            <w:rPr>
              <w:rFonts w:hint="eastAsia" w:ascii="楷体" w:hAnsi="楷体" w:eastAsia="楷体" w:cs="楷体"/>
              <w:szCs w:val="32"/>
            </w:rPr>
            <w:t>重大危险源的辨识情况</w:t>
          </w:r>
          <w:r>
            <w:tab/>
          </w:r>
          <w:r>
            <w:fldChar w:fldCharType="begin"/>
          </w:r>
          <w:r>
            <w:instrText xml:space="preserve"> PAGEREF _Toc19546 \h </w:instrText>
          </w:r>
          <w:r>
            <w:fldChar w:fldCharType="separate"/>
          </w:r>
          <w:r>
            <w:t>30</w:t>
          </w:r>
          <w:r>
            <w:fldChar w:fldCharType="end"/>
          </w:r>
          <w:r>
            <w:fldChar w:fldCharType="end"/>
          </w:r>
        </w:p>
        <w:p w14:paraId="13FA30BC">
          <w:pPr>
            <w:pStyle w:val="11"/>
            <w:tabs>
              <w:tab w:val="right" w:leader="dot" w:pos="9072"/>
            </w:tabs>
          </w:pPr>
          <w:r>
            <w:fldChar w:fldCharType="begin"/>
          </w:r>
          <w:r>
            <w:instrText xml:space="preserve"> HYPERLINK \l _Toc7232 </w:instrText>
          </w:r>
          <w:r>
            <w:fldChar w:fldCharType="separate"/>
          </w:r>
          <w:r>
            <w:rPr>
              <w:rFonts w:hint="eastAsia" w:ascii="楷体" w:hAnsi="楷体" w:eastAsia="楷体" w:cs="楷体"/>
              <w:bCs/>
              <w:szCs w:val="32"/>
            </w:rPr>
            <w:t>3.</w:t>
          </w:r>
          <w:r>
            <w:rPr>
              <w:rFonts w:hint="eastAsia" w:ascii="楷体" w:hAnsi="楷体" w:eastAsia="楷体" w:cs="楷体"/>
              <w:bCs/>
              <w:szCs w:val="32"/>
              <w:lang w:val="en-US" w:eastAsia="zh-CN"/>
            </w:rPr>
            <w:t>3</w:t>
          </w:r>
          <w:r>
            <w:rPr>
              <w:rFonts w:hint="eastAsia" w:ascii="楷体" w:hAnsi="楷体" w:eastAsia="楷体" w:cs="楷体"/>
              <w:bCs/>
              <w:szCs w:val="32"/>
            </w:rPr>
            <w:t>.</w:t>
          </w:r>
          <w:r>
            <w:rPr>
              <w:rFonts w:hint="eastAsia" w:ascii="楷体" w:hAnsi="楷体" w:eastAsia="楷体" w:cs="楷体"/>
              <w:bCs/>
              <w:szCs w:val="32"/>
              <w:lang w:val="en-US" w:eastAsia="zh-CN"/>
            </w:rPr>
            <w:t>3</w:t>
          </w:r>
          <w:r>
            <w:rPr>
              <w:rFonts w:hint="eastAsia" w:ascii="楷体" w:hAnsi="楷体" w:eastAsia="楷体" w:cs="楷体"/>
              <w:bCs/>
              <w:kern w:val="2"/>
              <w:szCs w:val="32"/>
              <w:lang w:val="en-US" w:eastAsia="zh-CN" w:bidi="ar-SA"/>
            </w:rPr>
            <w:t>爆炸危险区域划分</w:t>
          </w:r>
          <w:r>
            <w:tab/>
          </w:r>
          <w:r>
            <w:fldChar w:fldCharType="begin"/>
          </w:r>
          <w:r>
            <w:instrText xml:space="preserve"> PAGEREF _Toc7232 \h </w:instrText>
          </w:r>
          <w:r>
            <w:fldChar w:fldCharType="separate"/>
          </w:r>
          <w:r>
            <w:t>31</w:t>
          </w:r>
          <w:r>
            <w:fldChar w:fldCharType="end"/>
          </w:r>
          <w:r>
            <w:fldChar w:fldCharType="end"/>
          </w:r>
        </w:p>
        <w:p w14:paraId="41E081C3">
          <w:pPr>
            <w:pStyle w:val="16"/>
            <w:tabs>
              <w:tab w:val="right" w:leader="dot" w:pos="9072"/>
            </w:tabs>
          </w:pPr>
          <w:r>
            <w:fldChar w:fldCharType="begin"/>
          </w:r>
          <w:r>
            <w:instrText xml:space="preserve"> HYPERLINK \l _Toc26896 </w:instrText>
          </w:r>
          <w:r>
            <w:fldChar w:fldCharType="separate"/>
          </w:r>
          <w:r>
            <w:rPr>
              <w:rFonts w:hint="eastAsia" w:ascii="楷体" w:hAnsi="楷体" w:eastAsia="楷体" w:cs="楷体"/>
              <w:szCs w:val="32"/>
            </w:rPr>
            <w:t>3.</w:t>
          </w:r>
          <w:r>
            <w:rPr>
              <w:rFonts w:hint="eastAsia" w:ascii="楷体" w:hAnsi="楷体" w:eastAsia="楷体" w:cs="楷体"/>
              <w:szCs w:val="32"/>
              <w:lang w:val="en-US" w:eastAsia="zh-CN"/>
            </w:rPr>
            <w:t>4</w:t>
          </w:r>
          <w:r>
            <w:rPr>
              <w:rFonts w:hint="eastAsia" w:ascii="楷体" w:hAnsi="楷体" w:eastAsia="楷体" w:cs="楷体"/>
              <w:szCs w:val="32"/>
            </w:rPr>
            <w:t>加油站主要危险因素分析</w:t>
          </w:r>
          <w:r>
            <w:tab/>
          </w:r>
          <w:r>
            <w:fldChar w:fldCharType="begin"/>
          </w:r>
          <w:r>
            <w:instrText xml:space="preserve"> PAGEREF _Toc26896 \h </w:instrText>
          </w:r>
          <w:r>
            <w:fldChar w:fldCharType="separate"/>
          </w:r>
          <w:r>
            <w:t>32</w:t>
          </w:r>
          <w:r>
            <w:fldChar w:fldCharType="end"/>
          </w:r>
          <w:r>
            <w:fldChar w:fldCharType="end"/>
          </w:r>
        </w:p>
        <w:p w14:paraId="2B8BE390">
          <w:pPr>
            <w:pStyle w:val="11"/>
            <w:tabs>
              <w:tab w:val="right" w:leader="dot" w:pos="9072"/>
            </w:tabs>
          </w:pPr>
          <w:r>
            <w:fldChar w:fldCharType="begin"/>
          </w:r>
          <w:r>
            <w:instrText xml:space="preserve"> HYPERLINK \l _Toc27788 </w:instrText>
          </w:r>
          <w:r>
            <w:fldChar w:fldCharType="separate"/>
          </w:r>
          <w:r>
            <w:rPr>
              <w:rFonts w:hint="eastAsia" w:ascii="楷体" w:hAnsi="楷体" w:eastAsia="楷体" w:cs="楷体"/>
              <w:szCs w:val="32"/>
              <w:lang w:val="en-US" w:eastAsia="zh-CN"/>
            </w:rPr>
            <w:t>3.4.1经营过程中的危险辨识</w:t>
          </w:r>
          <w:r>
            <w:tab/>
          </w:r>
          <w:r>
            <w:fldChar w:fldCharType="begin"/>
          </w:r>
          <w:r>
            <w:instrText xml:space="preserve"> PAGEREF _Toc27788 \h </w:instrText>
          </w:r>
          <w:r>
            <w:fldChar w:fldCharType="separate"/>
          </w:r>
          <w:r>
            <w:t>32</w:t>
          </w:r>
          <w:r>
            <w:fldChar w:fldCharType="end"/>
          </w:r>
          <w:r>
            <w:fldChar w:fldCharType="end"/>
          </w:r>
        </w:p>
        <w:p w14:paraId="5462644F">
          <w:pPr>
            <w:pStyle w:val="11"/>
            <w:tabs>
              <w:tab w:val="right" w:leader="dot" w:pos="9072"/>
            </w:tabs>
          </w:pPr>
          <w:r>
            <w:fldChar w:fldCharType="begin"/>
          </w:r>
          <w:r>
            <w:instrText xml:space="preserve"> HYPERLINK \l _Toc1539 </w:instrText>
          </w:r>
          <w:r>
            <w:fldChar w:fldCharType="separate"/>
          </w:r>
          <w:r>
            <w:rPr>
              <w:rFonts w:hint="eastAsia" w:ascii="楷体" w:hAnsi="楷体" w:eastAsia="楷体" w:cs="楷体"/>
              <w:bCs/>
              <w:kern w:val="2"/>
              <w:szCs w:val="32"/>
              <w:lang w:val="en-US" w:eastAsia="zh-CN" w:bidi="ar-SA"/>
            </w:rPr>
            <w:t>3.4.2火灾、爆炸危险因素</w:t>
          </w:r>
          <w:r>
            <w:tab/>
          </w:r>
          <w:r>
            <w:fldChar w:fldCharType="begin"/>
          </w:r>
          <w:r>
            <w:instrText xml:space="preserve"> PAGEREF _Toc1539 \h </w:instrText>
          </w:r>
          <w:r>
            <w:fldChar w:fldCharType="separate"/>
          </w:r>
          <w:r>
            <w:t>32</w:t>
          </w:r>
          <w:r>
            <w:fldChar w:fldCharType="end"/>
          </w:r>
          <w:r>
            <w:fldChar w:fldCharType="end"/>
          </w:r>
        </w:p>
        <w:p w14:paraId="34DA25F2">
          <w:pPr>
            <w:pStyle w:val="11"/>
            <w:tabs>
              <w:tab w:val="right" w:leader="dot" w:pos="9072"/>
            </w:tabs>
          </w:pPr>
          <w:r>
            <w:fldChar w:fldCharType="begin"/>
          </w:r>
          <w:r>
            <w:instrText xml:space="preserve"> HYPERLINK \l _Toc26831 </w:instrText>
          </w:r>
          <w:r>
            <w:fldChar w:fldCharType="separate"/>
          </w:r>
          <w:r>
            <w:rPr>
              <w:rFonts w:hint="eastAsia" w:ascii="楷体" w:hAnsi="楷体" w:eastAsia="楷体" w:cs="楷体"/>
              <w:szCs w:val="32"/>
            </w:rPr>
            <w:t>3.</w:t>
          </w:r>
          <w:r>
            <w:rPr>
              <w:rFonts w:hint="eastAsia" w:ascii="楷体" w:hAnsi="楷体" w:eastAsia="楷体" w:cs="楷体"/>
              <w:szCs w:val="32"/>
              <w:lang w:val="en-US" w:eastAsia="zh-CN"/>
            </w:rPr>
            <w:t>4</w:t>
          </w:r>
          <w:r>
            <w:rPr>
              <w:rFonts w:hint="eastAsia" w:ascii="楷体" w:hAnsi="楷体" w:eastAsia="楷体" w:cs="楷体"/>
              <w:szCs w:val="32"/>
            </w:rPr>
            <w:t>.</w:t>
          </w:r>
          <w:r>
            <w:rPr>
              <w:rFonts w:hint="eastAsia" w:ascii="楷体" w:hAnsi="楷体" w:eastAsia="楷体" w:cs="楷体"/>
              <w:szCs w:val="32"/>
              <w:lang w:val="en-US" w:eastAsia="zh-CN"/>
            </w:rPr>
            <w:t>3</w:t>
          </w:r>
          <w:r>
            <w:rPr>
              <w:rFonts w:hint="eastAsia" w:ascii="楷体" w:hAnsi="楷体" w:eastAsia="楷体" w:cs="楷体"/>
              <w:szCs w:val="32"/>
            </w:rPr>
            <w:t>车辆伤害</w:t>
          </w:r>
          <w:r>
            <w:tab/>
          </w:r>
          <w:r>
            <w:fldChar w:fldCharType="begin"/>
          </w:r>
          <w:r>
            <w:instrText xml:space="preserve"> PAGEREF _Toc26831 \h </w:instrText>
          </w:r>
          <w:r>
            <w:fldChar w:fldCharType="separate"/>
          </w:r>
          <w:r>
            <w:t>34</w:t>
          </w:r>
          <w:r>
            <w:fldChar w:fldCharType="end"/>
          </w:r>
          <w:r>
            <w:fldChar w:fldCharType="end"/>
          </w:r>
        </w:p>
        <w:p w14:paraId="04DCC56A">
          <w:pPr>
            <w:pStyle w:val="11"/>
            <w:tabs>
              <w:tab w:val="right" w:leader="dot" w:pos="9072"/>
            </w:tabs>
          </w:pPr>
          <w:r>
            <w:fldChar w:fldCharType="begin"/>
          </w:r>
          <w:r>
            <w:instrText xml:space="preserve"> HYPERLINK \l _Toc8708 </w:instrText>
          </w:r>
          <w:r>
            <w:fldChar w:fldCharType="separate"/>
          </w:r>
          <w:r>
            <w:rPr>
              <w:rFonts w:hint="eastAsia" w:ascii="楷体" w:hAnsi="楷体" w:eastAsia="楷体" w:cs="楷体"/>
              <w:lang w:val="en-US" w:eastAsia="zh-CN"/>
            </w:rPr>
            <w:t>3.4.4机械伤害</w:t>
          </w:r>
          <w:r>
            <w:tab/>
          </w:r>
          <w:r>
            <w:fldChar w:fldCharType="begin"/>
          </w:r>
          <w:r>
            <w:instrText xml:space="preserve"> PAGEREF _Toc8708 \h </w:instrText>
          </w:r>
          <w:r>
            <w:fldChar w:fldCharType="separate"/>
          </w:r>
          <w:r>
            <w:t>35</w:t>
          </w:r>
          <w:r>
            <w:fldChar w:fldCharType="end"/>
          </w:r>
          <w:r>
            <w:fldChar w:fldCharType="end"/>
          </w:r>
        </w:p>
        <w:p w14:paraId="740E452A">
          <w:pPr>
            <w:pStyle w:val="11"/>
            <w:tabs>
              <w:tab w:val="right" w:leader="dot" w:pos="9072"/>
            </w:tabs>
          </w:pPr>
          <w:r>
            <w:fldChar w:fldCharType="begin"/>
          </w:r>
          <w:r>
            <w:instrText xml:space="preserve"> HYPERLINK \l _Toc17417 </w:instrText>
          </w:r>
          <w:r>
            <w:fldChar w:fldCharType="separate"/>
          </w:r>
          <w:r>
            <w:rPr>
              <w:rFonts w:hint="eastAsia" w:ascii="楷体" w:hAnsi="楷体" w:eastAsia="楷体" w:cs="楷体"/>
              <w:bCs/>
              <w:kern w:val="2"/>
              <w:szCs w:val="32"/>
              <w:lang w:val="en-US" w:eastAsia="zh-CN" w:bidi="ar-SA"/>
            </w:rPr>
            <w:t>3.4.5触电</w:t>
          </w:r>
          <w:r>
            <w:tab/>
          </w:r>
          <w:r>
            <w:fldChar w:fldCharType="begin"/>
          </w:r>
          <w:r>
            <w:instrText xml:space="preserve"> PAGEREF _Toc17417 \h </w:instrText>
          </w:r>
          <w:r>
            <w:fldChar w:fldCharType="separate"/>
          </w:r>
          <w:r>
            <w:t>35</w:t>
          </w:r>
          <w:r>
            <w:fldChar w:fldCharType="end"/>
          </w:r>
          <w:r>
            <w:fldChar w:fldCharType="end"/>
          </w:r>
        </w:p>
        <w:p w14:paraId="489DFA2C">
          <w:pPr>
            <w:pStyle w:val="11"/>
            <w:tabs>
              <w:tab w:val="right" w:leader="dot" w:pos="9072"/>
            </w:tabs>
          </w:pPr>
          <w:r>
            <w:fldChar w:fldCharType="begin"/>
          </w:r>
          <w:r>
            <w:instrText xml:space="preserve"> HYPERLINK \l _Toc24001 </w:instrText>
          </w:r>
          <w:r>
            <w:fldChar w:fldCharType="separate"/>
          </w:r>
          <w:r>
            <w:rPr>
              <w:rFonts w:hint="eastAsia" w:ascii="楷体" w:hAnsi="楷体" w:eastAsia="楷体" w:cs="楷体"/>
              <w:bCs/>
              <w:kern w:val="2"/>
              <w:szCs w:val="32"/>
              <w:lang w:val="en-US" w:eastAsia="zh-CN" w:bidi="ar-SA"/>
            </w:rPr>
            <w:t>3.4.6物体打击</w:t>
          </w:r>
          <w:r>
            <w:tab/>
          </w:r>
          <w:r>
            <w:fldChar w:fldCharType="begin"/>
          </w:r>
          <w:r>
            <w:instrText xml:space="preserve"> PAGEREF _Toc24001 \h </w:instrText>
          </w:r>
          <w:r>
            <w:fldChar w:fldCharType="separate"/>
          </w:r>
          <w:r>
            <w:t>35</w:t>
          </w:r>
          <w:r>
            <w:fldChar w:fldCharType="end"/>
          </w:r>
          <w:r>
            <w:fldChar w:fldCharType="end"/>
          </w:r>
        </w:p>
        <w:p w14:paraId="61D96690">
          <w:pPr>
            <w:pStyle w:val="11"/>
            <w:tabs>
              <w:tab w:val="right" w:leader="dot" w:pos="9072"/>
            </w:tabs>
          </w:pPr>
          <w:r>
            <w:fldChar w:fldCharType="begin"/>
          </w:r>
          <w:r>
            <w:instrText xml:space="preserve"> HYPERLINK \l _Toc5934 </w:instrText>
          </w:r>
          <w:r>
            <w:fldChar w:fldCharType="separate"/>
          </w:r>
          <w:r>
            <w:rPr>
              <w:rFonts w:hint="eastAsia" w:ascii="楷体" w:hAnsi="楷体" w:eastAsia="楷体" w:cs="楷体"/>
              <w:bCs/>
              <w:kern w:val="2"/>
              <w:szCs w:val="32"/>
              <w:lang w:val="en-US" w:eastAsia="zh-CN" w:bidi="ar-SA"/>
            </w:rPr>
            <w:t>3.4.7中毒和窒息</w:t>
          </w:r>
          <w:r>
            <w:tab/>
          </w:r>
          <w:r>
            <w:fldChar w:fldCharType="begin"/>
          </w:r>
          <w:r>
            <w:instrText xml:space="preserve"> PAGEREF _Toc5934 \h </w:instrText>
          </w:r>
          <w:r>
            <w:fldChar w:fldCharType="separate"/>
          </w:r>
          <w:r>
            <w:t>36</w:t>
          </w:r>
          <w:r>
            <w:fldChar w:fldCharType="end"/>
          </w:r>
          <w:r>
            <w:fldChar w:fldCharType="end"/>
          </w:r>
        </w:p>
        <w:p w14:paraId="3380EC41">
          <w:pPr>
            <w:pStyle w:val="11"/>
            <w:tabs>
              <w:tab w:val="right" w:leader="dot" w:pos="9072"/>
            </w:tabs>
          </w:pPr>
          <w:r>
            <w:fldChar w:fldCharType="begin"/>
          </w:r>
          <w:r>
            <w:instrText xml:space="preserve"> HYPERLINK \l _Toc1365 </w:instrText>
          </w:r>
          <w:r>
            <w:fldChar w:fldCharType="separate"/>
          </w:r>
          <w:r>
            <w:rPr>
              <w:rFonts w:hint="eastAsia" w:ascii="楷体" w:hAnsi="楷体" w:eastAsia="楷体" w:cs="楷体"/>
              <w:bCs/>
              <w:szCs w:val="32"/>
            </w:rPr>
            <w:t>3.</w:t>
          </w:r>
          <w:r>
            <w:rPr>
              <w:rFonts w:hint="eastAsia" w:ascii="楷体" w:hAnsi="楷体" w:eastAsia="楷体" w:cs="楷体"/>
              <w:bCs/>
              <w:szCs w:val="32"/>
              <w:lang w:val="en-US" w:eastAsia="zh-CN"/>
            </w:rPr>
            <w:t>4</w:t>
          </w:r>
          <w:r>
            <w:rPr>
              <w:rFonts w:hint="eastAsia" w:ascii="楷体" w:hAnsi="楷体" w:eastAsia="楷体" w:cs="楷体"/>
              <w:bCs/>
              <w:szCs w:val="32"/>
            </w:rPr>
            <w:t>.</w:t>
          </w:r>
          <w:r>
            <w:rPr>
              <w:rFonts w:hint="eastAsia" w:ascii="楷体" w:hAnsi="楷体" w:eastAsia="楷体" w:cs="楷体"/>
              <w:bCs/>
              <w:szCs w:val="32"/>
              <w:lang w:val="en-US" w:eastAsia="zh-CN"/>
            </w:rPr>
            <w:t>8</w:t>
          </w:r>
          <w:r>
            <w:rPr>
              <w:rFonts w:hint="eastAsia" w:ascii="楷体" w:hAnsi="楷体" w:eastAsia="楷体" w:cs="楷体"/>
              <w:bCs/>
              <w:szCs w:val="32"/>
            </w:rPr>
            <w:t>高空坠落</w:t>
          </w:r>
          <w:r>
            <w:tab/>
          </w:r>
          <w:r>
            <w:fldChar w:fldCharType="begin"/>
          </w:r>
          <w:r>
            <w:instrText xml:space="preserve"> PAGEREF _Toc1365 \h </w:instrText>
          </w:r>
          <w:r>
            <w:fldChar w:fldCharType="separate"/>
          </w:r>
          <w:r>
            <w:t>36</w:t>
          </w:r>
          <w:r>
            <w:fldChar w:fldCharType="end"/>
          </w:r>
          <w:r>
            <w:fldChar w:fldCharType="end"/>
          </w:r>
        </w:p>
        <w:p w14:paraId="71FF4346">
          <w:pPr>
            <w:pStyle w:val="11"/>
            <w:tabs>
              <w:tab w:val="right" w:leader="dot" w:pos="9072"/>
            </w:tabs>
          </w:pPr>
          <w:r>
            <w:fldChar w:fldCharType="begin"/>
          </w:r>
          <w:r>
            <w:instrText xml:space="preserve"> HYPERLINK \l _Toc8453 </w:instrText>
          </w:r>
          <w:r>
            <w:fldChar w:fldCharType="separate"/>
          </w:r>
          <w:r>
            <w:rPr>
              <w:rFonts w:hint="eastAsia" w:ascii="楷体" w:hAnsi="楷体" w:eastAsia="楷体" w:cs="楷体"/>
              <w:szCs w:val="32"/>
            </w:rPr>
            <w:t>3.</w:t>
          </w:r>
          <w:r>
            <w:rPr>
              <w:rFonts w:hint="eastAsia" w:ascii="楷体" w:hAnsi="楷体" w:eastAsia="楷体" w:cs="楷体"/>
              <w:szCs w:val="32"/>
              <w:lang w:val="en-US" w:eastAsia="zh-CN"/>
            </w:rPr>
            <w:t>4</w:t>
          </w:r>
          <w:r>
            <w:rPr>
              <w:rFonts w:hint="eastAsia" w:ascii="楷体" w:hAnsi="楷体" w:eastAsia="楷体" w:cs="楷体"/>
              <w:szCs w:val="32"/>
            </w:rPr>
            <w:t>.</w:t>
          </w:r>
          <w:r>
            <w:rPr>
              <w:rFonts w:hint="eastAsia" w:ascii="楷体" w:hAnsi="楷体" w:eastAsia="楷体" w:cs="楷体"/>
              <w:szCs w:val="32"/>
              <w:lang w:val="en-US" w:eastAsia="zh-CN"/>
            </w:rPr>
            <w:t>9</w:t>
          </w:r>
          <w:r>
            <w:rPr>
              <w:rFonts w:hint="eastAsia" w:ascii="楷体" w:hAnsi="楷体" w:eastAsia="楷体" w:cs="楷体"/>
              <w:szCs w:val="32"/>
            </w:rPr>
            <w:t>受限空间作业危险性分析</w:t>
          </w:r>
          <w:r>
            <w:tab/>
          </w:r>
          <w:r>
            <w:fldChar w:fldCharType="begin"/>
          </w:r>
          <w:r>
            <w:instrText xml:space="preserve"> PAGEREF _Toc8453 \h </w:instrText>
          </w:r>
          <w:r>
            <w:fldChar w:fldCharType="separate"/>
          </w:r>
          <w:r>
            <w:t>37</w:t>
          </w:r>
          <w:r>
            <w:fldChar w:fldCharType="end"/>
          </w:r>
          <w:r>
            <w:fldChar w:fldCharType="end"/>
          </w:r>
        </w:p>
        <w:p w14:paraId="1CF0AFA0">
          <w:pPr>
            <w:pStyle w:val="16"/>
            <w:tabs>
              <w:tab w:val="right" w:leader="dot" w:pos="9072"/>
            </w:tabs>
          </w:pPr>
          <w:r>
            <w:fldChar w:fldCharType="begin"/>
          </w:r>
          <w:r>
            <w:instrText xml:space="preserve"> HYPERLINK \l _Toc15163 </w:instrText>
          </w:r>
          <w:r>
            <w:fldChar w:fldCharType="separate"/>
          </w:r>
          <w:r>
            <w:rPr>
              <w:rFonts w:hint="eastAsia" w:ascii="楷体" w:hAnsi="楷体" w:eastAsia="楷体" w:cs="楷体"/>
              <w:szCs w:val="32"/>
              <w:lang w:val="en-US" w:eastAsia="zh-CN"/>
            </w:rPr>
            <w:t>3.5环境、自然危害因素分析</w:t>
          </w:r>
          <w:r>
            <w:tab/>
          </w:r>
          <w:r>
            <w:fldChar w:fldCharType="begin"/>
          </w:r>
          <w:r>
            <w:instrText xml:space="preserve"> PAGEREF _Toc15163 \h </w:instrText>
          </w:r>
          <w:r>
            <w:fldChar w:fldCharType="separate"/>
          </w:r>
          <w:r>
            <w:t>38</w:t>
          </w:r>
          <w:r>
            <w:fldChar w:fldCharType="end"/>
          </w:r>
          <w:r>
            <w:fldChar w:fldCharType="end"/>
          </w:r>
        </w:p>
        <w:p w14:paraId="7EE91CF0">
          <w:pPr>
            <w:pStyle w:val="16"/>
            <w:tabs>
              <w:tab w:val="right" w:leader="dot" w:pos="9072"/>
            </w:tabs>
          </w:pPr>
          <w:r>
            <w:fldChar w:fldCharType="begin"/>
          </w:r>
          <w:r>
            <w:instrText xml:space="preserve"> HYPERLINK \l _Toc1470 </w:instrText>
          </w:r>
          <w:r>
            <w:fldChar w:fldCharType="separate"/>
          </w:r>
          <w:r>
            <w:rPr>
              <w:rFonts w:hint="eastAsia" w:ascii="楷体" w:hAnsi="楷体" w:eastAsia="楷体" w:cs="楷体"/>
              <w:szCs w:val="32"/>
              <w:lang w:val="en-US" w:eastAsia="zh-CN"/>
            </w:rPr>
            <w:t>3.6有害因素分析</w:t>
          </w:r>
          <w:r>
            <w:tab/>
          </w:r>
          <w:r>
            <w:fldChar w:fldCharType="begin"/>
          </w:r>
          <w:r>
            <w:instrText xml:space="preserve"> PAGEREF _Toc1470 \h </w:instrText>
          </w:r>
          <w:r>
            <w:fldChar w:fldCharType="separate"/>
          </w:r>
          <w:r>
            <w:t>38</w:t>
          </w:r>
          <w:r>
            <w:fldChar w:fldCharType="end"/>
          </w:r>
          <w:r>
            <w:fldChar w:fldCharType="end"/>
          </w:r>
        </w:p>
        <w:p w14:paraId="3E6F3453">
          <w:pPr>
            <w:pStyle w:val="11"/>
            <w:tabs>
              <w:tab w:val="right" w:leader="dot" w:pos="9072"/>
            </w:tabs>
          </w:pPr>
          <w:r>
            <w:fldChar w:fldCharType="begin"/>
          </w:r>
          <w:r>
            <w:instrText xml:space="preserve"> HYPERLINK \l _Toc30707 </w:instrText>
          </w:r>
          <w:r>
            <w:fldChar w:fldCharType="separate"/>
          </w:r>
          <w:r>
            <w:rPr>
              <w:rFonts w:hint="eastAsia" w:ascii="楷体" w:hAnsi="楷体" w:eastAsia="楷体" w:cs="楷体"/>
              <w:bCs/>
              <w:kern w:val="2"/>
              <w:szCs w:val="32"/>
              <w:lang w:val="en-US" w:eastAsia="zh-CN" w:bidi="ar-SA"/>
            </w:rPr>
            <w:t>3.6.1有害物质</w:t>
          </w:r>
          <w:r>
            <w:tab/>
          </w:r>
          <w:r>
            <w:fldChar w:fldCharType="begin"/>
          </w:r>
          <w:r>
            <w:instrText xml:space="preserve"> PAGEREF _Toc30707 \h </w:instrText>
          </w:r>
          <w:r>
            <w:fldChar w:fldCharType="separate"/>
          </w:r>
          <w:r>
            <w:t>38</w:t>
          </w:r>
          <w:r>
            <w:fldChar w:fldCharType="end"/>
          </w:r>
          <w:r>
            <w:fldChar w:fldCharType="end"/>
          </w:r>
        </w:p>
        <w:p w14:paraId="188AA934">
          <w:pPr>
            <w:pStyle w:val="11"/>
            <w:tabs>
              <w:tab w:val="right" w:leader="dot" w:pos="9072"/>
            </w:tabs>
          </w:pPr>
          <w:r>
            <w:fldChar w:fldCharType="begin"/>
          </w:r>
          <w:r>
            <w:instrText xml:space="preserve"> HYPERLINK \l _Toc5253 </w:instrText>
          </w:r>
          <w:r>
            <w:fldChar w:fldCharType="separate"/>
          </w:r>
          <w:r>
            <w:rPr>
              <w:rFonts w:hint="eastAsia" w:ascii="楷体" w:hAnsi="楷体" w:eastAsia="楷体" w:cs="楷体"/>
              <w:bCs/>
              <w:kern w:val="2"/>
              <w:szCs w:val="32"/>
              <w:lang w:val="en-US" w:eastAsia="zh-CN" w:bidi="ar-SA"/>
            </w:rPr>
            <w:t>3.6.2噪声危害</w:t>
          </w:r>
          <w:r>
            <w:tab/>
          </w:r>
          <w:r>
            <w:fldChar w:fldCharType="begin"/>
          </w:r>
          <w:r>
            <w:instrText xml:space="preserve"> PAGEREF _Toc5253 \h </w:instrText>
          </w:r>
          <w:r>
            <w:fldChar w:fldCharType="separate"/>
          </w:r>
          <w:r>
            <w:t>38</w:t>
          </w:r>
          <w:r>
            <w:fldChar w:fldCharType="end"/>
          </w:r>
          <w:r>
            <w:fldChar w:fldCharType="end"/>
          </w:r>
        </w:p>
        <w:p w14:paraId="3F9FC361">
          <w:pPr>
            <w:pStyle w:val="16"/>
            <w:tabs>
              <w:tab w:val="right" w:leader="dot" w:pos="9072"/>
            </w:tabs>
          </w:pPr>
          <w:r>
            <w:fldChar w:fldCharType="begin"/>
          </w:r>
          <w:r>
            <w:instrText xml:space="preserve"> HYPERLINK \l _Toc27626 </w:instrText>
          </w:r>
          <w:r>
            <w:fldChar w:fldCharType="separate"/>
          </w:r>
          <w:r>
            <w:rPr>
              <w:rFonts w:hint="eastAsia" w:ascii="楷体" w:hAnsi="楷体" w:eastAsia="楷体" w:cs="楷体"/>
              <w:bCs/>
              <w:kern w:val="2"/>
              <w:szCs w:val="32"/>
              <w:lang w:val="en-US" w:eastAsia="zh-CN" w:bidi="ar-SA"/>
            </w:rPr>
            <w:t>3.7典型事故案例</w:t>
          </w:r>
          <w:r>
            <w:tab/>
          </w:r>
          <w:r>
            <w:fldChar w:fldCharType="begin"/>
          </w:r>
          <w:r>
            <w:instrText xml:space="preserve"> PAGEREF _Toc27626 \h </w:instrText>
          </w:r>
          <w:r>
            <w:fldChar w:fldCharType="separate"/>
          </w:r>
          <w:r>
            <w:t>38</w:t>
          </w:r>
          <w:r>
            <w:fldChar w:fldCharType="end"/>
          </w:r>
          <w:r>
            <w:fldChar w:fldCharType="end"/>
          </w:r>
        </w:p>
        <w:p w14:paraId="0AB2B94A">
          <w:pPr>
            <w:pStyle w:val="13"/>
            <w:tabs>
              <w:tab w:val="right" w:leader="dot" w:pos="9072"/>
            </w:tabs>
          </w:pPr>
          <w:r>
            <w:fldChar w:fldCharType="begin"/>
          </w:r>
          <w:r>
            <w:instrText xml:space="preserve"> HYPERLINK \l _Toc2652 </w:instrText>
          </w:r>
          <w:r>
            <w:fldChar w:fldCharType="separate"/>
          </w:r>
          <w:r>
            <w:rPr>
              <w:rFonts w:hint="eastAsia" w:ascii="楷体" w:hAnsi="楷体" w:eastAsia="楷体" w:cs="楷体"/>
              <w:szCs w:val="32"/>
              <w:lang w:val="en-US" w:eastAsia="zh-CN"/>
            </w:rPr>
            <w:t>4评价单元的划分及评价方法的选择</w:t>
          </w:r>
          <w:r>
            <w:tab/>
          </w:r>
          <w:r>
            <w:fldChar w:fldCharType="begin"/>
          </w:r>
          <w:r>
            <w:instrText xml:space="preserve"> PAGEREF _Toc2652 \h </w:instrText>
          </w:r>
          <w:r>
            <w:fldChar w:fldCharType="separate"/>
          </w:r>
          <w:r>
            <w:t>40</w:t>
          </w:r>
          <w:r>
            <w:fldChar w:fldCharType="end"/>
          </w:r>
          <w:r>
            <w:fldChar w:fldCharType="end"/>
          </w:r>
        </w:p>
        <w:p w14:paraId="28680A7E">
          <w:pPr>
            <w:pStyle w:val="16"/>
            <w:tabs>
              <w:tab w:val="right" w:leader="dot" w:pos="9072"/>
            </w:tabs>
          </w:pPr>
          <w:r>
            <w:fldChar w:fldCharType="begin"/>
          </w:r>
          <w:r>
            <w:instrText xml:space="preserve"> HYPERLINK \l _Toc32083 </w:instrText>
          </w:r>
          <w:r>
            <w:fldChar w:fldCharType="separate"/>
          </w:r>
          <w:r>
            <w:rPr>
              <w:rFonts w:hint="eastAsia" w:ascii="楷体" w:hAnsi="楷体" w:eastAsia="楷体" w:cs="楷体"/>
              <w:bCs/>
              <w:kern w:val="2"/>
              <w:szCs w:val="32"/>
              <w:lang w:val="en-US" w:eastAsia="zh-CN" w:bidi="ar-SA"/>
            </w:rPr>
            <w:t>4.1评价单元的划分</w:t>
          </w:r>
          <w:r>
            <w:tab/>
          </w:r>
          <w:r>
            <w:fldChar w:fldCharType="begin"/>
          </w:r>
          <w:r>
            <w:instrText xml:space="preserve"> PAGEREF _Toc32083 \h </w:instrText>
          </w:r>
          <w:r>
            <w:fldChar w:fldCharType="separate"/>
          </w:r>
          <w:r>
            <w:t>40</w:t>
          </w:r>
          <w:r>
            <w:fldChar w:fldCharType="end"/>
          </w:r>
          <w:r>
            <w:fldChar w:fldCharType="end"/>
          </w:r>
        </w:p>
        <w:p w14:paraId="456EC854">
          <w:pPr>
            <w:pStyle w:val="16"/>
            <w:tabs>
              <w:tab w:val="right" w:leader="dot" w:pos="9072"/>
            </w:tabs>
          </w:pPr>
          <w:r>
            <w:fldChar w:fldCharType="begin"/>
          </w:r>
          <w:r>
            <w:instrText xml:space="preserve"> HYPERLINK \l _Toc17657 </w:instrText>
          </w:r>
          <w:r>
            <w:fldChar w:fldCharType="separate"/>
          </w:r>
          <w:r>
            <w:rPr>
              <w:rFonts w:hint="eastAsia" w:ascii="楷体" w:hAnsi="楷体" w:eastAsia="楷体" w:cs="楷体"/>
              <w:szCs w:val="32"/>
              <w:lang w:val="en-US" w:eastAsia="zh-CN"/>
            </w:rPr>
            <w:t>4.2评价单元的选择</w:t>
          </w:r>
          <w:r>
            <w:tab/>
          </w:r>
          <w:r>
            <w:fldChar w:fldCharType="begin"/>
          </w:r>
          <w:r>
            <w:instrText xml:space="preserve"> PAGEREF _Toc17657 \h </w:instrText>
          </w:r>
          <w:r>
            <w:fldChar w:fldCharType="separate"/>
          </w:r>
          <w:r>
            <w:t>40</w:t>
          </w:r>
          <w:r>
            <w:fldChar w:fldCharType="end"/>
          </w:r>
          <w:r>
            <w:fldChar w:fldCharType="end"/>
          </w:r>
        </w:p>
        <w:p w14:paraId="5B38C78E">
          <w:pPr>
            <w:pStyle w:val="16"/>
            <w:tabs>
              <w:tab w:val="right" w:leader="dot" w:pos="9072"/>
            </w:tabs>
          </w:pPr>
          <w:r>
            <w:fldChar w:fldCharType="begin"/>
          </w:r>
          <w:r>
            <w:instrText xml:space="preserve"> HYPERLINK \l _Toc10774 </w:instrText>
          </w:r>
          <w:r>
            <w:fldChar w:fldCharType="separate"/>
          </w:r>
          <w:r>
            <w:rPr>
              <w:rFonts w:hint="eastAsia" w:ascii="楷体" w:hAnsi="楷体" w:eastAsia="楷体" w:cs="楷体"/>
              <w:bCs/>
              <w:szCs w:val="32"/>
              <w:lang w:val="en-US" w:eastAsia="zh-CN"/>
            </w:rPr>
            <w:t>4.3评价方法介绍</w:t>
          </w:r>
          <w:r>
            <w:tab/>
          </w:r>
          <w:r>
            <w:fldChar w:fldCharType="begin"/>
          </w:r>
          <w:r>
            <w:instrText xml:space="preserve"> PAGEREF _Toc10774 \h </w:instrText>
          </w:r>
          <w:r>
            <w:fldChar w:fldCharType="separate"/>
          </w:r>
          <w:r>
            <w:t>41</w:t>
          </w:r>
          <w:r>
            <w:fldChar w:fldCharType="end"/>
          </w:r>
          <w:r>
            <w:fldChar w:fldCharType="end"/>
          </w:r>
        </w:p>
        <w:p w14:paraId="34C13E67">
          <w:pPr>
            <w:pStyle w:val="11"/>
            <w:tabs>
              <w:tab w:val="right" w:leader="dot" w:pos="9072"/>
            </w:tabs>
          </w:pPr>
          <w:r>
            <w:fldChar w:fldCharType="begin"/>
          </w:r>
          <w:r>
            <w:instrText xml:space="preserve"> HYPERLINK \l _Toc11655 </w:instrText>
          </w:r>
          <w:r>
            <w:fldChar w:fldCharType="separate"/>
          </w:r>
          <w:r>
            <w:rPr>
              <w:rFonts w:hint="eastAsia" w:ascii="楷体" w:hAnsi="楷体" w:eastAsia="楷体" w:cs="楷体"/>
              <w:bCs/>
              <w:szCs w:val="32"/>
              <w:lang w:val="en-US" w:eastAsia="zh-CN"/>
            </w:rPr>
            <w:t>4.3.1危险度评价法</w:t>
          </w:r>
          <w:r>
            <w:tab/>
          </w:r>
          <w:r>
            <w:fldChar w:fldCharType="begin"/>
          </w:r>
          <w:r>
            <w:instrText xml:space="preserve"> PAGEREF _Toc11655 \h </w:instrText>
          </w:r>
          <w:r>
            <w:fldChar w:fldCharType="separate"/>
          </w:r>
          <w:r>
            <w:t>41</w:t>
          </w:r>
          <w:r>
            <w:fldChar w:fldCharType="end"/>
          </w:r>
          <w:r>
            <w:fldChar w:fldCharType="end"/>
          </w:r>
        </w:p>
        <w:p w14:paraId="6C06CFCB">
          <w:pPr>
            <w:pStyle w:val="11"/>
            <w:tabs>
              <w:tab w:val="right" w:leader="dot" w:pos="9072"/>
            </w:tabs>
          </w:pPr>
          <w:r>
            <w:fldChar w:fldCharType="begin"/>
          </w:r>
          <w:r>
            <w:instrText xml:space="preserve"> HYPERLINK \l _Toc5639 </w:instrText>
          </w:r>
          <w:r>
            <w:fldChar w:fldCharType="separate"/>
          </w:r>
          <w:r>
            <w:rPr>
              <w:rFonts w:hint="eastAsia" w:ascii="楷体" w:hAnsi="楷体" w:eastAsia="楷体" w:cs="楷体"/>
              <w:szCs w:val="32"/>
              <w:lang w:val="en-US" w:eastAsia="zh-CN"/>
            </w:rPr>
            <w:t>4.3.2安全检查表法</w:t>
          </w:r>
          <w:r>
            <w:tab/>
          </w:r>
          <w:r>
            <w:fldChar w:fldCharType="begin"/>
          </w:r>
          <w:r>
            <w:instrText xml:space="preserve"> PAGEREF _Toc5639 \h </w:instrText>
          </w:r>
          <w:r>
            <w:fldChar w:fldCharType="separate"/>
          </w:r>
          <w:r>
            <w:t>42</w:t>
          </w:r>
          <w:r>
            <w:fldChar w:fldCharType="end"/>
          </w:r>
          <w:r>
            <w:fldChar w:fldCharType="end"/>
          </w:r>
        </w:p>
        <w:p w14:paraId="1FEAEB99">
          <w:pPr>
            <w:pStyle w:val="11"/>
            <w:tabs>
              <w:tab w:val="right" w:leader="dot" w:pos="9072"/>
            </w:tabs>
          </w:pPr>
          <w:r>
            <w:fldChar w:fldCharType="begin"/>
          </w:r>
          <w:r>
            <w:instrText xml:space="preserve"> HYPERLINK \l _Toc8825 </w:instrText>
          </w:r>
          <w:r>
            <w:fldChar w:fldCharType="separate"/>
          </w:r>
          <w:r>
            <w:rPr>
              <w:rFonts w:hint="eastAsia" w:ascii="楷体" w:hAnsi="楷体" w:eastAsia="楷体" w:cs="楷体"/>
              <w:szCs w:val="32"/>
              <w:lang w:val="en-US" w:eastAsia="zh-CN"/>
            </w:rPr>
            <w:t>4.3.3作业条件危险性评价法</w:t>
          </w:r>
          <w:r>
            <w:tab/>
          </w:r>
          <w:r>
            <w:fldChar w:fldCharType="begin"/>
          </w:r>
          <w:r>
            <w:instrText xml:space="preserve"> PAGEREF _Toc8825 \h </w:instrText>
          </w:r>
          <w:r>
            <w:fldChar w:fldCharType="separate"/>
          </w:r>
          <w:r>
            <w:t>42</w:t>
          </w:r>
          <w:r>
            <w:fldChar w:fldCharType="end"/>
          </w:r>
          <w:r>
            <w:fldChar w:fldCharType="end"/>
          </w:r>
        </w:p>
        <w:p w14:paraId="15F1BE6C">
          <w:pPr>
            <w:pStyle w:val="13"/>
            <w:tabs>
              <w:tab w:val="right" w:leader="dot" w:pos="9072"/>
            </w:tabs>
          </w:pPr>
          <w:r>
            <w:fldChar w:fldCharType="begin"/>
          </w:r>
          <w:r>
            <w:instrText xml:space="preserve"> HYPERLINK \l _Toc4097 </w:instrText>
          </w:r>
          <w:r>
            <w:fldChar w:fldCharType="separate"/>
          </w:r>
          <w:r>
            <w:rPr>
              <w:rFonts w:hint="eastAsia" w:ascii="楷体" w:hAnsi="楷体" w:eastAsia="楷体" w:cs="楷体"/>
              <w:szCs w:val="32"/>
            </w:rPr>
            <w:t>5安全评价</w:t>
          </w:r>
          <w:r>
            <w:tab/>
          </w:r>
          <w:r>
            <w:fldChar w:fldCharType="begin"/>
          </w:r>
          <w:r>
            <w:instrText xml:space="preserve"> PAGEREF _Toc4097 \h </w:instrText>
          </w:r>
          <w:r>
            <w:fldChar w:fldCharType="separate"/>
          </w:r>
          <w:r>
            <w:t>45</w:t>
          </w:r>
          <w:r>
            <w:fldChar w:fldCharType="end"/>
          </w:r>
          <w:r>
            <w:fldChar w:fldCharType="end"/>
          </w:r>
        </w:p>
        <w:p w14:paraId="74BA15AD">
          <w:pPr>
            <w:pStyle w:val="16"/>
            <w:tabs>
              <w:tab w:val="right" w:leader="dot" w:pos="9072"/>
            </w:tabs>
          </w:pPr>
          <w:r>
            <w:fldChar w:fldCharType="begin"/>
          </w:r>
          <w:r>
            <w:instrText xml:space="preserve"> HYPERLINK \l _Toc8389 </w:instrText>
          </w:r>
          <w:r>
            <w:fldChar w:fldCharType="separate"/>
          </w:r>
          <w:r>
            <w:rPr>
              <w:rFonts w:hint="eastAsia" w:ascii="楷体" w:hAnsi="楷体" w:eastAsia="楷体" w:cs="楷体"/>
              <w:szCs w:val="32"/>
            </w:rPr>
            <w:t>5.1安全条件单元</w:t>
          </w:r>
          <w:r>
            <w:tab/>
          </w:r>
          <w:r>
            <w:fldChar w:fldCharType="begin"/>
          </w:r>
          <w:r>
            <w:instrText xml:space="preserve"> PAGEREF _Toc8389 \h </w:instrText>
          </w:r>
          <w:r>
            <w:fldChar w:fldCharType="separate"/>
          </w:r>
          <w:r>
            <w:t>45</w:t>
          </w:r>
          <w:r>
            <w:fldChar w:fldCharType="end"/>
          </w:r>
          <w:r>
            <w:fldChar w:fldCharType="end"/>
          </w:r>
        </w:p>
        <w:p w14:paraId="5C3B0C60">
          <w:pPr>
            <w:pStyle w:val="16"/>
            <w:tabs>
              <w:tab w:val="right" w:leader="dot" w:pos="9072"/>
            </w:tabs>
          </w:pPr>
          <w:r>
            <w:fldChar w:fldCharType="begin"/>
          </w:r>
          <w:r>
            <w:instrText xml:space="preserve"> HYPERLINK \l _Toc27794 </w:instrText>
          </w:r>
          <w:r>
            <w:fldChar w:fldCharType="separate"/>
          </w:r>
          <w:r>
            <w:rPr>
              <w:rFonts w:hint="eastAsia" w:ascii="楷体" w:hAnsi="楷体" w:eastAsia="楷体" w:cs="楷体"/>
              <w:szCs w:val="32"/>
            </w:rPr>
            <w:t>5.2站址和总平面布置及建（构）筑物单元</w:t>
          </w:r>
          <w:r>
            <w:tab/>
          </w:r>
          <w:r>
            <w:fldChar w:fldCharType="begin"/>
          </w:r>
          <w:r>
            <w:instrText xml:space="preserve"> PAGEREF _Toc27794 \h </w:instrText>
          </w:r>
          <w:r>
            <w:fldChar w:fldCharType="separate"/>
          </w:r>
          <w:r>
            <w:t>51</w:t>
          </w:r>
          <w:r>
            <w:fldChar w:fldCharType="end"/>
          </w:r>
          <w:r>
            <w:fldChar w:fldCharType="end"/>
          </w:r>
        </w:p>
        <w:p w14:paraId="53F66BB4">
          <w:pPr>
            <w:pStyle w:val="11"/>
            <w:tabs>
              <w:tab w:val="right" w:leader="dot" w:pos="9072"/>
            </w:tabs>
          </w:pPr>
          <w:r>
            <w:fldChar w:fldCharType="begin"/>
          </w:r>
          <w:r>
            <w:instrText xml:space="preserve"> HYPERLINK \l _Toc12366 </w:instrText>
          </w:r>
          <w:r>
            <w:fldChar w:fldCharType="separate"/>
          </w:r>
          <w:r>
            <w:rPr>
              <w:rFonts w:hint="eastAsia" w:ascii="楷体" w:hAnsi="楷体" w:eastAsia="楷体" w:cs="楷体"/>
              <w:szCs w:val="32"/>
            </w:rPr>
            <w:t>5.2.1周边环境评价</w:t>
          </w:r>
          <w:r>
            <w:tab/>
          </w:r>
          <w:r>
            <w:fldChar w:fldCharType="begin"/>
          </w:r>
          <w:r>
            <w:instrText xml:space="preserve"> PAGEREF _Toc12366 \h </w:instrText>
          </w:r>
          <w:r>
            <w:fldChar w:fldCharType="separate"/>
          </w:r>
          <w:r>
            <w:t>51</w:t>
          </w:r>
          <w:r>
            <w:fldChar w:fldCharType="end"/>
          </w:r>
          <w:r>
            <w:fldChar w:fldCharType="end"/>
          </w:r>
        </w:p>
        <w:p w14:paraId="02C03520">
          <w:pPr>
            <w:pStyle w:val="11"/>
            <w:tabs>
              <w:tab w:val="right" w:leader="dot" w:pos="9072"/>
            </w:tabs>
          </w:pPr>
          <w:r>
            <w:fldChar w:fldCharType="begin"/>
          </w:r>
          <w:r>
            <w:instrText xml:space="preserve"> HYPERLINK \l _Toc19298 </w:instrText>
          </w:r>
          <w:r>
            <w:fldChar w:fldCharType="separate"/>
          </w:r>
          <w:r>
            <w:rPr>
              <w:rFonts w:hint="eastAsia" w:ascii="楷体" w:hAnsi="楷体" w:eastAsia="楷体" w:cs="楷体"/>
              <w:szCs w:val="32"/>
              <w:lang w:eastAsia="en-US"/>
            </w:rPr>
            <w:t>5.2.2平面布置评价</w:t>
          </w:r>
          <w:r>
            <w:tab/>
          </w:r>
          <w:r>
            <w:fldChar w:fldCharType="begin"/>
          </w:r>
          <w:r>
            <w:instrText xml:space="preserve"> PAGEREF _Toc19298 \h </w:instrText>
          </w:r>
          <w:r>
            <w:fldChar w:fldCharType="separate"/>
          </w:r>
          <w:r>
            <w:t>53</w:t>
          </w:r>
          <w:r>
            <w:fldChar w:fldCharType="end"/>
          </w:r>
          <w:r>
            <w:fldChar w:fldCharType="end"/>
          </w:r>
        </w:p>
        <w:p w14:paraId="72B2A765">
          <w:pPr>
            <w:pStyle w:val="11"/>
            <w:tabs>
              <w:tab w:val="right" w:leader="dot" w:pos="9072"/>
            </w:tabs>
          </w:pPr>
          <w:r>
            <w:fldChar w:fldCharType="begin"/>
          </w:r>
          <w:r>
            <w:instrText xml:space="preserve"> HYPERLINK \l _Toc29762 </w:instrText>
          </w:r>
          <w:r>
            <w:fldChar w:fldCharType="separate"/>
          </w:r>
          <w:r>
            <w:rPr>
              <w:rFonts w:hint="eastAsia" w:ascii="楷体" w:hAnsi="楷体" w:eastAsia="楷体" w:cs="楷体"/>
              <w:szCs w:val="32"/>
            </w:rPr>
            <w:t>5.2.3建（构）筑物</w:t>
          </w:r>
          <w:r>
            <w:tab/>
          </w:r>
          <w:r>
            <w:fldChar w:fldCharType="begin"/>
          </w:r>
          <w:r>
            <w:instrText xml:space="preserve"> PAGEREF _Toc29762 \h </w:instrText>
          </w:r>
          <w:r>
            <w:fldChar w:fldCharType="separate"/>
          </w:r>
          <w:r>
            <w:t>54</w:t>
          </w:r>
          <w:r>
            <w:fldChar w:fldCharType="end"/>
          </w:r>
          <w:r>
            <w:fldChar w:fldCharType="end"/>
          </w:r>
        </w:p>
        <w:p w14:paraId="59940A5C">
          <w:pPr>
            <w:pStyle w:val="11"/>
            <w:tabs>
              <w:tab w:val="right" w:leader="dot" w:pos="9072"/>
            </w:tabs>
          </w:pPr>
          <w:r>
            <w:fldChar w:fldCharType="begin"/>
          </w:r>
          <w:r>
            <w:instrText xml:space="preserve"> HYPERLINK \l _Toc17530 </w:instrText>
          </w:r>
          <w:r>
            <w:fldChar w:fldCharType="separate"/>
          </w:r>
          <w:r>
            <w:rPr>
              <w:rFonts w:hint="eastAsia" w:ascii="楷体" w:hAnsi="楷体" w:eastAsia="楷体" w:cs="楷体"/>
              <w:szCs w:val="32"/>
              <w:lang w:val="en-US" w:eastAsia="zh-CN"/>
            </w:rPr>
            <w:t>5.2.4站址及平面布置安全检查表</w:t>
          </w:r>
          <w:r>
            <w:tab/>
          </w:r>
          <w:r>
            <w:fldChar w:fldCharType="begin"/>
          </w:r>
          <w:r>
            <w:instrText xml:space="preserve"> PAGEREF _Toc17530 \h </w:instrText>
          </w:r>
          <w:r>
            <w:fldChar w:fldCharType="separate"/>
          </w:r>
          <w:r>
            <w:t>55</w:t>
          </w:r>
          <w:r>
            <w:fldChar w:fldCharType="end"/>
          </w:r>
          <w:r>
            <w:fldChar w:fldCharType="end"/>
          </w:r>
        </w:p>
        <w:p w14:paraId="0F75172A">
          <w:pPr>
            <w:pStyle w:val="16"/>
            <w:tabs>
              <w:tab w:val="right" w:leader="dot" w:pos="9072"/>
            </w:tabs>
          </w:pPr>
          <w:r>
            <w:fldChar w:fldCharType="begin"/>
          </w:r>
          <w:r>
            <w:instrText xml:space="preserve"> HYPERLINK \l _Toc1972 </w:instrText>
          </w:r>
          <w:r>
            <w:fldChar w:fldCharType="separate"/>
          </w:r>
          <w:r>
            <w:rPr>
              <w:rFonts w:hint="eastAsia" w:ascii="楷体" w:hAnsi="楷体" w:eastAsia="楷体" w:cs="楷体"/>
              <w:szCs w:val="32"/>
              <w:lang w:eastAsia="en-US"/>
            </w:rPr>
            <w:t>5.3加油工艺及设备设施单元</w:t>
          </w:r>
          <w:r>
            <w:tab/>
          </w:r>
          <w:r>
            <w:fldChar w:fldCharType="begin"/>
          </w:r>
          <w:r>
            <w:instrText xml:space="preserve"> PAGEREF _Toc1972 \h </w:instrText>
          </w:r>
          <w:r>
            <w:fldChar w:fldCharType="separate"/>
          </w:r>
          <w:r>
            <w:t>60</w:t>
          </w:r>
          <w:r>
            <w:fldChar w:fldCharType="end"/>
          </w:r>
          <w:r>
            <w:fldChar w:fldCharType="end"/>
          </w:r>
        </w:p>
        <w:p w14:paraId="6E1D6223">
          <w:pPr>
            <w:pStyle w:val="16"/>
            <w:tabs>
              <w:tab w:val="right" w:leader="dot" w:pos="9072"/>
            </w:tabs>
          </w:pPr>
          <w:r>
            <w:fldChar w:fldCharType="begin"/>
          </w:r>
          <w:r>
            <w:instrText xml:space="preserve"> HYPERLINK \l _Toc9492 </w:instrText>
          </w:r>
          <w:r>
            <w:fldChar w:fldCharType="separate"/>
          </w:r>
          <w:r>
            <w:rPr>
              <w:rFonts w:hint="eastAsia" w:ascii="楷体" w:hAnsi="楷体" w:eastAsia="楷体" w:cs="楷体"/>
              <w:szCs w:val="32"/>
              <w:lang w:eastAsia="en-US"/>
            </w:rPr>
            <w:t>5.4作业单元</w:t>
          </w:r>
          <w:r>
            <w:tab/>
          </w:r>
          <w:r>
            <w:fldChar w:fldCharType="begin"/>
          </w:r>
          <w:r>
            <w:instrText xml:space="preserve"> PAGEREF _Toc9492 \h </w:instrText>
          </w:r>
          <w:r>
            <w:fldChar w:fldCharType="separate"/>
          </w:r>
          <w:r>
            <w:t>63</w:t>
          </w:r>
          <w:r>
            <w:fldChar w:fldCharType="end"/>
          </w:r>
          <w:r>
            <w:fldChar w:fldCharType="end"/>
          </w:r>
        </w:p>
        <w:p w14:paraId="13120B41">
          <w:pPr>
            <w:pStyle w:val="11"/>
            <w:tabs>
              <w:tab w:val="right" w:leader="dot" w:pos="9072"/>
            </w:tabs>
          </w:pPr>
          <w:r>
            <w:fldChar w:fldCharType="begin"/>
          </w:r>
          <w:r>
            <w:instrText xml:space="preserve"> HYPERLINK \l _Toc20411 </w:instrText>
          </w:r>
          <w:r>
            <w:fldChar w:fldCharType="separate"/>
          </w:r>
          <w:r>
            <w:rPr>
              <w:rFonts w:hint="eastAsia" w:ascii="楷体" w:hAnsi="楷体" w:eastAsia="楷体" w:cs="楷体"/>
              <w:szCs w:val="32"/>
              <w:lang w:eastAsia="en-US"/>
            </w:rPr>
            <w:t>5.4.1</w:t>
          </w:r>
          <w:r>
            <w:rPr>
              <w:rFonts w:hint="eastAsia" w:ascii="楷体" w:hAnsi="楷体" w:eastAsia="楷体" w:cs="楷体"/>
              <w:szCs w:val="32"/>
              <w:lang w:val="en-US" w:eastAsia="zh-CN"/>
            </w:rPr>
            <w:t>危</w:t>
          </w:r>
          <w:r>
            <w:rPr>
              <w:rFonts w:hint="eastAsia" w:ascii="楷体" w:hAnsi="楷体" w:eastAsia="楷体" w:cs="楷体"/>
              <w:szCs w:val="32"/>
              <w:lang w:eastAsia="en-US"/>
            </w:rPr>
            <w:t>险度评价法</w:t>
          </w:r>
          <w:r>
            <w:tab/>
          </w:r>
          <w:r>
            <w:fldChar w:fldCharType="begin"/>
          </w:r>
          <w:r>
            <w:instrText xml:space="preserve"> PAGEREF _Toc20411 \h </w:instrText>
          </w:r>
          <w:r>
            <w:fldChar w:fldCharType="separate"/>
          </w:r>
          <w:r>
            <w:t>63</w:t>
          </w:r>
          <w:r>
            <w:fldChar w:fldCharType="end"/>
          </w:r>
          <w:r>
            <w:fldChar w:fldCharType="end"/>
          </w:r>
        </w:p>
        <w:p w14:paraId="26E0B1F0">
          <w:pPr>
            <w:pStyle w:val="11"/>
            <w:tabs>
              <w:tab w:val="right" w:leader="dot" w:pos="9072"/>
            </w:tabs>
          </w:pPr>
          <w:r>
            <w:fldChar w:fldCharType="begin"/>
          </w:r>
          <w:r>
            <w:instrText xml:space="preserve"> HYPERLINK \l _Toc24479 </w:instrText>
          </w:r>
          <w:r>
            <w:fldChar w:fldCharType="separate"/>
          </w:r>
          <w:r>
            <w:rPr>
              <w:rFonts w:hint="eastAsia" w:ascii="楷体" w:hAnsi="楷体" w:eastAsia="楷体" w:cs="楷体"/>
              <w:szCs w:val="32"/>
              <w:lang w:eastAsia="en-US"/>
            </w:rPr>
            <w:t>5.4.2 作业条件危险性评价法（LEC）</w:t>
          </w:r>
          <w:r>
            <w:tab/>
          </w:r>
          <w:r>
            <w:fldChar w:fldCharType="begin"/>
          </w:r>
          <w:r>
            <w:instrText xml:space="preserve"> PAGEREF _Toc24479 \h </w:instrText>
          </w:r>
          <w:r>
            <w:fldChar w:fldCharType="separate"/>
          </w:r>
          <w:r>
            <w:t>63</w:t>
          </w:r>
          <w:r>
            <w:fldChar w:fldCharType="end"/>
          </w:r>
          <w:r>
            <w:fldChar w:fldCharType="end"/>
          </w:r>
        </w:p>
        <w:p w14:paraId="32E27489">
          <w:pPr>
            <w:pStyle w:val="16"/>
            <w:tabs>
              <w:tab w:val="right" w:leader="dot" w:pos="9072"/>
            </w:tabs>
          </w:pPr>
          <w:r>
            <w:fldChar w:fldCharType="begin"/>
          </w:r>
          <w:r>
            <w:instrText xml:space="preserve"> HYPERLINK \l _Toc30686 </w:instrText>
          </w:r>
          <w:r>
            <w:fldChar w:fldCharType="separate"/>
          </w:r>
          <w:r>
            <w:rPr>
              <w:rFonts w:hint="eastAsia" w:ascii="楷体" w:hAnsi="楷体" w:eastAsia="楷体" w:cs="楷体"/>
              <w:szCs w:val="32"/>
              <w:lang w:eastAsia="en-US"/>
            </w:rPr>
            <w:t>5.5 辅助单元</w:t>
          </w:r>
          <w:r>
            <w:tab/>
          </w:r>
          <w:r>
            <w:fldChar w:fldCharType="begin"/>
          </w:r>
          <w:r>
            <w:instrText xml:space="preserve"> PAGEREF _Toc30686 \h </w:instrText>
          </w:r>
          <w:r>
            <w:fldChar w:fldCharType="separate"/>
          </w:r>
          <w:r>
            <w:t>65</w:t>
          </w:r>
          <w:r>
            <w:fldChar w:fldCharType="end"/>
          </w:r>
          <w:r>
            <w:fldChar w:fldCharType="end"/>
          </w:r>
        </w:p>
        <w:p w14:paraId="0AE27510">
          <w:pPr>
            <w:pStyle w:val="16"/>
            <w:tabs>
              <w:tab w:val="right" w:leader="dot" w:pos="9072"/>
            </w:tabs>
          </w:pPr>
          <w:r>
            <w:fldChar w:fldCharType="begin"/>
          </w:r>
          <w:r>
            <w:instrText xml:space="preserve"> HYPERLINK \l _Toc12560 </w:instrText>
          </w:r>
          <w:r>
            <w:fldChar w:fldCharType="separate"/>
          </w:r>
          <w:r>
            <w:rPr>
              <w:rFonts w:hint="eastAsia" w:ascii="楷体" w:hAnsi="楷体" w:eastAsia="楷体" w:cs="楷体"/>
              <w:szCs w:val="32"/>
              <w:lang w:val="en-US" w:eastAsia="zh-CN"/>
            </w:rPr>
            <w:t>5</w:t>
          </w:r>
          <w:r>
            <w:rPr>
              <w:rFonts w:hint="eastAsia" w:ascii="楷体" w:hAnsi="楷体" w:eastAsia="楷体" w:cs="楷体"/>
              <w:szCs w:val="32"/>
              <w:lang w:eastAsia="en-US"/>
            </w:rPr>
            <w:t>.6 消防安全设施单元</w:t>
          </w:r>
          <w:r>
            <w:tab/>
          </w:r>
          <w:r>
            <w:fldChar w:fldCharType="begin"/>
          </w:r>
          <w:r>
            <w:instrText xml:space="preserve"> PAGEREF _Toc12560 \h </w:instrText>
          </w:r>
          <w:r>
            <w:fldChar w:fldCharType="separate"/>
          </w:r>
          <w:r>
            <w:t>67</w:t>
          </w:r>
          <w:r>
            <w:fldChar w:fldCharType="end"/>
          </w:r>
          <w:r>
            <w:fldChar w:fldCharType="end"/>
          </w:r>
        </w:p>
        <w:p w14:paraId="70B7A12C">
          <w:pPr>
            <w:pStyle w:val="16"/>
            <w:tabs>
              <w:tab w:val="right" w:leader="dot" w:pos="9072"/>
            </w:tabs>
          </w:pPr>
          <w:r>
            <w:fldChar w:fldCharType="begin"/>
          </w:r>
          <w:r>
            <w:instrText xml:space="preserve"> HYPERLINK \l _Toc12954 </w:instrText>
          </w:r>
          <w:r>
            <w:fldChar w:fldCharType="separate"/>
          </w:r>
          <w:r>
            <w:rPr>
              <w:rFonts w:hint="eastAsia" w:ascii="楷体" w:hAnsi="楷体" w:eastAsia="楷体" w:cs="楷体"/>
              <w:szCs w:val="32"/>
              <w:lang w:eastAsia="en-US"/>
            </w:rPr>
            <w:t>5.7 综合管理单元</w:t>
          </w:r>
          <w:r>
            <w:tab/>
          </w:r>
          <w:r>
            <w:fldChar w:fldCharType="begin"/>
          </w:r>
          <w:r>
            <w:instrText xml:space="preserve"> PAGEREF _Toc12954 \h </w:instrText>
          </w:r>
          <w:r>
            <w:fldChar w:fldCharType="separate"/>
          </w:r>
          <w:r>
            <w:t>69</w:t>
          </w:r>
          <w:r>
            <w:fldChar w:fldCharType="end"/>
          </w:r>
          <w:r>
            <w:fldChar w:fldCharType="end"/>
          </w:r>
        </w:p>
        <w:p w14:paraId="5FC47FD5">
          <w:pPr>
            <w:pStyle w:val="11"/>
            <w:tabs>
              <w:tab w:val="right" w:leader="dot" w:pos="9072"/>
            </w:tabs>
          </w:pPr>
          <w:r>
            <w:fldChar w:fldCharType="begin"/>
          </w:r>
          <w:r>
            <w:instrText xml:space="preserve"> HYPERLINK \l _Toc19914 </w:instrText>
          </w:r>
          <w:r>
            <w:fldChar w:fldCharType="separate"/>
          </w:r>
          <w:r>
            <w:rPr>
              <w:rFonts w:hint="eastAsia" w:ascii="楷体" w:hAnsi="楷体" w:eastAsia="楷体" w:cs="楷体"/>
              <w:szCs w:val="32"/>
              <w:lang w:eastAsia="en-US"/>
            </w:rPr>
            <w:t>5.7.1 重大生产安全事故隐患判定分析</w:t>
          </w:r>
          <w:r>
            <w:tab/>
          </w:r>
          <w:r>
            <w:fldChar w:fldCharType="begin"/>
          </w:r>
          <w:r>
            <w:instrText xml:space="preserve"> PAGEREF _Toc19914 \h </w:instrText>
          </w:r>
          <w:r>
            <w:fldChar w:fldCharType="separate"/>
          </w:r>
          <w:r>
            <w:t>69</w:t>
          </w:r>
          <w:r>
            <w:fldChar w:fldCharType="end"/>
          </w:r>
          <w:r>
            <w:fldChar w:fldCharType="end"/>
          </w:r>
        </w:p>
        <w:p w14:paraId="6057D735">
          <w:pPr>
            <w:pStyle w:val="11"/>
            <w:tabs>
              <w:tab w:val="right" w:leader="dot" w:pos="9072"/>
            </w:tabs>
          </w:pPr>
          <w:r>
            <w:fldChar w:fldCharType="begin"/>
          </w:r>
          <w:r>
            <w:instrText xml:space="preserve"> HYPERLINK \l _Toc26427 </w:instrText>
          </w:r>
          <w:r>
            <w:fldChar w:fldCharType="separate"/>
          </w:r>
          <w:r>
            <w:rPr>
              <w:rFonts w:hint="eastAsia" w:ascii="楷体" w:hAnsi="楷体" w:eastAsia="楷体" w:cs="楷体"/>
              <w:szCs w:val="32"/>
              <w:lang w:eastAsia="en-US"/>
            </w:rPr>
            <w:t>5.7.2 重点监管危险化学品安全检查表</w:t>
          </w:r>
          <w:r>
            <w:tab/>
          </w:r>
          <w:r>
            <w:fldChar w:fldCharType="begin"/>
          </w:r>
          <w:r>
            <w:instrText xml:space="preserve"> PAGEREF _Toc26427 \h </w:instrText>
          </w:r>
          <w:r>
            <w:fldChar w:fldCharType="separate"/>
          </w:r>
          <w:r>
            <w:t>71</w:t>
          </w:r>
          <w:r>
            <w:fldChar w:fldCharType="end"/>
          </w:r>
          <w:r>
            <w:fldChar w:fldCharType="end"/>
          </w:r>
        </w:p>
        <w:p w14:paraId="4856CA67">
          <w:pPr>
            <w:pStyle w:val="11"/>
            <w:tabs>
              <w:tab w:val="right" w:leader="dot" w:pos="9072"/>
            </w:tabs>
          </w:pPr>
          <w:r>
            <w:fldChar w:fldCharType="begin"/>
          </w:r>
          <w:r>
            <w:instrText xml:space="preserve"> HYPERLINK \l _Toc15001 </w:instrText>
          </w:r>
          <w:r>
            <w:fldChar w:fldCharType="separate"/>
          </w:r>
          <w:r>
            <w:rPr>
              <w:rFonts w:hint="eastAsia" w:ascii="楷体" w:hAnsi="楷体" w:eastAsia="楷体" w:cs="楷体"/>
              <w:szCs w:val="32"/>
              <w:lang w:eastAsia="en-US"/>
            </w:rPr>
            <w:t>5.7.3 加油站安全检查表</w:t>
          </w:r>
          <w:r>
            <w:tab/>
          </w:r>
          <w:r>
            <w:fldChar w:fldCharType="begin"/>
          </w:r>
          <w:r>
            <w:instrText xml:space="preserve"> PAGEREF _Toc15001 \h </w:instrText>
          </w:r>
          <w:r>
            <w:fldChar w:fldCharType="separate"/>
          </w:r>
          <w:r>
            <w:t>72</w:t>
          </w:r>
          <w:r>
            <w:fldChar w:fldCharType="end"/>
          </w:r>
          <w:r>
            <w:fldChar w:fldCharType="end"/>
          </w:r>
        </w:p>
        <w:p w14:paraId="3D43A798">
          <w:pPr>
            <w:pStyle w:val="13"/>
            <w:tabs>
              <w:tab w:val="right" w:leader="dot" w:pos="9072"/>
            </w:tabs>
          </w:pPr>
          <w:r>
            <w:fldChar w:fldCharType="begin"/>
          </w:r>
          <w:r>
            <w:instrText xml:space="preserve"> HYPERLINK \l _Toc32611 </w:instrText>
          </w:r>
          <w:r>
            <w:fldChar w:fldCharType="separate"/>
          </w:r>
          <w:r>
            <w:rPr>
              <w:rFonts w:hint="eastAsia" w:ascii="楷体" w:hAnsi="楷体" w:eastAsia="楷体" w:cs="楷体"/>
              <w:szCs w:val="32"/>
              <w:lang w:val="en-US" w:eastAsia="zh-CN"/>
            </w:rPr>
            <w:t>6</w:t>
          </w:r>
          <w:r>
            <w:rPr>
              <w:rFonts w:hint="eastAsia" w:ascii="楷体" w:hAnsi="楷体" w:eastAsia="楷体" w:cs="楷体"/>
              <w:szCs w:val="32"/>
            </w:rPr>
            <w:t>安全对策措施及建议</w:t>
          </w:r>
          <w:r>
            <w:tab/>
          </w:r>
          <w:r>
            <w:fldChar w:fldCharType="begin"/>
          </w:r>
          <w:r>
            <w:instrText xml:space="preserve"> PAGEREF _Toc32611 \h </w:instrText>
          </w:r>
          <w:r>
            <w:fldChar w:fldCharType="separate"/>
          </w:r>
          <w:r>
            <w:t>81</w:t>
          </w:r>
          <w:r>
            <w:fldChar w:fldCharType="end"/>
          </w:r>
          <w:r>
            <w:fldChar w:fldCharType="end"/>
          </w:r>
        </w:p>
        <w:p w14:paraId="152C0D61">
          <w:pPr>
            <w:pStyle w:val="16"/>
            <w:tabs>
              <w:tab w:val="right" w:leader="dot" w:pos="9072"/>
            </w:tabs>
          </w:pPr>
          <w:r>
            <w:fldChar w:fldCharType="begin"/>
          </w:r>
          <w:r>
            <w:instrText xml:space="preserve"> HYPERLINK \l _Toc23177 </w:instrText>
          </w:r>
          <w:r>
            <w:fldChar w:fldCharType="separate"/>
          </w:r>
          <w:r>
            <w:rPr>
              <w:rFonts w:hint="eastAsia" w:ascii="楷体" w:hAnsi="楷体" w:eastAsia="楷体" w:cs="楷体"/>
              <w:szCs w:val="32"/>
              <w:lang w:val="en-US" w:eastAsia="zh-CN"/>
            </w:rPr>
            <w:t>6.1存在的问题</w:t>
          </w:r>
          <w:r>
            <w:tab/>
          </w:r>
          <w:r>
            <w:fldChar w:fldCharType="begin"/>
          </w:r>
          <w:r>
            <w:instrText xml:space="preserve"> PAGEREF _Toc23177 \h </w:instrText>
          </w:r>
          <w:r>
            <w:fldChar w:fldCharType="separate"/>
          </w:r>
          <w:r>
            <w:t>81</w:t>
          </w:r>
          <w:r>
            <w:fldChar w:fldCharType="end"/>
          </w:r>
          <w:r>
            <w:fldChar w:fldCharType="end"/>
          </w:r>
        </w:p>
        <w:p w14:paraId="7B99D0A5">
          <w:pPr>
            <w:pStyle w:val="16"/>
            <w:tabs>
              <w:tab w:val="right" w:leader="dot" w:pos="9072"/>
            </w:tabs>
          </w:pPr>
          <w:r>
            <w:fldChar w:fldCharType="begin"/>
          </w:r>
          <w:r>
            <w:instrText xml:space="preserve"> HYPERLINK \l _Toc23032 </w:instrText>
          </w:r>
          <w:r>
            <w:fldChar w:fldCharType="separate"/>
          </w:r>
          <w:r>
            <w:rPr>
              <w:rFonts w:hint="eastAsia" w:ascii="楷体" w:hAnsi="楷体" w:eastAsia="楷体" w:cs="楷体"/>
              <w:szCs w:val="32"/>
              <w:lang w:val="en-US" w:eastAsia="zh-CN"/>
            </w:rPr>
            <w:t>6.2整改落实情况</w:t>
          </w:r>
          <w:r>
            <w:tab/>
          </w:r>
          <w:r>
            <w:fldChar w:fldCharType="begin"/>
          </w:r>
          <w:r>
            <w:instrText xml:space="preserve"> PAGEREF _Toc23032 \h </w:instrText>
          </w:r>
          <w:r>
            <w:fldChar w:fldCharType="separate"/>
          </w:r>
          <w:r>
            <w:t>81</w:t>
          </w:r>
          <w:r>
            <w:fldChar w:fldCharType="end"/>
          </w:r>
          <w:r>
            <w:fldChar w:fldCharType="end"/>
          </w:r>
        </w:p>
        <w:p w14:paraId="74BA33F8">
          <w:pPr>
            <w:pStyle w:val="16"/>
            <w:tabs>
              <w:tab w:val="right" w:leader="dot" w:pos="9072"/>
            </w:tabs>
          </w:pPr>
          <w:r>
            <w:fldChar w:fldCharType="begin"/>
          </w:r>
          <w:r>
            <w:instrText xml:space="preserve"> HYPERLINK \l _Toc16566 </w:instrText>
          </w:r>
          <w:r>
            <w:fldChar w:fldCharType="separate"/>
          </w:r>
          <w:r>
            <w:rPr>
              <w:rFonts w:hint="eastAsia" w:ascii="楷体" w:hAnsi="楷体" w:eastAsia="楷体" w:cs="楷体"/>
              <w:szCs w:val="32"/>
            </w:rPr>
            <w:t>6.3建议补充的安全对策措施</w:t>
          </w:r>
          <w:r>
            <w:tab/>
          </w:r>
          <w:r>
            <w:fldChar w:fldCharType="begin"/>
          </w:r>
          <w:r>
            <w:instrText xml:space="preserve"> PAGEREF _Toc16566 \h </w:instrText>
          </w:r>
          <w:r>
            <w:fldChar w:fldCharType="separate"/>
          </w:r>
          <w:r>
            <w:t>81</w:t>
          </w:r>
          <w:r>
            <w:fldChar w:fldCharType="end"/>
          </w:r>
          <w:r>
            <w:fldChar w:fldCharType="end"/>
          </w:r>
        </w:p>
        <w:p w14:paraId="2BC08D07">
          <w:pPr>
            <w:pStyle w:val="13"/>
            <w:tabs>
              <w:tab w:val="right" w:leader="dot" w:pos="9072"/>
            </w:tabs>
          </w:pPr>
          <w:r>
            <w:fldChar w:fldCharType="begin"/>
          </w:r>
          <w:r>
            <w:instrText xml:space="preserve"> HYPERLINK \l _Toc22094 </w:instrText>
          </w:r>
          <w:r>
            <w:fldChar w:fldCharType="separate"/>
          </w:r>
          <w:r>
            <w:rPr>
              <w:rFonts w:hint="eastAsia" w:ascii="楷体" w:hAnsi="楷体" w:eastAsia="楷体" w:cs="楷体"/>
              <w:szCs w:val="32"/>
              <w:lang w:val="en-US" w:eastAsia="zh-CN"/>
            </w:rPr>
            <w:t>7评价结论</w:t>
          </w:r>
          <w:r>
            <w:tab/>
          </w:r>
          <w:r>
            <w:fldChar w:fldCharType="begin"/>
          </w:r>
          <w:r>
            <w:instrText xml:space="preserve"> PAGEREF _Toc22094 \h </w:instrText>
          </w:r>
          <w:r>
            <w:fldChar w:fldCharType="separate"/>
          </w:r>
          <w:r>
            <w:t>83</w:t>
          </w:r>
          <w:r>
            <w:fldChar w:fldCharType="end"/>
          </w:r>
          <w:r>
            <w:fldChar w:fldCharType="end"/>
          </w:r>
        </w:p>
        <w:p w14:paraId="6C6D11D1">
          <w:pPr>
            <w:pStyle w:val="16"/>
            <w:tabs>
              <w:tab w:val="right" w:leader="dot" w:pos="9072"/>
            </w:tabs>
          </w:pPr>
          <w:r>
            <w:fldChar w:fldCharType="begin"/>
          </w:r>
          <w:r>
            <w:instrText xml:space="preserve"> HYPERLINK \l _Toc3387 </w:instrText>
          </w:r>
          <w:r>
            <w:fldChar w:fldCharType="separate"/>
          </w:r>
          <w:r>
            <w:rPr>
              <w:rFonts w:hint="eastAsia" w:ascii="楷体" w:hAnsi="楷体" w:eastAsia="楷体" w:cs="楷体"/>
              <w:szCs w:val="32"/>
              <w:lang w:val="en-US" w:eastAsia="zh-CN"/>
            </w:rPr>
            <w:t>7.1符合性评价的综合结果</w:t>
          </w:r>
          <w:r>
            <w:tab/>
          </w:r>
          <w:r>
            <w:fldChar w:fldCharType="begin"/>
          </w:r>
          <w:r>
            <w:instrText xml:space="preserve"> PAGEREF _Toc3387 \h </w:instrText>
          </w:r>
          <w:r>
            <w:fldChar w:fldCharType="separate"/>
          </w:r>
          <w:r>
            <w:t>83</w:t>
          </w:r>
          <w:r>
            <w:fldChar w:fldCharType="end"/>
          </w:r>
          <w:r>
            <w:fldChar w:fldCharType="end"/>
          </w:r>
        </w:p>
        <w:p w14:paraId="45FFE577">
          <w:pPr>
            <w:pStyle w:val="16"/>
            <w:tabs>
              <w:tab w:val="right" w:leader="dot" w:pos="9072"/>
            </w:tabs>
          </w:pPr>
          <w:r>
            <w:fldChar w:fldCharType="begin"/>
          </w:r>
          <w:r>
            <w:instrText xml:space="preserve"> HYPERLINK \l _Toc16838 </w:instrText>
          </w:r>
          <w:r>
            <w:fldChar w:fldCharType="separate"/>
          </w:r>
          <w:r>
            <w:rPr>
              <w:rFonts w:hint="eastAsia" w:ascii="楷体" w:hAnsi="楷体" w:eastAsia="楷体" w:cs="楷体"/>
              <w:szCs w:val="32"/>
              <w:lang w:val="en-US" w:eastAsia="zh-CN"/>
            </w:rPr>
            <w:t>7.2评价结论</w:t>
          </w:r>
          <w:r>
            <w:tab/>
          </w:r>
          <w:r>
            <w:fldChar w:fldCharType="begin"/>
          </w:r>
          <w:r>
            <w:instrText xml:space="preserve"> PAGEREF _Toc16838 \h </w:instrText>
          </w:r>
          <w:r>
            <w:fldChar w:fldCharType="separate"/>
          </w:r>
          <w:r>
            <w:t>84</w:t>
          </w:r>
          <w:r>
            <w:fldChar w:fldCharType="end"/>
          </w:r>
          <w:r>
            <w:fldChar w:fldCharType="end"/>
          </w:r>
        </w:p>
        <w:p w14:paraId="0B1F6E4B">
          <w:pPr>
            <w:pStyle w:val="13"/>
            <w:tabs>
              <w:tab w:val="right" w:leader="dot" w:pos="9072"/>
            </w:tabs>
          </w:pPr>
          <w:r>
            <w:fldChar w:fldCharType="begin"/>
          </w:r>
          <w:r>
            <w:instrText xml:space="preserve"> HYPERLINK \l _Toc5861 </w:instrText>
          </w:r>
          <w:r>
            <w:fldChar w:fldCharType="separate"/>
          </w:r>
          <w:r>
            <w:rPr>
              <w:rFonts w:hint="eastAsia" w:ascii="楷体" w:hAnsi="楷体" w:eastAsia="楷体" w:cs="楷体"/>
              <w:szCs w:val="32"/>
              <w:lang w:val="en-US" w:eastAsia="zh-CN"/>
            </w:rPr>
            <w:t>8附件</w:t>
          </w:r>
          <w:r>
            <w:tab/>
          </w:r>
          <w:r>
            <w:fldChar w:fldCharType="begin"/>
          </w:r>
          <w:r>
            <w:instrText xml:space="preserve"> PAGEREF _Toc5861 \h </w:instrText>
          </w:r>
          <w:r>
            <w:fldChar w:fldCharType="separate"/>
          </w:r>
          <w:r>
            <w:t>85</w:t>
          </w:r>
          <w:r>
            <w:fldChar w:fldCharType="end"/>
          </w:r>
          <w:r>
            <w:fldChar w:fldCharType="end"/>
          </w:r>
        </w:p>
        <w:p w14:paraId="616A04DF">
          <w:pPr>
            <w:sectPr>
              <w:pgSz w:w="11906" w:h="16838"/>
              <w:pgMar w:top="1417" w:right="1417" w:bottom="1417" w:left="1417" w:header="851" w:footer="992" w:gutter="0"/>
              <w:pgNumType w:fmt="upperRoman"/>
              <w:cols w:space="0" w:num="1"/>
              <w:docGrid w:type="lines" w:linePitch="312" w:charSpace="0"/>
            </w:sectPr>
          </w:pPr>
        </w:p>
        <w:p w14:paraId="73A853CA">
          <w:r>
            <w:fldChar w:fldCharType="end"/>
          </w:r>
        </w:p>
      </w:sdtContent>
    </w:sdt>
    <w:p w14:paraId="3010BBF1">
      <w:pPr>
        <w:jc w:val="center"/>
        <w:rPr>
          <w:rFonts w:ascii="Times New Roman" w:hAnsi="Times New Roman" w:cs="Times New Roman"/>
          <w:b/>
          <w:bCs/>
          <w:sz w:val="32"/>
          <w:szCs w:val="32"/>
        </w:rPr>
      </w:pPr>
      <w:r>
        <w:rPr>
          <w:rFonts w:hint="eastAsia" w:ascii="Times New Roman" w:hAnsi="Times New Roman" w:cs="宋体"/>
          <w:b/>
          <w:bCs/>
          <w:sz w:val="32"/>
          <w:szCs w:val="32"/>
        </w:rPr>
        <w:t>中国石化销售有限公司</w:t>
      </w:r>
    </w:p>
    <w:p w14:paraId="4DEDD5E7">
      <w:pPr>
        <w:adjustRightInd w:val="0"/>
        <w:spacing w:line="600" w:lineRule="exact"/>
        <w:jc w:val="center"/>
        <w:rPr>
          <w:rFonts w:ascii="Times New Roman" w:hAnsi="Times New Roman" w:cs="Times New Roman"/>
          <w:b/>
          <w:bCs/>
          <w:sz w:val="32"/>
          <w:szCs w:val="32"/>
        </w:rPr>
      </w:pPr>
      <w:r>
        <w:rPr>
          <w:rFonts w:hint="eastAsia" w:ascii="Times New Roman" w:hAnsi="Times New Roman" w:cs="宋体"/>
          <w:b/>
          <w:bCs/>
          <w:sz w:val="32"/>
          <w:szCs w:val="32"/>
        </w:rPr>
        <w:t>江西余干石油分公司社庚加油站</w:t>
      </w:r>
    </w:p>
    <w:p w14:paraId="42CFD91E">
      <w:pPr>
        <w:adjustRightInd w:val="0"/>
        <w:spacing w:line="600" w:lineRule="exact"/>
        <w:jc w:val="center"/>
        <w:rPr>
          <w:rFonts w:ascii="Times New Roman" w:hAnsi="Times New Roman" w:cs="Times New Roman"/>
          <w:b/>
          <w:bCs/>
          <w:sz w:val="32"/>
          <w:szCs w:val="32"/>
        </w:rPr>
      </w:pPr>
      <w:r>
        <w:rPr>
          <w:rFonts w:hint="eastAsia" w:ascii="Times New Roman" w:hAnsi="Times New Roman" w:cs="宋体"/>
          <w:b/>
          <w:bCs/>
          <w:sz w:val="32"/>
          <w:szCs w:val="32"/>
        </w:rPr>
        <w:t>安全现状评价报告</w:t>
      </w:r>
    </w:p>
    <w:p w14:paraId="28A94442">
      <w:pPr>
        <w:pStyle w:val="4"/>
        <w:keepNext w:val="0"/>
        <w:keepLines w:val="0"/>
        <w:pageBreakBefore w:val="0"/>
        <w:widowControl/>
        <w:kinsoku/>
        <w:wordWrap/>
        <w:overflowPunct/>
        <w:topLinePunct w:val="0"/>
        <w:autoSpaceDE/>
        <w:autoSpaceDN/>
        <w:bidi w:val="0"/>
        <w:adjustRightInd w:val="0"/>
        <w:snapToGrid w:val="0"/>
        <w:textAlignment w:val="auto"/>
        <w:outlineLvl w:val="0"/>
        <w:rPr>
          <w:rFonts w:hint="eastAsia" w:ascii="楷体" w:hAnsi="楷体" w:eastAsia="楷体" w:cs="楷体"/>
          <w:sz w:val="32"/>
          <w:szCs w:val="32"/>
        </w:rPr>
      </w:pPr>
      <w:bookmarkStart w:id="33" w:name="_Toc26365"/>
      <w:bookmarkStart w:id="34" w:name="_Toc25756"/>
      <w:bookmarkStart w:id="35" w:name="_Toc15702"/>
      <w:r>
        <w:rPr>
          <w:rFonts w:hint="eastAsia" w:ascii="楷体" w:hAnsi="楷体" w:eastAsia="楷体" w:cs="楷体"/>
          <w:sz w:val="32"/>
          <w:szCs w:val="32"/>
        </w:rPr>
        <w:t>1评价概述</w:t>
      </w:r>
      <w:bookmarkEnd w:id="33"/>
      <w:bookmarkEnd w:id="34"/>
      <w:bookmarkEnd w:id="35"/>
      <w:bookmarkStart w:id="36" w:name="_Toc225"/>
      <w:bookmarkStart w:id="37" w:name="_Toc25193"/>
      <w:bookmarkStart w:id="38" w:name="_Toc350517371"/>
    </w:p>
    <w:p w14:paraId="31F8EEB1">
      <w:pPr>
        <w:pStyle w:val="5"/>
        <w:keepNext w:val="0"/>
        <w:keepLines w:val="0"/>
        <w:pageBreakBefore w:val="0"/>
        <w:widowControl/>
        <w:kinsoku/>
        <w:wordWrap/>
        <w:overflowPunct/>
        <w:topLinePunct w:val="0"/>
        <w:autoSpaceDE/>
        <w:autoSpaceDN/>
        <w:bidi w:val="0"/>
        <w:adjustRightInd w:val="0"/>
        <w:snapToGrid w:val="0"/>
        <w:spacing w:before="313" w:beforeLines="100" w:line="360" w:lineRule="auto"/>
        <w:textAlignment w:val="auto"/>
        <w:outlineLvl w:val="1"/>
        <w:rPr>
          <w:rFonts w:hint="eastAsia" w:ascii="楷体" w:hAnsi="楷体" w:eastAsia="楷体" w:cs="楷体"/>
          <w:b/>
          <w:bCs/>
          <w:sz w:val="32"/>
          <w:szCs w:val="32"/>
        </w:rPr>
      </w:pPr>
      <w:bookmarkStart w:id="39" w:name="_Toc19436"/>
      <w:r>
        <w:rPr>
          <w:rFonts w:hint="eastAsia" w:ascii="楷体" w:hAnsi="楷体" w:eastAsia="楷体" w:cs="楷体"/>
          <w:b/>
          <w:bCs/>
          <w:sz w:val="32"/>
          <w:szCs w:val="32"/>
        </w:rPr>
        <w:t>1.1评价的目的</w:t>
      </w:r>
      <w:bookmarkEnd w:id="36"/>
      <w:bookmarkEnd w:id="37"/>
      <w:bookmarkEnd w:id="38"/>
      <w:bookmarkEnd w:id="39"/>
    </w:p>
    <w:p w14:paraId="63CB72B8">
      <w:pPr>
        <w:keepNext w:val="0"/>
        <w:keepLines w:val="0"/>
        <w:pageBreakBefore w:val="0"/>
        <w:widowControl/>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1、根据《中华人民共和国安全生产法》、国务院《危险化学品安全管理条例》及《危险化学品经营许可证管理办法》国家安监总局55号令</w:t>
      </w:r>
      <w:r>
        <w:rPr>
          <w:rFonts w:hint="eastAsia" w:ascii="宋体" w:hAnsi="宋体" w:cs="宋体"/>
          <w:sz w:val="28"/>
          <w:szCs w:val="28"/>
          <w:lang w:eastAsia="zh-CN"/>
        </w:rPr>
        <w:t>（</w:t>
      </w:r>
      <w:r>
        <w:rPr>
          <w:rFonts w:hint="eastAsia" w:ascii="宋体" w:hAnsi="宋体" w:eastAsia="宋体" w:cs="宋体"/>
          <w:sz w:val="28"/>
          <w:szCs w:val="28"/>
        </w:rPr>
        <w:t>安监总局第79号令修正）的要求，为加强危险品安全管理，保障社会安全，规范危险化学品经营销售活动，配合国家对危险化学品经营单位经营资质的行政许可工作。</w:t>
      </w:r>
    </w:p>
    <w:p w14:paraId="7E5E64FB">
      <w:pPr>
        <w:pStyle w:val="10"/>
        <w:tabs>
          <w:tab w:val="left" w:pos="5940"/>
        </w:tabs>
        <w:snapToGrid w:val="0"/>
        <w:spacing w:after="0" w:line="600" w:lineRule="exact"/>
        <w:ind w:left="0" w:leftChars="0" w:firstLine="560" w:firstLineChars="200"/>
        <w:rPr>
          <w:rFonts w:hint="eastAsia" w:ascii="宋体" w:hAnsi="宋体" w:eastAsia="宋体" w:cs="宋体"/>
          <w:sz w:val="28"/>
          <w:szCs w:val="28"/>
        </w:rPr>
      </w:pPr>
      <w:r>
        <w:rPr>
          <w:rFonts w:hint="eastAsia" w:ascii="宋体" w:hAnsi="宋体" w:eastAsia="宋体" w:cs="宋体"/>
          <w:sz w:val="28"/>
          <w:szCs w:val="28"/>
        </w:rPr>
        <w:t>2、本评价以实现系统安全为目的，在对系统存在的危险因素进行全面、深入分析的基础上，重点考核、评价加油站为保障安全运营所采取的安全技术措施和管理措施的完备性、科学性、有效性，以判定该加油站是否具备国家规定的危险化学品经营单位各项条件。</w:t>
      </w:r>
      <w:bookmarkStart w:id="40" w:name="_Toc21806"/>
      <w:bookmarkStart w:id="41" w:name="_Toc21238"/>
    </w:p>
    <w:p w14:paraId="6E32F194">
      <w:pPr>
        <w:pStyle w:val="5"/>
        <w:bidi w:val="0"/>
        <w:rPr>
          <w:rFonts w:hint="eastAsia" w:ascii="楷体" w:hAnsi="楷体" w:eastAsia="楷体" w:cs="楷体"/>
          <w:sz w:val="32"/>
          <w:szCs w:val="32"/>
        </w:rPr>
      </w:pPr>
      <w:bookmarkStart w:id="42" w:name="_Toc19876"/>
      <w:r>
        <w:rPr>
          <w:rFonts w:hint="eastAsia" w:ascii="楷体" w:hAnsi="楷体" w:eastAsia="楷体" w:cs="楷体"/>
          <w:sz w:val="32"/>
          <w:szCs w:val="32"/>
        </w:rPr>
        <w:t>1.2评价的原则</w:t>
      </w:r>
      <w:bookmarkEnd w:id="40"/>
      <w:bookmarkEnd w:id="41"/>
      <w:bookmarkEnd w:id="42"/>
    </w:p>
    <w:p w14:paraId="61E70E7F">
      <w:pPr>
        <w:spacing w:line="600" w:lineRule="exact"/>
        <w:ind w:firstLine="560" w:firstLineChars="200"/>
        <w:rPr>
          <w:rFonts w:hint="eastAsia" w:ascii="Times New Roman" w:hAnsi="Times New Roman" w:cs="宋体"/>
          <w:sz w:val="28"/>
          <w:szCs w:val="28"/>
        </w:rPr>
      </w:pPr>
      <w:r>
        <w:rPr>
          <w:rFonts w:hint="eastAsia" w:ascii="Times New Roman" w:hAnsi="Times New Roman" w:cs="宋体"/>
          <w:sz w:val="28"/>
          <w:szCs w:val="28"/>
        </w:rPr>
        <w:t>坚持权威性、科学性、公正性、严肃性和针对性的原则，以国家有关法律、法规、规范标准为依据，采用科学的态度，对安全评价的每一项工作都力求做到客观公正，针对现状危险、有害因素及其产生条件进行分析评价，从实际经济技术条件出发，提出有效的整改意见和措施。</w:t>
      </w:r>
      <w:bookmarkStart w:id="43" w:name="_Toc350517372"/>
      <w:bookmarkStart w:id="44" w:name="_Toc13126"/>
      <w:bookmarkStart w:id="45" w:name="_Toc25201"/>
    </w:p>
    <w:p w14:paraId="65829B46">
      <w:pPr>
        <w:pStyle w:val="5"/>
        <w:bidi w:val="0"/>
        <w:rPr>
          <w:rFonts w:hint="eastAsia" w:ascii="楷体" w:hAnsi="楷体" w:eastAsia="楷体" w:cs="楷体"/>
          <w:sz w:val="32"/>
          <w:szCs w:val="32"/>
        </w:rPr>
      </w:pPr>
      <w:bookmarkStart w:id="46" w:name="_Toc3381"/>
      <w:r>
        <w:rPr>
          <w:rFonts w:hint="eastAsia" w:ascii="楷体" w:hAnsi="楷体" w:eastAsia="楷体" w:cs="楷体"/>
          <w:sz w:val="32"/>
          <w:szCs w:val="32"/>
        </w:rPr>
        <w:t>1.3评价依据</w:t>
      </w:r>
      <w:bookmarkEnd w:id="43"/>
      <w:bookmarkEnd w:id="44"/>
      <w:bookmarkEnd w:id="45"/>
      <w:bookmarkEnd w:id="46"/>
      <w:bookmarkStart w:id="47" w:name="_Toc20302"/>
    </w:p>
    <w:p w14:paraId="30DB95FC">
      <w:pPr>
        <w:pStyle w:val="6"/>
        <w:bidi w:val="0"/>
        <w:rPr>
          <w:rFonts w:hint="eastAsia" w:ascii="楷体" w:hAnsi="楷体" w:eastAsia="楷体" w:cs="楷体"/>
          <w:sz w:val="32"/>
          <w:szCs w:val="32"/>
        </w:rPr>
      </w:pPr>
      <w:bookmarkStart w:id="48" w:name="_Toc32067"/>
      <w:r>
        <w:rPr>
          <w:rFonts w:hint="eastAsia" w:ascii="楷体" w:hAnsi="楷体" w:eastAsia="楷体" w:cs="楷体"/>
          <w:sz w:val="32"/>
          <w:szCs w:val="32"/>
        </w:rPr>
        <w:t>1.3.1法律、法规、规定、规范性文件</w:t>
      </w:r>
      <w:bookmarkEnd w:id="47"/>
      <w:bookmarkEnd w:id="48"/>
    </w:p>
    <w:p w14:paraId="63AF9407">
      <w:pPr>
        <w:widowControl/>
        <w:spacing w:line="600" w:lineRule="exact"/>
        <w:ind w:firstLine="560" w:firstLineChars="200"/>
        <w:rPr>
          <w:rFonts w:hint="eastAsia" w:ascii="宋体" w:hAnsi="宋体" w:eastAsia="宋体" w:cs="宋体"/>
          <w:sz w:val="28"/>
          <w:szCs w:val="28"/>
        </w:rPr>
      </w:pPr>
      <w:bookmarkStart w:id="49" w:name="_Toc15031"/>
      <w:r>
        <w:rPr>
          <w:rFonts w:hint="eastAsia" w:ascii="宋体" w:hAnsi="宋体" w:eastAsia="宋体" w:cs="宋体"/>
          <w:sz w:val="28"/>
          <w:szCs w:val="28"/>
        </w:rPr>
        <w:t>《中华人民共和国安全生产法》（国家主席令【2021】第八十八号，自2021年9月1日起实施）</w:t>
      </w:r>
    </w:p>
    <w:p w14:paraId="597EF85C">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《中华人民共和国消防法》（国家主席令</w:t>
      </w:r>
      <w:r>
        <w:rPr>
          <w:rFonts w:hint="eastAsia" w:ascii="宋体" w:hAnsi="宋体" w:eastAsia="宋体" w:cs="宋体"/>
          <w:b w:val="0"/>
          <w:bCs w:val="0"/>
          <w:sz w:val="28"/>
          <w:szCs w:val="28"/>
        </w:rPr>
        <w:t>【2008】</w:t>
      </w:r>
      <w:r>
        <w:rPr>
          <w:rFonts w:hint="eastAsia" w:ascii="宋体" w:hAnsi="宋体" w:eastAsia="宋体" w:cs="宋体"/>
          <w:sz w:val="28"/>
          <w:szCs w:val="28"/>
        </w:rPr>
        <w:t>第6号）（国家主席令【2021】第八十一号修订，自2021年4月29日起实施）</w:t>
      </w:r>
    </w:p>
    <w:p w14:paraId="3ED8A876">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《中华人民共和国劳动法》（国家主席令【1994】第28号）（2018年12月29日修正）</w:t>
      </w:r>
    </w:p>
    <w:p w14:paraId="71A609DD">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《中华人民共和国职业病防治法》（主席令第81号，2018年12月29日第十三届全国人民代表大会常务委员会第七次会议《关于修改等七部法律的决定》第四次修正，2018年12月29日起施行）</w:t>
      </w:r>
    </w:p>
    <w:p w14:paraId="591627D0">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《中华人民共和国突发事件应对法》（主席令第69号,2007年8月30日第十届全国人民代表大会常务委员会第二十九次会议通过）</w:t>
      </w:r>
    </w:p>
    <w:p w14:paraId="22D2E9B0">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《危险化学品安全管理条例》国务院令【2011】第591号（2013年第645号修订）</w:t>
      </w:r>
    </w:p>
    <w:p w14:paraId="339A1ECD">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《工伤保险条例》（国务院令第586号，2011年1月1日起施行）</w:t>
      </w:r>
    </w:p>
    <w:p w14:paraId="3C2BE54A">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《易制毒化学品管理条例》国务院令【2005】第445号（2016年国务院第666号令、2018年国务院第703号修改）</w:t>
      </w:r>
    </w:p>
    <w:p w14:paraId="6B31385E">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《中华人民共和国监控化学品管理条例》（国务院令第190号，自1995年12月27日起施行，国务院令第588号修正）</w:t>
      </w:r>
    </w:p>
    <w:p w14:paraId="336AD3F7">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《中华人民共和国监控化学品管理条例》实施细则（2018年7月2日，中华人民共和国工业和信息化部令第48号）</w:t>
      </w:r>
    </w:p>
    <w:p w14:paraId="71E73B02">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《国务院关于修改部分行政法规的决定》（国务院令第645号，2013年）</w:t>
      </w:r>
    </w:p>
    <w:p w14:paraId="54A554A3">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《生产安全事故应急条例》国务院令【2019】第708号（2018年12月5日国务院第33次常务会议通过，2019年4日1日起施行）</w:t>
      </w:r>
    </w:p>
    <w:p w14:paraId="7C890804">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《安全生产事故隐患排查治理暂行规定》（国家安监总局令第16号，自2008年2月1日起施行）</w:t>
      </w:r>
    </w:p>
    <w:p w14:paraId="3C118BD9">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《安全生产事故应急预案管理办法》（2016年6月3日国家安全生产监督管理总局令第88号公布，根据2019年7月11日应急管理部令第2号《应急管理部关于修改&lt;生产安全事故应急预案管理办法&gt;的决定》修正）</w:t>
      </w:r>
    </w:p>
    <w:p w14:paraId="3DF41F93">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《建设项目安全设施“三同时”监督管理办法》（国家安监总局令36号，第77号修改）</w:t>
      </w:r>
    </w:p>
    <w:p w14:paraId="4689A5B2">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《危险化学品建设项目安全监督管理办法》（国家安监总局令第45号，第79号修改）</w:t>
      </w:r>
    </w:p>
    <w:p w14:paraId="145D9B0C">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《危险化学品重大危险源监督管理暂行规定》（国家安监总局令第40号，第79号修改）</w:t>
      </w:r>
    </w:p>
    <w:p w14:paraId="5430151F">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《危险化学品目录（2022版）》（应急管理部等十部门公告2022年第8号）</w:t>
      </w:r>
    </w:p>
    <w:p w14:paraId="0885FE5D">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《关于印发危险化学品目录（2015版）实施指南（试行）的通知》（安监总厅管三〔2015〕80号）</w:t>
      </w:r>
    </w:p>
    <w:p w14:paraId="2F9AB9F6">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《生产经营单位安全培训规定》（国家安全生产监督管理总局令第80</w:t>
      </w:r>
    </w:p>
    <w:p w14:paraId="57B7C187">
      <w:pPr>
        <w:widowControl/>
        <w:spacing w:line="600" w:lineRule="exact"/>
        <w:rPr>
          <w:rFonts w:hint="eastAsia" w:ascii="宋体" w:hAnsi="宋体" w:eastAsia="宋体" w:cs="宋体"/>
          <w:sz w:val="28"/>
          <w:szCs w:val="28"/>
        </w:rPr>
      </w:pPr>
      <w:r>
        <w:rPr>
          <w:rFonts w:hint="eastAsia" w:ascii="宋体" w:hAnsi="宋体" w:eastAsia="宋体" w:cs="宋体"/>
          <w:sz w:val="28"/>
          <w:szCs w:val="28"/>
        </w:rPr>
        <w:t>号，2015年7月修订）</w:t>
      </w:r>
    </w:p>
    <w:p w14:paraId="676EEA92">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《危险化学品经营许可证管理办法》国家安监总局55号令（安监总</w:t>
      </w:r>
    </w:p>
    <w:p w14:paraId="451B013E">
      <w:pPr>
        <w:widowControl/>
        <w:spacing w:line="600" w:lineRule="exact"/>
        <w:rPr>
          <w:rFonts w:hint="eastAsia" w:ascii="宋体" w:hAnsi="宋体" w:eastAsia="宋体" w:cs="宋体"/>
          <w:sz w:val="28"/>
          <w:szCs w:val="28"/>
        </w:rPr>
      </w:pPr>
      <w:r>
        <w:rPr>
          <w:rFonts w:hint="eastAsia" w:ascii="宋体" w:hAnsi="宋体" w:eastAsia="宋体" w:cs="宋体"/>
          <w:sz w:val="28"/>
          <w:szCs w:val="28"/>
        </w:rPr>
        <w:t>局第79号令修正）</w:t>
      </w:r>
    </w:p>
    <w:p w14:paraId="2E01D11F">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《企业安全生产费用提取和使用管理办法》（财资[2022]136号）</w:t>
      </w:r>
    </w:p>
    <w:p w14:paraId="24F32722">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《国家安全监督总局关于废止和修改劳动防护用品和安全培训等领域十部规章的决定》（国家安全生产监督管理总局令第80号，2015年7月修订）</w:t>
      </w:r>
    </w:p>
    <w:p w14:paraId="538E979C">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《国家安全监管总局办公厅关于进一步加强加油站安全生产工作的通</w:t>
      </w:r>
    </w:p>
    <w:p w14:paraId="719602B1">
      <w:pPr>
        <w:widowControl/>
        <w:spacing w:line="600" w:lineRule="exact"/>
        <w:rPr>
          <w:rFonts w:hint="eastAsia" w:ascii="宋体" w:hAnsi="宋体" w:eastAsia="宋体" w:cs="宋体"/>
          <w:sz w:val="28"/>
          <w:szCs w:val="28"/>
        </w:rPr>
      </w:pPr>
      <w:r>
        <w:rPr>
          <w:rFonts w:hint="eastAsia" w:ascii="宋体" w:hAnsi="宋体" w:eastAsia="宋体" w:cs="宋体"/>
          <w:sz w:val="28"/>
          <w:szCs w:val="28"/>
        </w:rPr>
        <w:t>知》（安监总厅管三〔2016〕8号）</w:t>
      </w:r>
    </w:p>
    <w:p w14:paraId="28424517">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《关于印发&lt;安全生产责任保险实施办法&gt;的通知》（国家安全监管总</w:t>
      </w:r>
    </w:p>
    <w:p w14:paraId="37E20677">
      <w:pPr>
        <w:widowControl/>
        <w:spacing w:line="600" w:lineRule="exact"/>
        <w:rPr>
          <w:rFonts w:hint="eastAsia" w:ascii="宋体" w:hAnsi="宋体" w:eastAsia="宋体" w:cs="宋体"/>
          <w:sz w:val="28"/>
          <w:szCs w:val="28"/>
        </w:rPr>
      </w:pPr>
      <w:r>
        <w:rPr>
          <w:rFonts w:hint="eastAsia" w:ascii="宋体" w:hAnsi="宋体" w:eastAsia="宋体" w:cs="宋体"/>
          <w:sz w:val="28"/>
          <w:szCs w:val="28"/>
        </w:rPr>
        <w:t>局保监会财政部 安监总办〔2017〕140号）</w:t>
      </w:r>
    </w:p>
    <w:p w14:paraId="48614E2E">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《特别管控危险化学品目录》（第一版）（应急管理部、工业和信息化部、公安部、交通运输部公告，2020年第1号）</w:t>
      </w:r>
    </w:p>
    <w:p w14:paraId="7CB3BFDE">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《部分第四类监控化学品名录（2019版）》（国家禁化武办）</w:t>
      </w:r>
    </w:p>
    <w:p w14:paraId="3284C78C">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《工作场所职业卫生管理规定》（中华人民共和国国家卫生健康委员会〔2020〕第5号令）</w:t>
      </w:r>
    </w:p>
    <w:p w14:paraId="7F103296">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《关于全面加强危险化学品安全生产工作的意见》（中共中央办公厅、</w:t>
      </w:r>
    </w:p>
    <w:p w14:paraId="3BC168A7">
      <w:pPr>
        <w:widowControl/>
        <w:spacing w:line="600" w:lineRule="exact"/>
        <w:rPr>
          <w:rFonts w:hint="eastAsia" w:ascii="宋体" w:hAnsi="宋体" w:eastAsia="宋体" w:cs="宋体"/>
          <w:sz w:val="28"/>
          <w:szCs w:val="28"/>
        </w:rPr>
      </w:pPr>
      <w:r>
        <w:rPr>
          <w:rFonts w:hint="eastAsia" w:ascii="宋体" w:hAnsi="宋体" w:eastAsia="宋体" w:cs="宋体"/>
          <w:sz w:val="28"/>
          <w:szCs w:val="28"/>
        </w:rPr>
        <w:t>国务院办公厅厅字[2020]第3号）</w:t>
      </w:r>
    </w:p>
    <w:p w14:paraId="5CA73E8A">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《生产安全事故罚款处罚规定》（中华人民共和国应急管理部令第14号）</w:t>
      </w:r>
    </w:p>
    <w:p w14:paraId="7AEB3CFC">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《危险化学品经营单位安全评价导则(试行)》（安监管管二字［2003］38号）</w:t>
      </w:r>
    </w:p>
    <w:p w14:paraId="39167856">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《危险化学品目录（2015版）实施指南（试行）》（涉及柴油部分内容的通知）（应急部办公厅函〔2022〕300号）</w:t>
      </w:r>
    </w:p>
    <w:p w14:paraId="30EAC1D3">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《高毒物品目录》（卫法监发[2003]142号）</w:t>
      </w:r>
    </w:p>
    <w:p w14:paraId="7F050338">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《易制爆危险化学品名录》（公安部2017年5月11日（2017年版）</w:t>
      </w:r>
    </w:p>
    <w:p w14:paraId="7D2AE8B9">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《重点监管的危险化学品名录（2013年完整版）》（国家安监总局）</w:t>
      </w:r>
    </w:p>
    <w:p w14:paraId="6F1F82C8">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《重点监管的危险化学品安全措施和应急处置原则（2013年版）》（国家安监总局）</w:t>
      </w:r>
    </w:p>
    <w:p w14:paraId="29FAD708">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《重点监管的危险化工工艺目录（2013年完整版）》（国家安监总局）</w:t>
      </w:r>
    </w:p>
    <w:p w14:paraId="2BBE3014">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《化工和危险化学品生产经营单位重大生产安全事故隐患判定标准（试行）》的通知（安监总管三[2017]121号）</w:t>
      </w:r>
    </w:p>
    <w:p w14:paraId="5B17D540">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《江西省安全生产条例》（2023年9月1日起施行）（2007年3月29日江西省第十届人民代表大会常务委员会第二十八次会议通过，2023年7月26日江西省第十四届人民代表大会常务委员会第三次会议第二次修订）</w:t>
      </w:r>
    </w:p>
    <w:p w14:paraId="78995C8F">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《江西省突发事件应对条例》（2013年7月27日江西省第十二届人民代表大会常务委员会第五次会议通过）</w:t>
      </w:r>
    </w:p>
    <w:p w14:paraId="5AB720AE">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《江西省消防条例》（2020年11月25日江西省第十三届人民代表大会常务委员会第二十五次会议第六次修正）</w:t>
      </w:r>
    </w:p>
    <w:p w14:paraId="37783C52">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《江西省生产安全事故隐患排查治理办法》（江西省人民政府第238号）</w:t>
      </w:r>
    </w:p>
    <w:p w14:paraId="5965F8D3">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《江西省商务厅关于取消和下放石油成品油经营资格审批权限有关事项的通知》（赣商务运行函〔2020〕27号）</w:t>
      </w:r>
    </w:p>
    <w:p w14:paraId="30FF6482">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《江西省应急管理厅办公室关于印发&lt;加油站安全检查表&gt;的通知》（赣应急办字〔2023〕111号）</w:t>
      </w:r>
    </w:p>
    <w:p w14:paraId="61E61FCD">
      <w:pPr>
        <w:widowControl/>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《江西省人民政府关于印发江西省水污染防治工作方案的通知》（赣府发〔2015〕62号）</w:t>
      </w:r>
    </w:p>
    <w:p w14:paraId="7ECC8950">
      <w:pPr>
        <w:rPr>
          <w:rFonts w:hint="eastAsia"/>
        </w:rPr>
      </w:pPr>
      <w:r>
        <w:rPr>
          <w:rFonts w:hint="eastAsia" w:ascii="宋体" w:hAnsi="宋体" w:eastAsia="宋体" w:cs="宋体"/>
          <w:sz w:val="28"/>
          <w:szCs w:val="28"/>
        </w:rPr>
        <w:br w:type="page"/>
      </w:r>
    </w:p>
    <w:p w14:paraId="37284B92">
      <w:pPr>
        <w:pStyle w:val="6"/>
        <w:bidi w:val="0"/>
        <w:rPr>
          <w:rFonts w:hint="eastAsia" w:ascii="楷体" w:hAnsi="楷体" w:eastAsia="楷体" w:cs="楷体"/>
          <w:sz w:val="32"/>
          <w:szCs w:val="32"/>
        </w:rPr>
      </w:pPr>
      <w:bookmarkStart w:id="50" w:name="_Toc27143"/>
      <w:r>
        <w:rPr>
          <w:rFonts w:hint="eastAsia" w:ascii="楷体" w:hAnsi="楷体" w:eastAsia="楷体" w:cs="楷体"/>
          <w:sz w:val="32"/>
          <w:szCs w:val="32"/>
        </w:rPr>
        <w:t>1.3.2评价标准、规范</w:t>
      </w:r>
      <w:bookmarkEnd w:id="49"/>
      <w:bookmarkEnd w:id="50"/>
    </w:p>
    <w:p w14:paraId="75A52473">
      <w:pPr>
        <w:spacing w:line="600" w:lineRule="exact"/>
        <w:ind w:firstLine="560" w:firstLineChars="200"/>
        <w:rPr>
          <w:rFonts w:hint="eastAsia" w:ascii="宋体" w:hAnsi="宋体" w:eastAsia="宋体" w:cs="宋体"/>
          <w:sz w:val="28"/>
          <w:szCs w:val="28"/>
          <w:lang w:val="en-US" w:eastAsia="zh-CN"/>
        </w:rPr>
      </w:pPr>
      <w:bookmarkStart w:id="51" w:name="_Toc5808"/>
      <w:r>
        <w:rPr>
          <w:rFonts w:hint="eastAsia" w:ascii="宋体" w:hAnsi="宋体" w:eastAsia="宋体" w:cs="宋体"/>
          <w:sz w:val="28"/>
          <w:szCs w:val="28"/>
          <w:lang w:val="en-US" w:eastAsia="zh-CN"/>
        </w:rPr>
        <w:t>《建筑设计防火规范》                  GB50016-2014（2018年版）</w:t>
      </w:r>
    </w:p>
    <w:p w14:paraId="4FACD221">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《汽车加油加气加氢站技术标准》                   GB50156-2021</w:t>
      </w:r>
    </w:p>
    <w:p w14:paraId="38E40B4A">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《爆炸危险环境电力装置设计规范》                 GB50058-2014</w:t>
      </w:r>
    </w:p>
    <w:p w14:paraId="37B93A6E">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《供配电系统设计规范》                           GB50052-2009</w:t>
      </w:r>
    </w:p>
    <w:p w14:paraId="694DA835">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《危险化学品重大危险源辨识》                     GB18218-2018</w:t>
      </w:r>
    </w:p>
    <w:p w14:paraId="737286CB">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《建筑物防雷设计规范》                           GB50057-2010</w:t>
      </w:r>
    </w:p>
    <w:p w14:paraId="214ABC69">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《建筑灭火器配置设计规范》                       GB50140-2005</w:t>
      </w:r>
    </w:p>
    <w:p w14:paraId="2CCCB746">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《油气回收处理设施技术标准》                     GB50759-2022</w:t>
      </w:r>
    </w:p>
    <w:p w14:paraId="4F323C88">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《危险化学品企业特殊作业安全规范》               GB30871-2022</w:t>
      </w:r>
    </w:p>
    <w:p w14:paraId="096656B0">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《车用汽油》                                    GB17930-2016</w:t>
      </w:r>
    </w:p>
    <w:p w14:paraId="2E754376">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《安全标志及其使用导则》                          GB2894-2008</w:t>
      </w:r>
    </w:p>
    <w:p w14:paraId="0D44F90F">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《工业管道的基本识别色、识别符号和安全标识》     GB7231-2003</w:t>
      </w:r>
    </w:p>
    <w:p w14:paraId="293022D5">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《加油站大气污染物排放标准》                    GB20952-2020</w:t>
      </w:r>
    </w:p>
    <w:p w14:paraId="4271C10A">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《低压配电设计规范》                             GB50054-2011</w:t>
      </w:r>
    </w:p>
    <w:p w14:paraId="15B0BEFC">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《防止静电事故通用导则》                         GB12158-2006</w:t>
      </w:r>
    </w:p>
    <w:p w14:paraId="28ECC235">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《企业职工伤亡事故分类》                          GB6441-1986</w:t>
      </w:r>
    </w:p>
    <w:p w14:paraId="3B0C35B0">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《危险化学品仓库储存通则》                       GB15603-2022</w:t>
      </w:r>
    </w:p>
    <w:p w14:paraId="5DE0A9DD">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《20kV以下变电所设计规范》                      GB50053-2013</w:t>
      </w:r>
    </w:p>
    <w:p w14:paraId="5AF43C8B">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《危险化学品经营企业开业条件和技术要求》         GB18265-2019</w:t>
      </w:r>
    </w:p>
    <w:p w14:paraId="106B385E">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《安全色》                                        GB2893-2008</w:t>
      </w:r>
    </w:p>
    <w:p w14:paraId="400A6375">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《双层罐渗漏检测系统 第1部分：通则》          GB/T30040.1-2013</w:t>
      </w:r>
    </w:p>
    <w:p w14:paraId="3C03662A">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《消防安全标志第1部分：标志》                 GB13495.1-2015</w:t>
      </w:r>
    </w:p>
    <w:p w14:paraId="59EEFB92">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《油气回收装置通用技术条件》                   GB/T35579-2017</w:t>
      </w:r>
    </w:p>
    <w:p w14:paraId="7FC0C456">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《工业企业总平面设计规范》                       GB50187-2012</w:t>
      </w:r>
    </w:p>
    <w:p w14:paraId="4309CE8F">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《个体防护装备配备规范 第1部分：总则》        GB39800.1-2020</w:t>
      </w:r>
    </w:p>
    <w:p w14:paraId="2BD3E99A">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《危险化学品单位应急救援物资配备要求》           GB30077-2023</w:t>
      </w:r>
    </w:p>
    <w:p w14:paraId="031C5788">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《车用柴油》（国家标准第1号修改单）      GB19147-2016/XG1-2018</w:t>
      </w:r>
    </w:p>
    <w:p w14:paraId="5F7A9AD2">
      <w:pPr>
        <w:spacing w:line="600" w:lineRule="exact"/>
        <w:ind w:left="7279" w:leftChars="266" w:hanging="6720" w:hangingChars="24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《电气装置安装工程 爆炸和火灾危险环境电气装置施工及验收规范GB50257-2014</w:t>
      </w:r>
    </w:p>
    <w:p w14:paraId="1524E620">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《油气回收系统防爆技术要求》                   GB/T34661-2017</w:t>
      </w:r>
    </w:p>
    <w:p w14:paraId="533BA1F5">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《生产经营单位生产安全事故应急预案编制导则》   GB/T29639-2020</w:t>
      </w:r>
    </w:p>
    <w:p w14:paraId="7DEBB37C">
      <w:pPr>
        <w:spacing w:line="600" w:lineRule="exact"/>
        <w:ind w:left="6719" w:leftChars="266" w:hanging="6160" w:hangingChars="2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《燃油加油站防爆安全技术 第1部分：燃油加油机防爆安全技术要求》GB/T22380.1-2017</w:t>
      </w:r>
    </w:p>
    <w:p w14:paraId="3C761C42">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《燃油加油站防爆安全技术 第2部分：加油机用安全拉断阀结构和性能的安全要求》                                   GB/T22380.2-2019</w:t>
      </w:r>
    </w:p>
    <w:p w14:paraId="523AB13E">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《燃油加油站防爆安全技术 第3部分：剪切阀结构和性能的安全要求》</w:t>
      </w:r>
    </w:p>
    <w:p w14:paraId="2FDAD4CD">
      <w:pPr>
        <w:spacing w:line="600" w:lineRule="exact"/>
        <w:ind w:firstLine="6720" w:firstLineChars="24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GB/T22380.3-2019</w:t>
      </w:r>
    </w:p>
    <w:p w14:paraId="53DC300E">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《工作场所有害因素职业接触限值第1部分：化学有害因素》</w:t>
      </w:r>
    </w:p>
    <w:p w14:paraId="62BD7128">
      <w:pPr>
        <w:spacing w:line="600" w:lineRule="exact"/>
        <w:ind w:firstLine="7280" w:firstLineChars="26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GBZ2.1-2019</w:t>
      </w:r>
    </w:p>
    <w:p w14:paraId="629CDE0D">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《汽车加油加气站消防安全管理》                  XF/T3004-2020</w:t>
      </w:r>
    </w:p>
    <w:p w14:paraId="7ABE3883">
      <w:pPr>
        <w:spacing w:line="600" w:lineRule="exact"/>
        <w:ind w:left="7839" w:leftChars="266" w:hanging="7280" w:hangingChars="26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《工业企业设计卫生标准》                            GBZ1-2010</w:t>
      </w:r>
    </w:p>
    <w:p w14:paraId="61D0CC13">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《成品油零售企业管理技术规范》                 SB/T10390-2004</w:t>
      </w:r>
    </w:p>
    <w:p w14:paraId="5333B042">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《加油站用埋地钢-玻璃纤维增强塑料双层油罐工程技术规范》</w:t>
      </w:r>
    </w:p>
    <w:p w14:paraId="159D8E94">
      <w:pPr>
        <w:spacing w:line="600" w:lineRule="exact"/>
        <w:ind w:firstLine="7000" w:firstLineChars="25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SH/T3178-2015</w:t>
      </w:r>
    </w:p>
    <w:p w14:paraId="2C2DBAFA">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《加油站作业安全规范》                            AQ3010-2022</w:t>
      </w:r>
    </w:p>
    <w:p w14:paraId="28F232EB">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《加油加气站视频安防监控系统技术要求》          AQ/T3050-2013</w:t>
      </w:r>
    </w:p>
    <w:p w14:paraId="1AFBCB4F">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《生产安全事故应急演练基本规范》               AQ/T9007－2019</w:t>
      </w:r>
    </w:p>
    <w:p w14:paraId="5B4E2A48">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《危险场所电气防爆安全规程》                      AQ3009-2007</w:t>
      </w:r>
    </w:p>
    <w:p w14:paraId="6E7657FE">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《加油站视频安防监控系统技术要求》             AQ/T3050-2013</w:t>
      </w:r>
    </w:p>
    <w:p w14:paraId="53AE17B0">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《安全评价通则》                                  AQ8001-2007</w:t>
      </w:r>
    </w:p>
    <w:p w14:paraId="584DDDA1">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《汽车加油站防雷装置检测技术规范》            </w:t>
      </w:r>
      <w:r>
        <w:rPr>
          <w:rFonts w:hint="eastAsia" w:ascii="宋体" w:hAnsi="宋体" w:cs="宋体"/>
          <w:sz w:val="28"/>
          <w:szCs w:val="28"/>
          <w:lang w:val="en-US" w:eastAsia="zh-CN"/>
        </w:rPr>
        <w:t xml:space="preserve"> </w:t>
      </w:r>
      <w:r>
        <w:rPr>
          <w:rFonts w:hint="eastAsia" w:ascii="宋体" w:hAnsi="宋体" w:eastAsia="宋体" w:cs="宋体"/>
          <w:sz w:val="28"/>
          <w:szCs w:val="28"/>
          <w:lang w:val="en-US" w:eastAsia="zh-CN"/>
        </w:rPr>
        <w:t>DB36/T720-2013</w:t>
      </w:r>
    </w:p>
    <w:bookmarkEnd w:id="51"/>
    <w:p w14:paraId="02B7264C">
      <w:pPr>
        <w:pStyle w:val="5"/>
        <w:bidi w:val="0"/>
        <w:rPr>
          <w:rFonts w:hint="eastAsia" w:ascii="楷体" w:hAnsi="楷体" w:eastAsia="楷体" w:cs="楷体"/>
          <w:sz w:val="32"/>
          <w:szCs w:val="32"/>
        </w:rPr>
      </w:pPr>
      <w:bookmarkStart w:id="52" w:name="_Toc19358"/>
      <w:bookmarkStart w:id="53" w:name="_Toc20833"/>
      <w:bookmarkStart w:id="54" w:name="_Toc1334"/>
      <w:bookmarkStart w:id="55" w:name="_Toc350517373"/>
      <w:r>
        <w:rPr>
          <w:rFonts w:hint="eastAsia" w:ascii="楷体" w:hAnsi="楷体" w:eastAsia="楷体" w:cs="楷体"/>
          <w:sz w:val="32"/>
          <w:szCs w:val="32"/>
        </w:rPr>
        <w:t>1.</w:t>
      </w:r>
      <w:r>
        <w:rPr>
          <w:rFonts w:hint="eastAsia" w:ascii="楷体" w:hAnsi="楷体" w:eastAsia="楷体" w:cs="楷体"/>
          <w:sz w:val="32"/>
          <w:szCs w:val="32"/>
          <w:lang w:val="en-US" w:eastAsia="zh-CN"/>
        </w:rPr>
        <w:t>4</w:t>
      </w:r>
      <w:r>
        <w:rPr>
          <w:rFonts w:hint="eastAsia" w:ascii="楷体" w:hAnsi="楷体" w:eastAsia="楷体" w:cs="楷体"/>
          <w:sz w:val="32"/>
          <w:szCs w:val="32"/>
        </w:rPr>
        <w:t>评价范围</w:t>
      </w:r>
      <w:bookmarkEnd w:id="52"/>
      <w:bookmarkEnd w:id="53"/>
      <w:bookmarkEnd w:id="54"/>
      <w:bookmarkEnd w:id="55"/>
    </w:p>
    <w:p w14:paraId="5E52D0B3">
      <w:pPr>
        <w:spacing w:line="600" w:lineRule="exact"/>
        <w:ind w:firstLine="560" w:firstLineChars="200"/>
        <w:rPr>
          <w:rFonts w:ascii="Times New Roman" w:hAnsi="Times New Roman" w:cs="Times New Roman"/>
          <w:sz w:val="28"/>
          <w:szCs w:val="28"/>
        </w:rPr>
      </w:pPr>
      <w:r>
        <w:rPr>
          <w:rFonts w:hint="eastAsia" w:ascii="Times New Roman" w:hAnsi="Times New Roman" w:cs="宋体"/>
          <w:sz w:val="28"/>
          <w:szCs w:val="28"/>
        </w:rPr>
        <w:t>本评价范围为中国石化销售有限公司江西余干石油分公司社庚加油站成品油储存及卸、加油作业所涉及的经营危险化学品安全及安全管理方面。主要包括周边环境</w:t>
      </w:r>
      <w:r>
        <w:rPr>
          <w:rFonts w:hint="eastAsia" w:ascii="Times New Roman" w:hAnsi="Times New Roman" w:cs="宋体"/>
          <w:sz w:val="28"/>
          <w:szCs w:val="28"/>
          <w:lang w:eastAsia="zh-CN"/>
        </w:rPr>
        <w:t>、</w:t>
      </w:r>
      <w:r>
        <w:rPr>
          <w:rFonts w:hint="eastAsia" w:ascii="Times New Roman" w:hAnsi="Times New Roman" w:cs="宋体"/>
          <w:sz w:val="28"/>
          <w:szCs w:val="28"/>
        </w:rPr>
        <w:t>平面布置</w:t>
      </w:r>
      <w:r>
        <w:rPr>
          <w:rFonts w:hint="eastAsia" w:ascii="Times New Roman" w:hAnsi="Times New Roman" w:cs="宋体"/>
          <w:sz w:val="28"/>
          <w:szCs w:val="28"/>
          <w:lang w:eastAsia="zh-CN"/>
        </w:rPr>
        <w:t>、</w:t>
      </w:r>
      <w:r>
        <w:rPr>
          <w:rFonts w:hint="eastAsia" w:ascii="Times New Roman" w:hAnsi="Times New Roman" w:cs="宋体"/>
          <w:sz w:val="28"/>
          <w:szCs w:val="28"/>
        </w:rPr>
        <w:t>站内建（构）筑物</w:t>
      </w:r>
      <w:r>
        <w:rPr>
          <w:rFonts w:hint="eastAsia" w:ascii="Times New Roman" w:hAnsi="Times New Roman" w:cs="宋体"/>
          <w:sz w:val="28"/>
          <w:szCs w:val="28"/>
          <w:lang w:eastAsia="zh-CN"/>
        </w:rPr>
        <w:t>、</w:t>
      </w:r>
      <w:r>
        <w:rPr>
          <w:rFonts w:hint="eastAsia" w:ascii="Times New Roman" w:hAnsi="Times New Roman" w:cs="宋体"/>
          <w:sz w:val="28"/>
          <w:szCs w:val="28"/>
        </w:rPr>
        <w:t>工艺设备</w:t>
      </w:r>
      <w:r>
        <w:rPr>
          <w:rFonts w:hint="eastAsia" w:ascii="Times New Roman" w:hAnsi="Times New Roman" w:cs="宋体"/>
          <w:sz w:val="28"/>
          <w:szCs w:val="28"/>
          <w:lang w:eastAsia="zh-CN"/>
        </w:rPr>
        <w:t>、</w:t>
      </w:r>
      <w:r>
        <w:rPr>
          <w:rFonts w:hint="eastAsia" w:ascii="Times New Roman" w:hAnsi="Times New Roman" w:cs="宋体"/>
          <w:sz w:val="28"/>
          <w:szCs w:val="28"/>
        </w:rPr>
        <w:t>电气及消防设施</w:t>
      </w:r>
      <w:r>
        <w:rPr>
          <w:rFonts w:hint="eastAsia" w:ascii="Times New Roman" w:hAnsi="Times New Roman" w:cs="宋体"/>
          <w:sz w:val="28"/>
          <w:szCs w:val="28"/>
          <w:lang w:eastAsia="zh-CN"/>
        </w:rPr>
        <w:t>、</w:t>
      </w:r>
      <w:r>
        <w:rPr>
          <w:rFonts w:hint="eastAsia" w:ascii="Times New Roman" w:hAnsi="Times New Roman" w:cs="宋体"/>
          <w:sz w:val="28"/>
          <w:szCs w:val="28"/>
        </w:rPr>
        <w:t>从业人员培训</w:t>
      </w:r>
      <w:r>
        <w:rPr>
          <w:rFonts w:hint="eastAsia" w:ascii="Times New Roman" w:hAnsi="Times New Roman" w:cs="宋体"/>
          <w:sz w:val="28"/>
          <w:szCs w:val="28"/>
          <w:lang w:eastAsia="zh-CN"/>
        </w:rPr>
        <w:t>、</w:t>
      </w:r>
      <w:r>
        <w:rPr>
          <w:rFonts w:hint="eastAsia" w:ascii="Times New Roman" w:hAnsi="Times New Roman" w:cs="宋体"/>
          <w:sz w:val="28"/>
          <w:szCs w:val="28"/>
        </w:rPr>
        <w:t>安全生产管理</w:t>
      </w:r>
      <w:r>
        <w:rPr>
          <w:rFonts w:hint="eastAsia" w:ascii="Times New Roman" w:hAnsi="Times New Roman" w:cs="宋体"/>
          <w:sz w:val="28"/>
          <w:szCs w:val="28"/>
          <w:lang w:eastAsia="zh-CN"/>
        </w:rPr>
        <w:t>、</w:t>
      </w:r>
      <w:r>
        <w:rPr>
          <w:rFonts w:hint="eastAsia" w:ascii="宋体" w:hAnsi="宋体" w:eastAsia="宋体" w:cs="宋体"/>
          <w:sz w:val="28"/>
          <w:szCs w:val="28"/>
          <w:lang w:val="en-US" w:eastAsia="zh-CN"/>
        </w:rPr>
        <w:t>2具30m³的0#柴油罐</w:t>
      </w:r>
      <w:r>
        <w:rPr>
          <w:rFonts w:hint="eastAsia" w:ascii="宋体" w:hAnsi="宋体" w:cs="宋体"/>
          <w:sz w:val="28"/>
          <w:szCs w:val="28"/>
          <w:lang w:val="en-US" w:eastAsia="zh-CN"/>
        </w:rPr>
        <w:t>、</w:t>
      </w:r>
      <w:r>
        <w:rPr>
          <w:rFonts w:hint="eastAsia" w:ascii="宋体" w:hAnsi="宋体" w:eastAsia="宋体" w:cs="宋体"/>
          <w:sz w:val="28"/>
          <w:szCs w:val="28"/>
          <w:lang w:val="en-US" w:eastAsia="zh-CN"/>
        </w:rPr>
        <w:t>1具30m³的92汽油罐</w:t>
      </w:r>
      <w:r>
        <w:rPr>
          <w:rFonts w:hint="eastAsia" w:ascii="宋体" w:hAnsi="宋体" w:cs="宋体"/>
          <w:sz w:val="28"/>
          <w:szCs w:val="28"/>
          <w:lang w:val="en-US" w:eastAsia="zh-CN"/>
        </w:rPr>
        <w:t>、1台汽油双枪机、2台柴油单枪机、1座站房和1座罩棚等方面，</w:t>
      </w:r>
      <w:r>
        <w:rPr>
          <w:rFonts w:hint="eastAsia" w:ascii="Times New Roman" w:hAnsi="Times New Roman" w:cs="宋体"/>
          <w:sz w:val="28"/>
          <w:szCs w:val="28"/>
        </w:rPr>
        <w:t>根据有关法律、法规及标准规范的要求进行符合性、有效性评价。</w:t>
      </w:r>
    </w:p>
    <w:p w14:paraId="4A11C027">
      <w:pPr>
        <w:spacing w:line="600" w:lineRule="exact"/>
        <w:ind w:firstLine="560" w:firstLineChars="200"/>
        <w:rPr>
          <w:rFonts w:hint="eastAsia" w:ascii="Times New Roman" w:hAnsi="Times New Roman" w:cs="宋体"/>
          <w:sz w:val="28"/>
          <w:szCs w:val="28"/>
        </w:rPr>
      </w:pPr>
      <w:r>
        <w:rPr>
          <w:rFonts w:hint="eastAsia" w:ascii="Times New Roman" w:hAnsi="Times New Roman" w:cs="宋体"/>
          <w:sz w:val="28"/>
          <w:szCs w:val="28"/>
        </w:rPr>
        <w:t>如经营场所、储存条件、品种发生变化，不在本评价报告范围内。</w:t>
      </w:r>
      <w:bookmarkStart w:id="56" w:name="_Toc4910"/>
      <w:bookmarkStart w:id="57" w:name="_Toc10231"/>
      <w:bookmarkStart w:id="58" w:name="_Toc350517374"/>
    </w:p>
    <w:p w14:paraId="650F9D06">
      <w:pPr>
        <w:keepNext w:val="0"/>
        <w:keepLines w:val="0"/>
        <w:pageBreakBefore w:val="0"/>
        <w:widowControl w:val="0"/>
        <w:kinsoku/>
        <w:wordWrap/>
        <w:overflowPunct/>
        <w:topLinePunct w:val="0"/>
        <w:autoSpaceDE/>
        <w:autoSpaceDN/>
        <w:bidi w:val="0"/>
        <w:adjustRightInd w:val="0"/>
        <w:snapToGrid w:val="0"/>
        <w:spacing w:line="600" w:lineRule="exact"/>
        <w:ind w:firstLine="0" w:firstLineChars="0"/>
        <w:textAlignment w:val="auto"/>
        <w:outlineLvl w:val="1"/>
        <w:rPr>
          <w:rStyle w:val="25"/>
          <w:rFonts w:hint="eastAsia" w:ascii="楷体" w:hAnsi="楷体" w:eastAsia="楷体" w:cs="楷体"/>
          <w:b/>
          <w:bCs/>
          <w:sz w:val="30"/>
          <w:szCs w:val="30"/>
        </w:rPr>
      </w:pPr>
      <w:bookmarkStart w:id="59" w:name="_Toc9491"/>
      <w:r>
        <w:rPr>
          <w:rStyle w:val="25"/>
          <w:rFonts w:hint="eastAsia" w:ascii="楷体" w:hAnsi="楷体" w:eastAsia="楷体" w:cs="楷体"/>
          <w:b/>
          <w:bCs/>
          <w:sz w:val="30"/>
          <w:szCs w:val="30"/>
        </w:rPr>
        <w:t>1.</w:t>
      </w:r>
      <w:r>
        <w:rPr>
          <w:rStyle w:val="25"/>
          <w:rFonts w:hint="eastAsia" w:ascii="楷体" w:hAnsi="楷体" w:eastAsia="楷体" w:cs="楷体"/>
          <w:b/>
          <w:bCs/>
          <w:sz w:val="30"/>
          <w:szCs w:val="30"/>
          <w:lang w:val="en-US" w:eastAsia="zh-CN"/>
        </w:rPr>
        <w:t>5</w:t>
      </w:r>
      <w:r>
        <w:rPr>
          <w:rStyle w:val="25"/>
          <w:rFonts w:hint="eastAsia" w:ascii="楷体" w:hAnsi="楷体" w:eastAsia="楷体" w:cs="楷体"/>
          <w:b/>
          <w:bCs/>
          <w:sz w:val="30"/>
          <w:szCs w:val="30"/>
        </w:rPr>
        <w:t>评价程序</w:t>
      </w:r>
      <w:bookmarkEnd w:id="56"/>
      <w:bookmarkEnd w:id="57"/>
      <w:bookmarkEnd w:id="58"/>
      <w:bookmarkEnd w:id="59"/>
    </w:p>
    <w:p w14:paraId="3298EF20">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本次安全现状评价工作大体可分为以下几个阶段。</w:t>
      </w:r>
    </w:p>
    <w:p w14:paraId="12A8DB63">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（1）前期准备</w:t>
      </w:r>
    </w:p>
    <w:p w14:paraId="7960874D">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主要工作包括：明确评价对象和及其评价范围，组建评价工作组，收集国内外相关法律法规、技术标准及建设项目资料。</w:t>
      </w:r>
    </w:p>
    <w:p w14:paraId="0755B149">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（2）辨识和分析危险、有害因素</w:t>
      </w:r>
    </w:p>
    <w:p w14:paraId="600273D3">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根据建设项目周边环境、总平面布置、生产工艺流程、场所的特点，识别和分析其潜在的危险、有害因素及部位。</w:t>
      </w:r>
    </w:p>
    <w:p w14:paraId="42A243B0">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（3）划分评价单元</w:t>
      </w:r>
    </w:p>
    <w:p w14:paraId="46DE99F9">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在危险、有害因素识别和分析基础上，根据评价的需要，将建设项目分成若干个评价单元。</w:t>
      </w:r>
    </w:p>
    <w:p w14:paraId="51226CA0">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（4）选择评价方法</w:t>
      </w:r>
    </w:p>
    <w:p w14:paraId="25A9C546">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根据被评价对象的特点，选择科学、合理、适用的定性、定量评价方法。</w:t>
      </w:r>
    </w:p>
    <w:p w14:paraId="6D82D432">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（5）定性、定量评价</w:t>
      </w:r>
    </w:p>
    <w:p w14:paraId="34D5179C">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根据选择的评价方法，对危险、有害因素导致事故发生的可能性和严重程度进行定性、定量评价，对企业的安全生产条件和状况进行现场检查。</w:t>
      </w:r>
    </w:p>
    <w:p w14:paraId="163868AC">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（6）提出安全对策措施建议</w:t>
      </w:r>
    </w:p>
    <w:p w14:paraId="316C40B4">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对现场检查及评价过程中发现的问题或隐患，提出改进措施及建议。</w:t>
      </w:r>
    </w:p>
    <w:p w14:paraId="1D790220">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（7）做出评价结论</w:t>
      </w:r>
    </w:p>
    <w:p w14:paraId="01FFF387">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根据现场检查结果，对照国家法律法规、标准规范等，得出安全现状评价结论。</w:t>
      </w:r>
    </w:p>
    <w:p w14:paraId="4C9195E8">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（8）编制安全现状评价报告</w:t>
      </w:r>
    </w:p>
    <w:p w14:paraId="3EF481AE">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根据收集的资料以及现场调查结果编制安全现状评价报告。</w:t>
      </w:r>
    </w:p>
    <w:p w14:paraId="27225637">
      <w:pPr>
        <w:rPr>
          <w:rFonts w:hint="eastAsia"/>
        </w:rPr>
      </w:pPr>
      <w:r>
        <w:rPr>
          <w:rFonts w:hint="eastAsia" w:ascii="宋体" w:hAnsi="宋体" w:eastAsia="宋体" w:cs="宋体"/>
          <w:sz w:val="28"/>
          <w:szCs w:val="28"/>
        </w:rPr>
        <w:br w:type="page"/>
      </w:r>
    </w:p>
    <w:p w14:paraId="23114D5F">
      <w:pPr>
        <w:spacing w:line="600" w:lineRule="exact"/>
        <w:ind w:firstLine="560" w:firstLineChars="200"/>
        <w:rPr>
          <w:rFonts w:ascii="Times New Roman" w:hAnsi="Times New Roman" w:cs="Times New Roman"/>
          <w:sz w:val="24"/>
          <w:szCs w:val="24"/>
        </w:rPr>
      </w:pPr>
      <w:r>
        <w:rPr>
          <w:rFonts w:hint="eastAsia" w:ascii="Times New Roman" w:hAnsi="Times New Roman" w:cs="宋体"/>
          <w:sz w:val="28"/>
          <w:szCs w:val="28"/>
        </w:rPr>
        <w:t>评价程序见图</w:t>
      </w:r>
      <w:r>
        <w:rPr>
          <w:rFonts w:hint="eastAsia" w:ascii="宋体" w:hAnsi="宋体" w:eastAsia="宋体" w:cs="宋体"/>
          <w:sz w:val="28"/>
          <w:szCs w:val="28"/>
        </w:rPr>
        <w:t>1-1。</w:t>
      </w:r>
    </w:p>
    <w:p w14:paraId="57075F21">
      <w:pPr>
        <w:jc w:val="center"/>
        <w:rPr>
          <w:rFonts w:ascii="Times New Roman" w:hAnsi="Times New Roman" w:cs="Times New Roman"/>
          <w:sz w:val="24"/>
          <w:szCs w:val="24"/>
        </w:rPr>
      </w:pPr>
      <w:r>
        <mc:AlternateContent>
          <mc:Choice Requires="wpg">
            <w:drawing>
              <wp:anchor distT="0" distB="0" distL="114300" distR="114300" simplePos="0" relativeHeight="251659264" behindDoc="0" locked="0" layoutInCell="1" allowOverlap="1">
                <wp:simplePos x="0" y="0"/>
                <wp:positionH relativeFrom="column">
                  <wp:posOffset>1913255</wp:posOffset>
                </wp:positionH>
                <wp:positionV relativeFrom="paragraph">
                  <wp:posOffset>17780</wp:posOffset>
                </wp:positionV>
                <wp:extent cx="2334895" cy="4518025"/>
                <wp:effectExtent l="5080" t="4445" r="12700" b="11430"/>
                <wp:wrapNone/>
                <wp:docPr id="14" name="组合 3"/>
                <wp:cNvGraphicFramePr/>
                <a:graphic xmlns:a="http://schemas.openxmlformats.org/drawingml/2006/main">
                  <a:graphicData uri="http://schemas.microsoft.com/office/word/2010/wordprocessingGroup">
                    <wpg:wgp>
                      <wpg:cNvGrpSpPr/>
                      <wpg:grpSpPr>
                        <a:xfrm>
                          <a:off x="0" y="0"/>
                          <a:ext cx="2334895" cy="4518025"/>
                          <a:chOff x="0" y="0"/>
                          <a:chExt cx="4500" cy="10140"/>
                        </a:xfrm>
                      </wpg:grpSpPr>
                      <wps:wsp>
                        <wps:cNvPr id="1" name="文本框 4"/>
                        <wps:cNvSpPr txBox="1"/>
                        <wps:spPr>
                          <a:xfrm>
                            <a:off x="0" y="0"/>
                            <a:ext cx="45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6774EC2">
                              <w:pPr>
                                <w:jc w:val="center"/>
                                <w:rPr>
                                  <w:rFonts w:cs="Times New Roman"/>
                                  <w:sz w:val="21"/>
                                  <w:szCs w:val="21"/>
                                </w:rPr>
                              </w:pPr>
                              <w:r>
                                <w:rPr>
                                  <w:rFonts w:hint="eastAsia" w:cs="宋体"/>
                                  <w:sz w:val="21"/>
                                  <w:szCs w:val="21"/>
                                </w:rPr>
                                <w:t>前期准备</w:t>
                              </w:r>
                            </w:p>
                          </w:txbxContent>
                        </wps:txbx>
                        <wps:bodyPr upright="1"/>
                      </wps:wsp>
                      <wps:wsp>
                        <wps:cNvPr id="2" name="文本框 5"/>
                        <wps:cNvSpPr txBox="1"/>
                        <wps:spPr>
                          <a:xfrm>
                            <a:off x="0" y="1560"/>
                            <a:ext cx="45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46E9C74">
                              <w:pPr>
                                <w:jc w:val="center"/>
                                <w:rPr>
                                  <w:rFonts w:cs="Times New Roman"/>
                                  <w:sz w:val="21"/>
                                  <w:szCs w:val="21"/>
                                </w:rPr>
                              </w:pPr>
                              <w:r>
                                <w:rPr>
                                  <w:rFonts w:hint="eastAsia" w:cs="宋体"/>
                                  <w:sz w:val="21"/>
                                  <w:szCs w:val="21"/>
                                </w:rPr>
                                <w:t>辨识与分析危险、有害因素</w:t>
                              </w:r>
                            </w:p>
                          </w:txbxContent>
                        </wps:txbx>
                        <wps:bodyPr upright="1"/>
                      </wps:wsp>
                      <wps:wsp>
                        <wps:cNvPr id="3" name="文本框 6"/>
                        <wps:cNvSpPr txBox="1"/>
                        <wps:spPr>
                          <a:xfrm>
                            <a:off x="0" y="3120"/>
                            <a:ext cx="45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CE501A">
                              <w:pPr>
                                <w:jc w:val="center"/>
                                <w:rPr>
                                  <w:rFonts w:cs="Times New Roman"/>
                                  <w:sz w:val="21"/>
                                  <w:szCs w:val="21"/>
                                </w:rPr>
                              </w:pPr>
                              <w:r>
                                <w:rPr>
                                  <w:rFonts w:hint="eastAsia" w:cs="宋体"/>
                                  <w:sz w:val="21"/>
                                  <w:szCs w:val="21"/>
                                </w:rPr>
                                <w:t>划分评价单元</w:t>
                              </w:r>
                            </w:p>
                          </w:txbxContent>
                        </wps:txbx>
                        <wps:bodyPr upright="1"/>
                      </wps:wsp>
                      <wps:wsp>
                        <wps:cNvPr id="4" name="文本框 7"/>
                        <wps:cNvSpPr txBox="1"/>
                        <wps:spPr>
                          <a:xfrm>
                            <a:off x="0" y="4680"/>
                            <a:ext cx="45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449119B">
                              <w:pPr>
                                <w:jc w:val="center"/>
                                <w:rPr>
                                  <w:rFonts w:cs="Times New Roman"/>
                                  <w:sz w:val="21"/>
                                  <w:szCs w:val="21"/>
                                </w:rPr>
                              </w:pPr>
                              <w:r>
                                <w:rPr>
                                  <w:rFonts w:hint="eastAsia" w:cs="宋体"/>
                                  <w:sz w:val="21"/>
                                  <w:szCs w:val="21"/>
                                </w:rPr>
                                <w:t>定性、定量评价</w:t>
                              </w:r>
                            </w:p>
                          </w:txbxContent>
                        </wps:txbx>
                        <wps:bodyPr upright="1"/>
                      </wps:wsp>
                      <wps:wsp>
                        <wps:cNvPr id="5" name="文本框 8"/>
                        <wps:cNvSpPr txBox="1"/>
                        <wps:spPr>
                          <a:xfrm>
                            <a:off x="0" y="6240"/>
                            <a:ext cx="45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EA4A4E5">
                              <w:pPr>
                                <w:jc w:val="center"/>
                                <w:rPr>
                                  <w:rFonts w:cs="Times New Roman"/>
                                  <w:sz w:val="21"/>
                                  <w:szCs w:val="21"/>
                                </w:rPr>
                              </w:pPr>
                              <w:r>
                                <w:rPr>
                                  <w:rFonts w:hint="eastAsia" w:cs="宋体"/>
                                  <w:sz w:val="21"/>
                                  <w:szCs w:val="21"/>
                                </w:rPr>
                                <w:t>提出安全对策措施建议</w:t>
                              </w:r>
                            </w:p>
                          </w:txbxContent>
                        </wps:txbx>
                        <wps:bodyPr upright="1"/>
                      </wps:wsp>
                      <wps:wsp>
                        <wps:cNvPr id="6" name="文本框 9"/>
                        <wps:cNvSpPr txBox="1"/>
                        <wps:spPr>
                          <a:xfrm>
                            <a:off x="0" y="7800"/>
                            <a:ext cx="45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0A1A1D">
                              <w:pPr>
                                <w:jc w:val="center"/>
                                <w:rPr>
                                  <w:rFonts w:cs="Times New Roman"/>
                                  <w:sz w:val="21"/>
                                  <w:szCs w:val="21"/>
                                </w:rPr>
                              </w:pPr>
                              <w:r>
                                <w:rPr>
                                  <w:rFonts w:hint="eastAsia" w:cs="宋体"/>
                                  <w:sz w:val="21"/>
                                  <w:szCs w:val="21"/>
                                </w:rPr>
                                <w:t>做出评价结论</w:t>
                              </w:r>
                            </w:p>
                          </w:txbxContent>
                        </wps:txbx>
                        <wps:bodyPr upright="1"/>
                      </wps:wsp>
                      <wps:wsp>
                        <wps:cNvPr id="7" name="文本框 10"/>
                        <wps:cNvSpPr txBox="1"/>
                        <wps:spPr>
                          <a:xfrm>
                            <a:off x="0" y="9360"/>
                            <a:ext cx="45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F5D01C">
                              <w:pPr>
                                <w:jc w:val="center"/>
                                <w:rPr>
                                  <w:rFonts w:cs="Times New Roman"/>
                                  <w:sz w:val="21"/>
                                  <w:szCs w:val="21"/>
                                </w:rPr>
                              </w:pPr>
                              <w:r>
                                <w:rPr>
                                  <w:rFonts w:hint="eastAsia" w:cs="宋体"/>
                                  <w:sz w:val="21"/>
                                  <w:szCs w:val="21"/>
                                </w:rPr>
                                <w:t>编制安全现状评价报告</w:t>
                              </w:r>
                            </w:p>
                          </w:txbxContent>
                        </wps:txbx>
                        <wps:bodyPr upright="1"/>
                      </wps:wsp>
                      <wps:wsp>
                        <wps:cNvPr id="8" name="直线 11"/>
                        <wps:cNvCnPr/>
                        <wps:spPr>
                          <a:xfrm>
                            <a:off x="2265" y="780"/>
                            <a:ext cx="0" cy="780"/>
                          </a:xfrm>
                          <a:prstGeom prst="line">
                            <a:avLst/>
                          </a:prstGeom>
                          <a:ln w="9525" cap="flat" cmpd="sng">
                            <a:solidFill>
                              <a:srgbClr val="000000"/>
                            </a:solidFill>
                            <a:prstDash val="solid"/>
                            <a:headEnd type="none" w="med" len="med"/>
                            <a:tailEnd type="triangle" w="med" len="med"/>
                          </a:ln>
                        </wps:spPr>
                        <wps:bodyPr upright="1"/>
                      </wps:wsp>
                      <wps:wsp>
                        <wps:cNvPr id="9" name="直线 12"/>
                        <wps:cNvCnPr/>
                        <wps:spPr>
                          <a:xfrm>
                            <a:off x="2265" y="2340"/>
                            <a:ext cx="0" cy="780"/>
                          </a:xfrm>
                          <a:prstGeom prst="line">
                            <a:avLst/>
                          </a:prstGeom>
                          <a:ln w="9525" cap="flat" cmpd="sng">
                            <a:solidFill>
                              <a:srgbClr val="000000"/>
                            </a:solidFill>
                            <a:prstDash val="solid"/>
                            <a:headEnd type="none" w="med" len="med"/>
                            <a:tailEnd type="triangle" w="med" len="med"/>
                          </a:ln>
                        </wps:spPr>
                        <wps:bodyPr upright="1"/>
                      </wps:wsp>
                      <wps:wsp>
                        <wps:cNvPr id="10" name="直线 13"/>
                        <wps:cNvCnPr/>
                        <wps:spPr>
                          <a:xfrm>
                            <a:off x="2265" y="3900"/>
                            <a:ext cx="0" cy="780"/>
                          </a:xfrm>
                          <a:prstGeom prst="line">
                            <a:avLst/>
                          </a:prstGeom>
                          <a:ln w="9525" cap="flat" cmpd="sng">
                            <a:solidFill>
                              <a:srgbClr val="000000"/>
                            </a:solidFill>
                            <a:prstDash val="solid"/>
                            <a:headEnd type="none" w="med" len="med"/>
                            <a:tailEnd type="triangle" w="med" len="med"/>
                          </a:ln>
                        </wps:spPr>
                        <wps:bodyPr upright="1"/>
                      </wps:wsp>
                      <wps:wsp>
                        <wps:cNvPr id="11" name="直线 14"/>
                        <wps:cNvCnPr/>
                        <wps:spPr>
                          <a:xfrm>
                            <a:off x="2265" y="5460"/>
                            <a:ext cx="0" cy="780"/>
                          </a:xfrm>
                          <a:prstGeom prst="line">
                            <a:avLst/>
                          </a:prstGeom>
                          <a:ln w="9525" cap="flat" cmpd="sng">
                            <a:solidFill>
                              <a:srgbClr val="000000"/>
                            </a:solidFill>
                            <a:prstDash val="solid"/>
                            <a:headEnd type="none" w="med" len="med"/>
                            <a:tailEnd type="triangle" w="med" len="med"/>
                          </a:ln>
                        </wps:spPr>
                        <wps:bodyPr upright="1"/>
                      </wps:wsp>
                      <wps:wsp>
                        <wps:cNvPr id="12" name="直线 15"/>
                        <wps:cNvCnPr/>
                        <wps:spPr>
                          <a:xfrm>
                            <a:off x="2265" y="7020"/>
                            <a:ext cx="0" cy="780"/>
                          </a:xfrm>
                          <a:prstGeom prst="line">
                            <a:avLst/>
                          </a:prstGeom>
                          <a:ln w="9525" cap="flat" cmpd="sng">
                            <a:solidFill>
                              <a:srgbClr val="000000"/>
                            </a:solidFill>
                            <a:prstDash val="solid"/>
                            <a:headEnd type="none" w="med" len="med"/>
                            <a:tailEnd type="triangle" w="med" len="med"/>
                          </a:ln>
                        </wps:spPr>
                        <wps:bodyPr upright="1"/>
                      </wps:wsp>
                      <wps:wsp>
                        <wps:cNvPr id="13" name="直线 16"/>
                        <wps:cNvCnPr/>
                        <wps:spPr>
                          <a:xfrm>
                            <a:off x="2265" y="8580"/>
                            <a:ext cx="0" cy="780"/>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组合 3" o:spid="_x0000_s1026" o:spt="203" style="position:absolute;left:0pt;margin-left:150.65pt;margin-top:1.4pt;height:355.75pt;width:183.85pt;z-index:251659264;mso-width-relative:page;mso-height-relative:page;" coordsize="4500,10140" o:gfxdata="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">
                <o:lock v:ext="edit" aspectratio="f"/>
                <v:shape id="文本框 4" o:spid="_x0000_s1026" o:spt="202" type="#_x0000_t202" style="position:absolute;left:0;top:0;height:780;width:4500;" fillcolor="#FFFFFF" filled="t" stroked="t" coordsize="21600,21600" o:gfxdata="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3I6ugAAANo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36774EC2">
                        <w:pPr>
                          <w:jc w:val="center"/>
                          <w:rPr>
                            <w:rFonts w:cs="Times New Roman"/>
                            <w:sz w:val="21"/>
                            <w:szCs w:val="21"/>
                          </w:rPr>
                        </w:pPr>
                        <w:r>
                          <w:rPr>
                            <w:rFonts w:hint="eastAsia" w:cs="宋体"/>
                            <w:sz w:val="21"/>
                            <w:szCs w:val="21"/>
                          </w:rPr>
                          <w:t>前期准备</w:t>
                        </w:r>
                      </w:p>
                    </w:txbxContent>
                  </v:textbox>
                </v:shape>
                <v:shape id="文本框 5" o:spid="_x0000_s1026" o:spt="202" type="#_x0000_t202" style="position:absolute;left:0;top:1560;height:780;width:4500;" fillcolor="#FFFFFF" filled="t" stroked="t" coordsize="21600,21600" o:gfxdata="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BexN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46E9C74">
                        <w:pPr>
                          <w:jc w:val="center"/>
                          <w:rPr>
                            <w:rFonts w:cs="Times New Roman"/>
                            <w:sz w:val="21"/>
                            <w:szCs w:val="21"/>
                          </w:rPr>
                        </w:pPr>
                        <w:r>
                          <w:rPr>
                            <w:rFonts w:hint="eastAsia" w:cs="宋体"/>
                            <w:sz w:val="21"/>
                            <w:szCs w:val="21"/>
                          </w:rPr>
                          <w:t>辨识与分析危险、有害因素</w:t>
                        </w:r>
                      </w:p>
                    </w:txbxContent>
                  </v:textbox>
                </v:shape>
                <v:shape id="文本框 6" o:spid="_x0000_s1026" o:spt="202" type="#_x0000_t202" style="position:absolute;left:0;top:3120;height:780;width:4500;" fillcolor="#FFFFFF" filled="t" stroked="t" coordsize="21600,21600" o:gfxdata="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SUnW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BCE501A">
                        <w:pPr>
                          <w:jc w:val="center"/>
                          <w:rPr>
                            <w:rFonts w:cs="Times New Roman"/>
                            <w:sz w:val="21"/>
                            <w:szCs w:val="21"/>
                          </w:rPr>
                        </w:pPr>
                        <w:r>
                          <w:rPr>
                            <w:rFonts w:hint="eastAsia" w:cs="宋体"/>
                            <w:sz w:val="21"/>
                            <w:szCs w:val="21"/>
                          </w:rPr>
                          <w:t>划分评价单元</w:t>
                        </w:r>
                      </w:p>
                    </w:txbxContent>
                  </v:textbox>
                </v:shape>
                <v:shape id="文本框 7" o:spid="_x0000_s1026" o:spt="202" type="#_x0000_t202" style="position:absolute;left:0;top:4680;height:780;width:4500;" fillcolor="#FFFFFF" filled="t" stroked="t" coordsize="21600,21600" o:gfxdata="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0aK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4449119B">
                        <w:pPr>
                          <w:jc w:val="center"/>
                          <w:rPr>
                            <w:rFonts w:cs="Times New Roman"/>
                            <w:sz w:val="21"/>
                            <w:szCs w:val="21"/>
                          </w:rPr>
                        </w:pPr>
                        <w:r>
                          <w:rPr>
                            <w:rFonts w:hint="eastAsia" w:cs="宋体"/>
                            <w:sz w:val="21"/>
                            <w:szCs w:val="21"/>
                          </w:rPr>
                          <w:t>定性、定量评价</w:t>
                        </w:r>
                      </w:p>
                    </w:txbxContent>
                  </v:textbox>
                </v:shape>
                <v:shape id="文本框 8" o:spid="_x0000_s1026" o:spt="202" type="#_x0000_t202" style="position:absolute;left:0;top:6240;height:780;width:4500;" fillcolor="#FFFFFF" filled="t" stroked="t" coordsize="21600,21600" o:gfxdata="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7HQ5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EA4A4E5">
                        <w:pPr>
                          <w:jc w:val="center"/>
                          <w:rPr>
                            <w:rFonts w:cs="Times New Roman"/>
                            <w:sz w:val="21"/>
                            <w:szCs w:val="21"/>
                          </w:rPr>
                        </w:pPr>
                        <w:r>
                          <w:rPr>
                            <w:rFonts w:hint="eastAsia" w:cs="宋体"/>
                            <w:sz w:val="21"/>
                            <w:szCs w:val="21"/>
                          </w:rPr>
                          <w:t>提出安全对策措施建议</w:t>
                        </w:r>
                      </w:p>
                    </w:txbxContent>
                  </v:textbox>
                </v:shape>
                <v:shape id="文本框 9" o:spid="_x0000_s1026" o:spt="202" type="#_x0000_t202" style="position:absolute;left:0;top:7800;height:780;width:4500;" fillcolor="#FFFFFF" filled="t" stroked="t" coordsize="21600,21600" o:gfxdata="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PupO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C0A1A1D">
                        <w:pPr>
                          <w:jc w:val="center"/>
                          <w:rPr>
                            <w:rFonts w:cs="Times New Roman"/>
                            <w:sz w:val="21"/>
                            <w:szCs w:val="21"/>
                          </w:rPr>
                        </w:pPr>
                        <w:r>
                          <w:rPr>
                            <w:rFonts w:hint="eastAsia" w:cs="宋体"/>
                            <w:sz w:val="21"/>
                            <w:szCs w:val="21"/>
                          </w:rPr>
                          <w:t>做出评价结论</w:t>
                        </w:r>
                      </w:p>
                    </w:txbxContent>
                  </v:textbox>
                </v:shape>
                <v:shape id="文本框 10" o:spid="_x0000_s1026" o:spt="202" type="#_x0000_t202" style="position:absolute;left:0;top:9360;height:780;width:4500;" fillcolor="#FFFFFF" filled="t" stroked="t" coordsize="21600,21600" o:gfxdata="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T9W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65F5D01C">
                        <w:pPr>
                          <w:jc w:val="center"/>
                          <w:rPr>
                            <w:rFonts w:cs="Times New Roman"/>
                            <w:sz w:val="21"/>
                            <w:szCs w:val="21"/>
                          </w:rPr>
                        </w:pPr>
                        <w:r>
                          <w:rPr>
                            <w:rFonts w:hint="eastAsia" w:cs="宋体"/>
                            <w:sz w:val="21"/>
                            <w:szCs w:val="21"/>
                          </w:rPr>
                          <w:t>编制安全现状评价报告</w:t>
                        </w:r>
                      </w:p>
                    </w:txbxContent>
                  </v:textbox>
                </v:shape>
                <v:line id="直线 11" o:spid="_x0000_s1026" o:spt="20" style="position:absolute;left:2265;top:780;height:780;width:0;" filled="f" stroked="t" coordsize="21600,21600" o:gfxdata="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eFGDugAAANoA&#10;AAAPAAAAAAAAAAEAIAAAACIAAABkcnMvZG93bnJldi54bWxQSwECFAAUAAAACACHTuJAMy8FnjsA&#10;AAA5AAAAEAAAAAAAAAABACAAAAAJAQAAZHJzL3NoYXBleG1sLnhtbFBLBQYAAAAABgAGAFsBAACz&#10;AwAAAAA=&#10;">
                  <v:fill on="f" focussize="0,0"/>
                  <v:stroke color="#000000" joinstyle="round" endarrow="block"/>
                  <v:imagedata o:title=""/>
                  <o:lock v:ext="edit" aspectratio="f"/>
                </v:line>
                <v:line id="直线 12" o:spid="_x0000_s1026" o:spt="20" style="position:absolute;left:2265;top:2340;height:780;width:0;" filled="f" stroked="t" coordsize="21600,21600" o:gfxdata="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zT0GL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3" o:spid="_x0000_s1026" o:spt="20" style="position:absolute;left:2265;top:3900;height:780;width:0;" filled="f" stroked="t" coordsize="21600,21600" o:gfxdata="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p/K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4" o:spid="_x0000_s1026" o:spt="20" style="position:absolute;left:2265;top:5460;height:780;width:0;" filled="f" stroked="t" coordsize="21600,21600" o:gfxdata="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5Vkw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5" o:spid="_x0000_s1026" o:spt="20" style="position:absolute;left:2265;top:7020;height:780;width:0;" filled="f" stroked="t" coordsize="21600,21600" o:gfxdata="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jfHR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直线 16" o:spid="_x0000_s1026" o:spt="20" style="position:absolute;left:2265;top:8580;height:780;width:0;" filled="f" stroked="t" coordsize="21600,21600" o:gfxdata="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7Yty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group>
            </w:pict>
          </mc:Fallback>
        </mc:AlternateContent>
      </w:r>
    </w:p>
    <w:p w14:paraId="586E8C39">
      <w:pPr>
        <w:jc w:val="both"/>
        <w:rPr>
          <w:rFonts w:ascii="Times New Roman" w:hAnsi="Times New Roman" w:cs="Times New Roman"/>
          <w:sz w:val="24"/>
          <w:szCs w:val="24"/>
        </w:rPr>
      </w:pPr>
    </w:p>
    <w:p w14:paraId="57AAD35D">
      <w:pPr>
        <w:jc w:val="both"/>
        <w:rPr>
          <w:rFonts w:ascii="Times New Roman" w:hAnsi="Times New Roman" w:cs="Times New Roman"/>
          <w:sz w:val="24"/>
          <w:szCs w:val="24"/>
        </w:rPr>
      </w:pPr>
    </w:p>
    <w:p w14:paraId="5CACBF4E">
      <w:pPr>
        <w:jc w:val="both"/>
        <w:rPr>
          <w:rFonts w:ascii="Times New Roman" w:hAnsi="Times New Roman" w:cs="Times New Roman"/>
          <w:sz w:val="24"/>
          <w:szCs w:val="24"/>
        </w:rPr>
      </w:pPr>
    </w:p>
    <w:p w14:paraId="071255EA">
      <w:pPr>
        <w:jc w:val="both"/>
        <w:rPr>
          <w:rFonts w:ascii="Times New Roman" w:hAnsi="Times New Roman" w:cs="Times New Roman"/>
          <w:sz w:val="24"/>
          <w:szCs w:val="24"/>
        </w:rPr>
      </w:pPr>
    </w:p>
    <w:p w14:paraId="1860F067">
      <w:pPr>
        <w:jc w:val="both"/>
        <w:rPr>
          <w:rFonts w:ascii="Times New Roman" w:hAnsi="Times New Roman" w:cs="Times New Roman"/>
          <w:sz w:val="24"/>
          <w:szCs w:val="24"/>
        </w:rPr>
      </w:pPr>
    </w:p>
    <w:p w14:paraId="1BE73E7D">
      <w:pPr>
        <w:jc w:val="both"/>
        <w:rPr>
          <w:rFonts w:ascii="Times New Roman" w:hAnsi="Times New Roman" w:cs="Times New Roman"/>
          <w:sz w:val="24"/>
          <w:szCs w:val="24"/>
        </w:rPr>
      </w:pPr>
    </w:p>
    <w:p w14:paraId="2F2A6ECA">
      <w:pPr>
        <w:jc w:val="both"/>
        <w:rPr>
          <w:rFonts w:ascii="Times New Roman" w:hAnsi="Times New Roman" w:cs="Times New Roman"/>
          <w:sz w:val="24"/>
          <w:szCs w:val="24"/>
        </w:rPr>
      </w:pPr>
    </w:p>
    <w:p w14:paraId="6CEC17EF">
      <w:pPr>
        <w:jc w:val="both"/>
        <w:rPr>
          <w:rFonts w:ascii="Times New Roman" w:hAnsi="Times New Roman" w:cs="Times New Roman"/>
          <w:sz w:val="24"/>
          <w:szCs w:val="24"/>
        </w:rPr>
      </w:pPr>
    </w:p>
    <w:p w14:paraId="3C648450">
      <w:pPr>
        <w:jc w:val="both"/>
        <w:rPr>
          <w:rFonts w:ascii="Times New Roman" w:hAnsi="Times New Roman" w:cs="Times New Roman"/>
          <w:sz w:val="24"/>
          <w:szCs w:val="24"/>
        </w:rPr>
      </w:pPr>
    </w:p>
    <w:p w14:paraId="22930A77">
      <w:pPr>
        <w:jc w:val="both"/>
        <w:rPr>
          <w:rFonts w:ascii="Times New Roman" w:hAnsi="Times New Roman" w:cs="Times New Roman"/>
          <w:sz w:val="24"/>
          <w:szCs w:val="24"/>
        </w:rPr>
      </w:pPr>
    </w:p>
    <w:p w14:paraId="44B7FD3B">
      <w:pPr>
        <w:jc w:val="both"/>
        <w:rPr>
          <w:rFonts w:ascii="Times New Roman" w:hAnsi="Times New Roman" w:cs="Times New Roman"/>
          <w:sz w:val="24"/>
          <w:szCs w:val="24"/>
        </w:rPr>
      </w:pPr>
    </w:p>
    <w:p w14:paraId="2190137C">
      <w:pPr>
        <w:jc w:val="both"/>
        <w:rPr>
          <w:rFonts w:ascii="Times New Roman" w:hAnsi="Times New Roman" w:cs="Times New Roman"/>
          <w:sz w:val="24"/>
          <w:szCs w:val="24"/>
        </w:rPr>
      </w:pPr>
    </w:p>
    <w:p w14:paraId="295EF85F">
      <w:pPr>
        <w:jc w:val="both"/>
        <w:rPr>
          <w:rFonts w:ascii="Times New Roman" w:hAnsi="Times New Roman" w:cs="Times New Roman"/>
          <w:sz w:val="24"/>
          <w:szCs w:val="24"/>
        </w:rPr>
      </w:pPr>
    </w:p>
    <w:p w14:paraId="13DC08E3">
      <w:pPr>
        <w:jc w:val="both"/>
        <w:rPr>
          <w:rFonts w:ascii="Times New Roman" w:hAnsi="Times New Roman" w:cs="Times New Roman"/>
          <w:sz w:val="24"/>
          <w:szCs w:val="24"/>
        </w:rPr>
      </w:pPr>
    </w:p>
    <w:p w14:paraId="55552569">
      <w:pPr>
        <w:jc w:val="both"/>
        <w:rPr>
          <w:rFonts w:ascii="Times New Roman" w:hAnsi="Times New Roman" w:cs="Times New Roman"/>
          <w:sz w:val="24"/>
          <w:szCs w:val="24"/>
        </w:rPr>
      </w:pPr>
    </w:p>
    <w:p w14:paraId="7EBD6DC9">
      <w:pPr>
        <w:jc w:val="both"/>
        <w:rPr>
          <w:rFonts w:ascii="Times New Roman" w:hAnsi="Times New Roman" w:cs="Times New Roman"/>
          <w:sz w:val="24"/>
          <w:szCs w:val="24"/>
        </w:rPr>
      </w:pPr>
    </w:p>
    <w:p w14:paraId="1B50D9B3">
      <w:pPr>
        <w:jc w:val="both"/>
        <w:rPr>
          <w:rFonts w:ascii="Times New Roman" w:hAnsi="Times New Roman" w:cs="Times New Roman"/>
          <w:sz w:val="24"/>
          <w:szCs w:val="24"/>
        </w:rPr>
      </w:pPr>
    </w:p>
    <w:p w14:paraId="0AA3C571">
      <w:pPr>
        <w:jc w:val="both"/>
        <w:rPr>
          <w:rFonts w:ascii="Times New Roman" w:hAnsi="Times New Roman" w:cs="Times New Roman"/>
          <w:sz w:val="24"/>
          <w:szCs w:val="24"/>
        </w:rPr>
      </w:pPr>
    </w:p>
    <w:p w14:paraId="5AEC633F">
      <w:pPr>
        <w:jc w:val="both"/>
        <w:rPr>
          <w:rFonts w:ascii="Times New Roman" w:hAnsi="Times New Roman" w:cs="Times New Roman"/>
          <w:sz w:val="24"/>
          <w:szCs w:val="24"/>
        </w:rPr>
      </w:pPr>
    </w:p>
    <w:p w14:paraId="3CEEBE1A">
      <w:pPr>
        <w:jc w:val="both"/>
        <w:rPr>
          <w:rFonts w:ascii="Times New Roman" w:hAnsi="Times New Roman" w:cs="Times New Roman"/>
          <w:sz w:val="24"/>
          <w:szCs w:val="24"/>
        </w:rPr>
      </w:pPr>
    </w:p>
    <w:p w14:paraId="6F3AC660">
      <w:pPr>
        <w:jc w:val="both"/>
        <w:rPr>
          <w:rFonts w:ascii="Times New Roman" w:hAnsi="Times New Roman" w:cs="Times New Roman"/>
          <w:kern w:val="0"/>
        </w:rPr>
      </w:pPr>
    </w:p>
    <w:p w14:paraId="28191602">
      <w:pPr>
        <w:rPr>
          <w:rFonts w:ascii="Times New Roman" w:hAnsi="Times New Roman" w:cs="Times New Roman"/>
          <w:kern w:val="0"/>
        </w:rPr>
      </w:pPr>
    </w:p>
    <w:p w14:paraId="21321DD1">
      <w:pPr>
        <w:rPr>
          <w:rFonts w:ascii="Times New Roman" w:hAnsi="Times New Roman" w:cs="Times New Roman"/>
          <w:kern w:val="0"/>
        </w:rPr>
      </w:pPr>
    </w:p>
    <w:p w14:paraId="3EF6738B">
      <w:pPr>
        <w:spacing w:line="600" w:lineRule="exact"/>
        <w:jc w:val="center"/>
      </w:pPr>
      <w:r>
        <w:rPr>
          <w:rFonts w:hint="eastAsia" w:ascii="宋体" w:hAnsi="宋体" w:eastAsia="宋体" w:cs="宋体"/>
          <w:b/>
          <w:bCs/>
          <w:sz w:val="28"/>
          <w:szCs w:val="28"/>
        </w:rPr>
        <w:t>图1-1评价工作程序图</w:t>
      </w:r>
      <w:bookmarkStart w:id="60" w:name="_Toc17561"/>
      <w:bookmarkStart w:id="61" w:name="_Toc24691"/>
    </w:p>
    <w:p w14:paraId="5518BA65">
      <w:pPr>
        <w:rPr>
          <w:rFonts w:hint="eastAsia" w:ascii="楷体" w:hAnsi="楷体" w:eastAsia="楷体" w:cs="楷体"/>
          <w:sz w:val="32"/>
          <w:szCs w:val="32"/>
        </w:rPr>
      </w:pPr>
      <w:r>
        <w:rPr>
          <w:rFonts w:hint="eastAsia" w:ascii="楷体" w:hAnsi="楷体" w:eastAsia="楷体" w:cs="楷体"/>
          <w:sz w:val="32"/>
          <w:szCs w:val="32"/>
        </w:rPr>
        <w:br w:type="page"/>
      </w:r>
    </w:p>
    <w:p w14:paraId="0CE015C0">
      <w:pPr>
        <w:pStyle w:val="4"/>
        <w:keepNext w:val="0"/>
        <w:keepLines w:val="0"/>
        <w:pageBreakBefore w:val="0"/>
        <w:widowControl/>
        <w:kinsoku/>
        <w:wordWrap/>
        <w:overflowPunct/>
        <w:topLinePunct w:val="0"/>
        <w:autoSpaceDE/>
        <w:autoSpaceDN/>
        <w:bidi w:val="0"/>
        <w:adjustRightInd/>
        <w:snapToGrid/>
        <w:textAlignment w:val="auto"/>
        <w:outlineLvl w:val="0"/>
        <w:rPr>
          <w:rFonts w:hint="eastAsia" w:ascii="楷体" w:hAnsi="楷体" w:eastAsia="楷体" w:cs="楷体"/>
          <w:sz w:val="32"/>
          <w:szCs w:val="32"/>
        </w:rPr>
      </w:pPr>
      <w:bookmarkStart w:id="62" w:name="_Toc5291"/>
      <w:r>
        <w:rPr>
          <w:rFonts w:hint="eastAsia" w:ascii="楷体" w:hAnsi="楷体" w:eastAsia="楷体" w:cs="楷体"/>
          <w:sz w:val="32"/>
          <w:szCs w:val="32"/>
        </w:rPr>
        <w:t>2加油站基本情况</w:t>
      </w:r>
      <w:bookmarkEnd w:id="60"/>
      <w:bookmarkEnd w:id="61"/>
      <w:bookmarkEnd w:id="62"/>
      <w:bookmarkStart w:id="63" w:name="_Toc350517376"/>
      <w:bookmarkStart w:id="64" w:name="_Toc10834"/>
      <w:bookmarkStart w:id="65" w:name="_Toc20888"/>
    </w:p>
    <w:p w14:paraId="257233EA">
      <w:pPr>
        <w:pStyle w:val="5"/>
        <w:keepNext w:val="0"/>
        <w:keepLines w:val="0"/>
        <w:pageBreakBefore w:val="0"/>
        <w:widowControl/>
        <w:kinsoku/>
        <w:wordWrap/>
        <w:overflowPunct/>
        <w:topLinePunct w:val="0"/>
        <w:autoSpaceDE/>
        <w:autoSpaceDN/>
        <w:bidi w:val="0"/>
        <w:adjustRightInd w:val="0"/>
        <w:snapToGrid w:val="0"/>
        <w:textAlignment w:val="auto"/>
        <w:outlineLvl w:val="1"/>
        <w:rPr>
          <w:rFonts w:hint="eastAsia" w:ascii="楷体" w:hAnsi="楷体" w:eastAsia="楷体" w:cs="楷体"/>
          <w:b/>
          <w:bCs/>
          <w:sz w:val="32"/>
          <w:szCs w:val="32"/>
        </w:rPr>
      </w:pPr>
      <w:bookmarkStart w:id="66" w:name="_Toc11789"/>
      <w:r>
        <w:rPr>
          <w:rFonts w:hint="eastAsia" w:ascii="楷体" w:hAnsi="楷体" w:eastAsia="楷体" w:cs="楷体"/>
          <w:b/>
          <w:bCs/>
          <w:sz w:val="32"/>
          <w:szCs w:val="32"/>
        </w:rPr>
        <w:t>2.1加油站基本情况</w:t>
      </w:r>
      <w:bookmarkEnd w:id="63"/>
      <w:bookmarkEnd w:id="64"/>
      <w:bookmarkEnd w:id="65"/>
      <w:bookmarkEnd w:id="66"/>
    </w:p>
    <w:p w14:paraId="3790CFF8">
      <w:pPr>
        <w:tabs>
          <w:tab w:val="left" w:pos="3465"/>
        </w:tabs>
        <w:spacing w:line="360" w:lineRule="auto"/>
        <w:ind w:firstLine="560" w:firstLineChars="200"/>
        <w:rPr>
          <w:rFonts w:hint="eastAsia" w:ascii="宋体" w:hAnsi="宋体" w:eastAsia="宋体" w:cs="宋体"/>
          <w:sz w:val="28"/>
          <w:szCs w:val="28"/>
        </w:rPr>
      </w:pPr>
      <w:r>
        <w:rPr>
          <w:rFonts w:hint="eastAsia" w:cs="宋体"/>
          <w:sz w:val="28"/>
          <w:szCs w:val="28"/>
        </w:rPr>
        <w:t>中国石</w:t>
      </w:r>
      <w:r>
        <w:rPr>
          <w:rFonts w:hint="eastAsia" w:ascii="宋体" w:hAnsi="宋体" w:eastAsia="宋体" w:cs="宋体"/>
          <w:sz w:val="28"/>
          <w:szCs w:val="28"/>
        </w:rPr>
        <w:t>化销售有限公司江西余干石油分公司社庚加油站位于江西省上饶市余干县社庚乡社庚街，是从事成品油经营的企业，主要经营0#柴油、92#汽油。站内设有</w:t>
      </w:r>
      <w:r>
        <w:rPr>
          <w:rFonts w:hint="eastAsia" w:ascii="宋体" w:hAnsi="宋体" w:eastAsia="宋体" w:cs="宋体"/>
          <w:spacing w:val="-2"/>
          <w:sz w:val="28"/>
          <w:szCs w:val="28"/>
        </w:rPr>
        <w:t>3个</w:t>
      </w:r>
      <w:r>
        <w:rPr>
          <w:rFonts w:hint="eastAsia" w:ascii="宋体" w:hAnsi="宋体" w:eastAsia="宋体" w:cs="宋体"/>
          <w:spacing w:val="-4"/>
          <w:sz w:val="28"/>
          <w:szCs w:val="28"/>
        </w:rPr>
        <w:t>卧式埋地双层储罐</w:t>
      </w:r>
      <w:r>
        <w:rPr>
          <w:rFonts w:hint="eastAsia" w:ascii="宋体" w:hAnsi="宋体" w:eastAsia="宋体" w:cs="宋体"/>
          <w:spacing w:val="-2"/>
          <w:sz w:val="28"/>
          <w:szCs w:val="28"/>
        </w:rPr>
        <w:t>，其中2台30m</w:t>
      </w:r>
      <w:r>
        <w:rPr>
          <w:rFonts w:hint="eastAsia" w:ascii="宋体" w:hAnsi="宋体" w:eastAsia="宋体" w:cs="宋体"/>
          <w:spacing w:val="-2"/>
          <w:sz w:val="28"/>
          <w:szCs w:val="28"/>
          <w:vertAlign w:val="superscript"/>
        </w:rPr>
        <w:t>3</w:t>
      </w:r>
      <w:r>
        <w:rPr>
          <w:rFonts w:hint="eastAsia" w:ascii="宋体" w:hAnsi="宋体" w:eastAsia="宋体" w:cs="宋体"/>
          <w:spacing w:val="-2"/>
          <w:sz w:val="28"/>
          <w:szCs w:val="28"/>
        </w:rPr>
        <w:t>的</w:t>
      </w:r>
      <w:r>
        <w:rPr>
          <w:rFonts w:hint="eastAsia" w:ascii="宋体" w:hAnsi="宋体" w:eastAsia="宋体" w:cs="宋体"/>
          <w:sz w:val="28"/>
          <w:szCs w:val="28"/>
        </w:rPr>
        <w:t>0#</w:t>
      </w:r>
      <w:r>
        <w:rPr>
          <w:rFonts w:hint="eastAsia" w:ascii="宋体" w:hAnsi="宋体" w:eastAsia="宋体" w:cs="宋体"/>
          <w:spacing w:val="-2"/>
          <w:sz w:val="28"/>
          <w:szCs w:val="28"/>
        </w:rPr>
        <w:t>柴油卧式储罐，1台30m</w:t>
      </w:r>
      <w:r>
        <w:rPr>
          <w:rFonts w:hint="eastAsia" w:ascii="宋体" w:hAnsi="宋体" w:eastAsia="宋体" w:cs="宋体"/>
          <w:spacing w:val="-2"/>
          <w:sz w:val="28"/>
          <w:szCs w:val="28"/>
          <w:vertAlign w:val="superscript"/>
        </w:rPr>
        <w:t>3</w:t>
      </w:r>
      <w:r>
        <w:rPr>
          <w:rFonts w:hint="eastAsia" w:ascii="宋体" w:hAnsi="宋体" w:eastAsia="宋体" w:cs="宋体"/>
          <w:spacing w:val="-2"/>
          <w:sz w:val="28"/>
          <w:szCs w:val="28"/>
        </w:rPr>
        <w:t>的92#汽油卧式储罐，</w:t>
      </w:r>
      <w:r>
        <w:rPr>
          <w:rFonts w:hint="eastAsia" w:ascii="宋体" w:hAnsi="宋体" w:eastAsia="宋体" w:cs="宋体"/>
          <w:sz w:val="28"/>
          <w:szCs w:val="28"/>
        </w:rPr>
        <w:t>总容积为90m</w:t>
      </w:r>
      <w:r>
        <w:rPr>
          <w:rFonts w:hint="eastAsia" w:ascii="宋体" w:hAnsi="宋体" w:eastAsia="宋体" w:cs="宋体"/>
          <w:sz w:val="28"/>
          <w:szCs w:val="28"/>
          <w:vertAlign w:val="superscript"/>
        </w:rPr>
        <w:t>3</w:t>
      </w:r>
      <w:r>
        <w:rPr>
          <w:rFonts w:hint="eastAsia" w:ascii="宋体" w:hAnsi="宋体" w:eastAsia="宋体" w:cs="宋体"/>
          <w:sz w:val="28"/>
          <w:szCs w:val="28"/>
        </w:rPr>
        <w:t>，</w:t>
      </w:r>
      <w:r>
        <w:rPr>
          <w:rFonts w:hint="eastAsia" w:ascii="宋体" w:hAnsi="宋体" w:cs="宋体"/>
          <w:sz w:val="28"/>
          <w:szCs w:val="28"/>
          <w:lang w:val="en-US" w:eastAsia="zh-CN"/>
        </w:rPr>
        <w:t>按柴油</w:t>
      </w:r>
      <w:r>
        <w:rPr>
          <w:rFonts w:hint="eastAsia" w:ascii="宋体" w:hAnsi="宋体" w:eastAsia="宋体" w:cs="宋体"/>
          <w:sz w:val="28"/>
          <w:szCs w:val="28"/>
        </w:rPr>
        <w:t>折算后容积为60m</w:t>
      </w:r>
      <w:r>
        <w:rPr>
          <w:rFonts w:hint="eastAsia" w:ascii="宋体" w:hAnsi="宋体" w:eastAsia="宋体" w:cs="宋体"/>
          <w:sz w:val="28"/>
          <w:szCs w:val="28"/>
          <w:vertAlign w:val="superscript"/>
        </w:rPr>
        <w:t>3</w:t>
      </w:r>
      <w:r>
        <w:rPr>
          <w:rFonts w:hint="eastAsia" w:ascii="宋体" w:hAnsi="宋体" w:eastAsia="宋体" w:cs="宋体"/>
          <w:sz w:val="28"/>
          <w:szCs w:val="28"/>
        </w:rPr>
        <w:t>，</w:t>
      </w:r>
      <w:r>
        <w:rPr>
          <w:rFonts w:hint="eastAsia" w:ascii="宋体" w:hAnsi="宋体" w:cs="宋体"/>
          <w:sz w:val="28"/>
          <w:szCs w:val="28"/>
          <w:lang w:val="en-US" w:eastAsia="zh-CN"/>
        </w:rPr>
        <w:t>该站</w:t>
      </w:r>
      <w:r>
        <w:rPr>
          <w:rFonts w:hint="eastAsia" w:ascii="宋体" w:hAnsi="宋体" w:eastAsia="宋体" w:cs="宋体"/>
          <w:sz w:val="28"/>
          <w:szCs w:val="28"/>
        </w:rPr>
        <w:t>属于三级</w:t>
      </w:r>
      <w:r>
        <w:rPr>
          <w:rFonts w:hint="eastAsia" w:ascii="宋体" w:hAnsi="宋体" w:cs="宋体"/>
          <w:sz w:val="28"/>
          <w:szCs w:val="28"/>
          <w:lang w:val="en-US" w:eastAsia="zh-CN"/>
        </w:rPr>
        <w:t>加油</w:t>
      </w:r>
      <w:r>
        <w:rPr>
          <w:rFonts w:hint="eastAsia" w:ascii="宋体" w:hAnsi="宋体" w:eastAsia="宋体" w:cs="宋体"/>
          <w:sz w:val="28"/>
          <w:szCs w:val="28"/>
        </w:rPr>
        <w:t>站。</w:t>
      </w:r>
    </w:p>
    <w:p w14:paraId="65A0F2EF">
      <w:pPr>
        <w:spacing w:line="360" w:lineRule="auto"/>
        <w:ind w:firstLine="560" w:firstLineChars="200"/>
        <w:jc w:val="left"/>
        <w:rPr>
          <w:rFonts w:hAnsi="宋体" w:cs="Times New Roman"/>
          <w:sz w:val="28"/>
          <w:szCs w:val="28"/>
        </w:rPr>
      </w:pPr>
      <w:r>
        <w:rPr>
          <w:rFonts w:hint="eastAsia" w:ascii="宋体" w:hAnsi="宋体" w:eastAsia="宋体" w:cs="宋体"/>
          <w:sz w:val="28"/>
          <w:szCs w:val="28"/>
        </w:rPr>
        <w:t>加油站在20</w:t>
      </w:r>
      <w:r>
        <w:rPr>
          <w:rFonts w:hint="eastAsia" w:ascii="宋体" w:hAnsi="宋体" w:eastAsia="宋体" w:cs="宋体"/>
          <w:sz w:val="28"/>
          <w:szCs w:val="28"/>
          <w:lang w:val="en-US" w:eastAsia="zh-CN"/>
        </w:rPr>
        <w:t>21</w:t>
      </w:r>
      <w:r>
        <w:rPr>
          <w:rFonts w:hint="eastAsia" w:ascii="宋体" w:hAnsi="宋体" w:eastAsia="宋体" w:cs="宋体"/>
          <w:sz w:val="28"/>
          <w:szCs w:val="28"/>
        </w:rPr>
        <w:t>年</w:t>
      </w:r>
      <w:r>
        <w:rPr>
          <w:rFonts w:hint="eastAsia" w:ascii="宋体" w:hAnsi="宋体" w:eastAsia="宋体" w:cs="宋体"/>
          <w:sz w:val="28"/>
          <w:szCs w:val="28"/>
          <w:lang w:val="en-US" w:eastAsia="zh-CN"/>
        </w:rPr>
        <w:t>6</w:t>
      </w:r>
      <w:r>
        <w:rPr>
          <w:rFonts w:hint="eastAsia" w:ascii="宋体" w:hAnsi="宋体" w:eastAsia="宋体" w:cs="宋体"/>
          <w:sz w:val="28"/>
          <w:szCs w:val="28"/>
        </w:rPr>
        <w:t>月2</w:t>
      </w:r>
      <w:r>
        <w:rPr>
          <w:rFonts w:hint="eastAsia" w:ascii="宋体" w:hAnsi="宋体" w:eastAsia="宋体" w:cs="宋体"/>
          <w:sz w:val="28"/>
          <w:szCs w:val="28"/>
          <w:lang w:val="en-US" w:eastAsia="zh-CN"/>
        </w:rPr>
        <w:t>5</w:t>
      </w:r>
      <w:r>
        <w:rPr>
          <w:rFonts w:hint="eastAsia" w:ascii="宋体" w:hAnsi="宋体" w:eastAsia="宋体" w:cs="宋体"/>
          <w:sz w:val="28"/>
          <w:szCs w:val="28"/>
        </w:rPr>
        <w:t>日取得上饶市应急管理局颁发的危险化学品经营许可证，证号：赣饶</w:t>
      </w:r>
      <w:r>
        <w:rPr>
          <w:rFonts w:hint="eastAsia" w:ascii="宋体" w:hAnsi="宋体" w:cs="宋体"/>
          <w:sz w:val="28"/>
          <w:szCs w:val="28"/>
          <w:lang w:val="en-US" w:eastAsia="zh-CN"/>
        </w:rPr>
        <w:t>应急危化</w:t>
      </w:r>
      <w:r>
        <w:rPr>
          <w:rFonts w:hint="eastAsia" w:ascii="宋体" w:hAnsi="宋体" w:eastAsia="宋体" w:cs="宋体"/>
          <w:sz w:val="28"/>
          <w:szCs w:val="28"/>
        </w:rPr>
        <w:t>经</w:t>
      </w:r>
      <w:r>
        <w:rPr>
          <w:rFonts w:hint="eastAsia" w:ascii="宋体" w:hAnsi="宋体" w:cs="宋体"/>
          <w:sz w:val="28"/>
          <w:szCs w:val="28"/>
          <w:lang w:val="en-US" w:eastAsia="zh-CN"/>
        </w:rPr>
        <w:t>许</w:t>
      </w:r>
      <w:r>
        <w:rPr>
          <w:rFonts w:hint="eastAsia" w:ascii="宋体" w:hAnsi="宋体" w:eastAsia="宋体" w:cs="宋体"/>
          <w:sz w:val="28"/>
          <w:szCs w:val="28"/>
        </w:rPr>
        <w:t>字［20</w:t>
      </w:r>
      <w:r>
        <w:rPr>
          <w:rFonts w:hint="eastAsia" w:ascii="宋体" w:hAnsi="宋体" w:eastAsia="宋体" w:cs="宋体"/>
          <w:sz w:val="28"/>
          <w:szCs w:val="28"/>
          <w:lang w:val="en-US" w:eastAsia="zh-CN"/>
        </w:rPr>
        <w:t>21</w:t>
      </w:r>
      <w:r>
        <w:rPr>
          <w:rFonts w:hint="eastAsia" w:ascii="宋体" w:hAnsi="宋体" w:eastAsia="宋体" w:cs="宋体"/>
          <w:sz w:val="28"/>
          <w:szCs w:val="28"/>
        </w:rPr>
        <w:t>］</w:t>
      </w:r>
      <w:r>
        <w:rPr>
          <w:rFonts w:hint="eastAsia" w:ascii="宋体" w:hAnsi="宋体" w:eastAsia="宋体" w:cs="宋体"/>
          <w:sz w:val="28"/>
          <w:szCs w:val="28"/>
          <w:lang w:val="en-US" w:eastAsia="zh-CN"/>
        </w:rPr>
        <w:t>0625079</w:t>
      </w:r>
      <w:r>
        <w:rPr>
          <w:rFonts w:hint="eastAsia" w:ascii="宋体" w:hAnsi="宋体" w:eastAsia="宋体" w:cs="宋体"/>
          <w:sz w:val="28"/>
          <w:szCs w:val="28"/>
        </w:rPr>
        <w:t>号，有效期为20</w:t>
      </w:r>
      <w:r>
        <w:rPr>
          <w:rFonts w:hint="eastAsia" w:ascii="宋体" w:hAnsi="宋体" w:eastAsia="宋体" w:cs="宋体"/>
          <w:sz w:val="28"/>
          <w:szCs w:val="28"/>
          <w:lang w:val="en-US" w:eastAsia="zh-CN"/>
        </w:rPr>
        <w:t>21</w:t>
      </w:r>
      <w:r>
        <w:rPr>
          <w:rFonts w:hint="eastAsia" w:ascii="宋体" w:hAnsi="宋体" w:eastAsia="宋体" w:cs="宋体"/>
          <w:sz w:val="28"/>
          <w:szCs w:val="28"/>
        </w:rPr>
        <w:t>年7月11日至202</w:t>
      </w:r>
      <w:r>
        <w:rPr>
          <w:rFonts w:hint="eastAsia" w:ascii="宋体" w:hAnsi="宋体" w:eastAsia="宋体" w:cs="宋体"/>
          <w:sz w:val="28"/>
          <w:szCs w:val="28"/>
          <w:lang w:val="en-US" w:eastAsia="zh-CN"/>
        </w:rPr>
        <w:t>4</w:t>
      </w:r>
      <w:r>
        <w:rPr>
          <w:rFonts w:hint="eastAsia" w:ascii="宋体" w:hAnsi="宋体" w:eastAsia="宋体" w:cs="宋体"/>
          <w:sz w:val="28"/>
          <w:szCs w:val="28"/>
        </w:rPr>
        <w:t>年7月10日，许可经营范围为汽油、柴油。</w:t>
      </w:r>
    </w:p>
    <w:p w14:paraId="734BEA25">
      <w:pPr>
        <w:tabs>
          <w:tab w:val="left" w:pos="3465"/>
        </w:tabs>
        <w:spacing w:line="360" w:lineRule="auto"/>
        <w:ind w:firstLine="560" w:firstLineChars="200"/>
        <w:rPr>
          <w:rFonts w:cs="Times New Roman"/>
          <w:sz w:val="28"/>
          <w:szCs w:val="28"/>
        </w:rPr>
      </w:pPr>
      <w:r>
        <w:rPr>
          <w:rFonts w:hint="eastAsia" w:cs="宋体"/>
          <w:sz w:val="28"/>
          <w:szCs w:val="28"/>
        </w:rPr>
        <w:t>加油站基本情况见表</w:t>
      </w:r>
      <w:r>
        <w:rPr>
          <w:rFonts w:hint="eastAsia" w:ascii="宋体" w:hAnsi="宋体" w:eastAsia="宋体" w:cs="宋体"/>
          <w:sz w:val="28"/>
          <w:szCs w:val="28"/>
        </w:rPr>
        <w:t>2-1。</w:t>
      </w:r>
    </w:p>
    <w:p w14:paraId="2675DBBD">
      <w:pPr>
        <w:keepNext w:val="0"/>
        <w:keepLines w:val="0"/>
        <w:pageBreakBefore w:val="0"/>
        <w:widowControl w:val="0"/>
        <w:tabs>
          <w:tab w:val="left" w:pos="3465"/>
        </w:tabs>
        <w:kinsoku/>
        <w:wordWrap/>
        <w:overflowPunct/>
        <w:topLinePunct w:val="0"/>
        <w:autoSpaceDE/>
        <w:autoSpaceDN/>
        <w:bidi w:val="0"/>
        <w:adjustRightInd/>
        <w:snapToGrid/>
        <w:spacing w:before="313" w:beforeLines="10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表2-1加油站基本情况</w:t>
      </w:r>
    </w:p>
    <w:tbl>
      <w:tblPr>
        <w:tblStyle w:val="19"/>
        <w:tblW w:w="9219"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
        <w:gridCol w:w="441"/>
        <w:gridCol w:w="636"/>
        <w:gridCol w:w="438"/>
        <w:gridCol w:w="333"/>
        <w:gridCol w:w="129"/>
        <w:gridCol w:w="207"/>
        <w:gridCol w:w="715"/>
        <w:gridCol w:w="201"/>
        <w:gridCol w:w="332"/>
        <w:gridCol w:w="360"/>
        <w:gridCol w:w="709"/>
        <w:gridCol w:w="474"/>
        <w:gridCol w:w="222"/>
        <w:gridCol w:w="63"/>
        <w:gridCol w:w="484"/>
        <w:gridCol w:w="521"/>
        <w:gridCol w:w="174"/>
        <w:gridCol w:w="192"/>
        <w:gridCol w:w="424"/>
        <w:gridCol w:w="1179"/>
      </w:tblGrid>
      <w:tr w14:paraId="10B22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1426" w:type="dxa"/>
            <w:gridSpan w:val="2"/>
            <w:vAlign w:val="center"/>
          </w:tcPr>
          <w:p w14:paraId="733650AB">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企业名称</w:t>
            </w:r>
          </w:p>
        </w:tc>
        <w:tc>
          <w:tcPr>
            <w:tcW w:w="7793" w:type="dxa"/>
            <w:gridSpan w:val="19"/>
            <w:vAlign w:val="center"/>
          </w:tcPr>
          <w:p w14:paraId="6A8E8898">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中国石化销售有限公司江西余干石油分公司社庚加油站</w:t>
            </w:r>
          </w:p>
        </w:tc>
      </w:tr>
      <w:tr w14:paraId="6145A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1426" w:type="dxa"/>
            <w:gridSpan w:val="2"/>
            <w:vAlign w:val="center"/>
          </w:tcPr>
          <w:p w14:paraId="19359650">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注册地址</w:t>
            </w:r>
          </w:p>
        </w:tc>
        <w:tc>
          <w:tcPr>
            <w:tcW w:w="7793" w:type="dxa"/>
            <w:gridSpan w:val="19"/>
            <w:vAlign w:val="center"/>
          </w:tcPr>
          <w:p w14:paraId="2BE4D6C2">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江西省上饶市余干县社庚乡社庚街</w:t>
            </w:r>
          </w:p>
        </w:tc>
      </w:tr>
      <w:tr w14:paraId="5E5A2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1426" w:type="dxa"/>
            <w:gridSpan w:val="2"/>
            <w:vAlign w:val="center"/>
          </w:tcPr>
          <w:p w14:paraId="0CE78DDB">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联系电话</w:t>
            </w:r>
          </w:p>
        </w:tc>
        <w:tc>
          <w:tcPr>
            <w:tcW w:w="1743" w:type="dxa"/>
            <w:gridSpan w:val="5"/>
            <w:vAlign w:val="center"/>
          </w:tcPr>
          <w:p w14:paraId="1E28406D">
            <w:pPr>
              <w:spacing w:line="260" w:lineRule="exact"/>
              <w:jc w:val="center"/>
              <w:rPr>
                <w:rFonts w:hint="eastAsia" w:ascii="宋体" w:hAnsi="宋体" w:eastAsia="宋体" w:cs="宋体"/>
                <w:sz w:val="21"/>
                <w:szCs w:val="21"/>
              </w:rPr>
            </w:pPr>
            <w:r>
              <w:rPr>
                <w:rFonts w:hint="eastAsia" w:ascii="宋体" w:hAnsi="宋体" w:eastAsia="宋体" w:cs="宋体"/>
                <w:color w:val="000000"/>
                <w:sz w:val="21"/>
                <w:szCs w:val="21"/>
              </w:rPr>
              <w:t>13807932870</w:t>
            </w:r>
          </w:p>
        </w:tc>
        <w:tc>
          <w:tcPr>
            <w:tcW w:w="1248" w:type="dxa"/>
            <w:gridSpan w:val="3"/>
            <w:vAlign w:val="center"/>
          </w:tcPr>
          <w:p w14:paraId="42105F20">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传真</w:t>
            </w:r>
          </w:p>
        </w:tc>
        <w:tc>
          <w:tcPr>
            <w:tcW w:w="1765" w:type="dxa"/>
            <w:gridSpan w:val="4"/>
            <w:vAlign w:val="center"/>
          </w:tcPr>
          <w:p w14:paraId="02385B68">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w:t>
            </w:r>
          </w:p>
        </w:tc>
        <w:tc>
          <w:tcPr>
            <w:tcW w:w="1434" w:type="dxa"/>
            <w:gridSpan w:val="5"/>
            <w:vAlign w:val="center"/>
          </w:tcPr>
          <w:p w14:paraId="1C732C95">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邮政编码</w:t>
            </w:r>
          </w:p>
        </w:tc>
        <w:tc>
          <w:tcPr>
            <w:tcW w:w="1603" w:type="dxa"/>
            <w:gridSpan w:val="2"/>
            <w:vAlign w:val="center"/>
          </w:tcPr>
          <w:p w14:paraId="64473678">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335100</w:t>
            </w:r>
          </w:p>
        </w:tc>
      </w:tr>
      <w:tr w14:paraId="17DDF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trPr>
        <w:tc>
          <w:tcPr>
            <w:tcW w:w="1426" w:type="dxa"/>
            <w:gridSpan w:val="2"/>
            <w:vAlign w:val="center"/>
          </w:tcPr>
          <w:p w14:paraId="253AD333">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主管单位</w:t>
            </w:r>
          </w:p>
        </w:tc>
        <w:tc>
          <w:tcPr>
            <w:tcW w:w="7793" w:type="dxa"/>
            <w:gridSpan w:val="19"/>
            <w:vAlign w:val="center"/>
          </w:tcPr>
          <w:p w14:paraId="7A31783D">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 xml:space="preserve"> 中国石化销售股份有限公司                                                                                                                                                                                                                                                                                                                                                                                                                                                                                                                                                                                                                              </w:t>
            </w:r>
          </w:p>
        </w:tc>
      </w:tr>
      <w:tr w14:paraId="6C502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trPr>
        <w:tc>
          <w:tcPr>
            <w:tcW w:w="1426" w:type="dxa"/>
            <w:gridSpan w:val="2"/>
            <w:vAlign w:val="center"/>
          </w:tcPr>
          <w:p w14:paraId="4DB65111">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登记机关</w:t>
            </w:r>
          </w:p>
        </w:tc>
        <w:tc>
          <w:tcPr>
            <w:tcW w:w="7793" w:type="dxa"/>
            <w:gridSpan w:val="19"/>
            <w:vAlign w:val="center"/>
          </w:tcPr>
          <w:p w14:paraId="711F47A6">
            <w:pPr>
              <w:spacing w:line="260" w:lineRule="exact"/>
              <w:jc w:val="center"/>
              <w:rPr>
                <w:rFonts w:hint="eastAsia" w:ascii="宋体" w:hAnsi="宋体" w:eastAsia="宋体" w:cs="宋体"/>
                <w:sz w:val="21"/>
                <w:szCs w:val="21"/>
              </w:rPr>
            </w:pPr>
            <w:r>
              <w:rPr>
                <w:rFonts w:hint="eastAsia" w:ascii="宋体" w:hAnsi="宋体" w:eastAsia="宋体" w:cs="宋体"/>
                <w:color w:val="000000"/>
                <w:sz w:val="21"/>
                <w:szCs w:val="21"/>
              </w:rPr>
              <w:t>上饶市市场监督管理局</w:t>
            </w:r>
          </w:p>
        </w:tc>
      </w:tr>
      <w:tr w14:paraId="0F744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trPr>
        <w:tc>
          <w:tcPr>
            <w:tcW w:w="1426" w:type="dxa"/>
            <w:gridSpan w:val="2"/>
            <w:vAlign w:val="center"/>
          </w:tcPr>
          <w:p w14:paraId="068DC9E6">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法定代表人</w:t>
            </w:r>
          </w:p>
        </w:tc>
        <w:tc>
          <w:tcPr>
            <w:tcW w:w="2991" w:type="dxa"/>
            <w:gridSpan w:val="8"/>
            <w:vAlign w:val="center"/>
          </w:tcPr>
          <w:p w14:paraId="295737B6">
            <w:pPr>
              <w:spacing w:line="26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查宏辉</w:t>
            </w:r>
          </w:p>
        </w:tc>
        <w:tc>
          <w:tcPr>
            <w:tcW w:w="1543" w:type="dxa"/>
            <w:gridSpan w:val="3"/>
            <w:vAlign w:val="center"/>
          </w:tcPr>
          <w:p w14:paraId="695C73D7">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主管负责人</w:t>
            </w:r>
          </w:p>
        </w:tc>
        <w:tc>
          <w:tcPr>
            <w:tcW w:w="3259" w:type="dxa"/>
            <w:gridSpan w:val="8"/>
            <w:vAlign w:val="center"/>
          </w:tcPr>
          <w:p w14:paraId="0F52EEC2">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齐浩</w:t>
            </w:r>
          </w:p>
        </w:tc>
      </w:tr>
      <w:tr w14:paraId="58F39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4" w:hRule="atLeast"/>
        </w:trPr>
        <w:tc>
          <w:tcPr>
            <w:tcW w:w="1426" w:type="dxa"/>
            <w:gridSpan w:val="2"/>
            <w:vAlign w:val="center"/>
          </w:tcPr>
          <w:p w14:paraId="7ED10236">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职工人数</w:t>
            </w:r>
          </w:p>
        </w:tc>
        <w:tc>
          <w:tcPr>
            <w:tcW w:w="1407" w:type="dxa"/>
            <w:gridSpan w:val="3"/>
            <w:vAlign w:val="center"/>
          </w:tcPr>
          <w:p w14:paraId="0292C51D">
            <w:pPr>
              <w:spacing w:line="260" w:lineRule="exact"/>
              <w:jc w:val="center"/>
              <w:rPr>
                <w:rFonts w:hint="eastAsia" w:ascii="宋体" w:hAnsi="宋体" w:eastAsia="宋体" w:cs="宋体"/>
                <w:sz w:val="21"/>
                <w:szCs w:val="21"/>
              </w:rPr>
            </w:pPr>
            <w:r>
              <w:rPr>
                <w:rFonts w:hint="eastAsia" w:ascii="宋体" w:hAnsi="宋体" w:cs="宋体"/>
                <w:sz w:val="21"/>
                <w:szCs w:val="21"/>
                <w:lang w:val="en-US" w:eastAsia="zh-CN"/>
              </w:rPr>
              <w:t>2</w:t>
            </w:r>
            <w:r>
              <w:rPr>
                <w:rFonts w:hint="eastAsia" w:ascii="宋体" w:hAnsi="宋体" w:eastAsia="宋体" w:cs="宋体"/>
                <w:sz w:val="21"/>
                <w:szCs w:val="21"/>
              </w:rPr>
              <w:t>人</w:t>
            </w:r>
          </w:p>
        </w:tc>
        <w:tc>
          <w:tcPr>
            <w:tcW w:w="1584" w:type="dxa"/>
            <w:gridSpan w:val="5"/>
            <w:vAlign w:val="center"/>
          </w:tcPr>
          <w:p w14:paraId="59F3A9C2">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安全管</w:t>
            </w:r>
          </w:p>
          <w:p w14:paraId="3A20FDD0">
            <w:pPr>
              <w:spacing w:line="260" w:lineRule="exact"/>
              <w:jc w:val="center"/>
              <w:rPr>
                <w:rFonts w:hint="eastAsia" w:ascii="宋体" w:hAnsi="宋体" w:eastAsia="宋体" w:cs="宋体"/>
                <w:sz w:val="21"/>
                <w:szCs w:val="21"/>
                <w:lang w:eastAsia="zh-CN"/>
              </w:rPr>
            </w:pPr>
            <w:r>
              <w:rPr>
                <w:rFonts w:hint="eastAsia" w:ascii="宋体" w:hAnsi="宋体" w:eastAsia="宋体" w:cs="宋体"/>
                <w:sz w:val="21"/>
                <w:szCs w:val="21"/>
              </w:rPr>
              <w:t>理人数</w:t>
            </w:r>
          </w:p>
        </w:tc>
        <w:tc>
          <w:tcPr>
            <w:tcW w:w="1543" w:type="dxa"/>
            <w:gridSpan w:val="3"/>
            <w:vAlign w:val="center"/>
          </w:tcPr>
          <w:p w14:paraId="48FE0E4F">
            <w:pPr>
              <w:spacing w:line="260" w:lineRule="exact"/>
              <w:jc w:val="center"/>
              <w:rPr>
                <w:rFonts w:hint="eastAsia"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cs="宋体"/>
                <w:sz w:val="21"/>
                <w:szCs w:val="21"/>
                <w:lang w:val="en-US" w:eastAsia="zh-CN"/>
              </w:rPr>
              <w:t>人</w:t>
            </w:r>
          </w:p>
        </w:tc>
        <w:tc>
          <w:tcPr>
            <w:tcW w:w="1464" w:type="dxa"/>
            <w:gridSpan w:val="5"/>
            <w:vAlign w:val="center"/>
          </w:tcPr>
          <w:p w14:paraId="169F6DCC">
            <w:pPr>
              <w:spacing w:line="260" w:lineRule="exact"/>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员工</w:t>
            </w:r>
          </w:p>
        </w:tc>
        <w:tc>
          <w:tcPr>
            <w:tcW w:w="1795" w:type="dxa"/>
            <w:gridSpan w:val="3"/>
            <w:vAlign w:val="center"/>
          </w:tcPr>
          <w:p w14:paraId="4FD5D5C9">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1人</w:t>
            </w:r>
          </w:p>
        </w:tc>
      </w:tr>
      <w:tr w14:paraId="63264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trPr>
        <w:tc>
          <w:tcPr>
            <w:tcW w:w="1426" w:type="dxa"/>
            <w:gridSpan w:val="2"/>
            <w:vMerge w:val="restart"/>
            <w:vAlign w:val="center"/>
          </w:tcPr>
          <w:p w14:paraId="3EA20FF6">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经营场所</w:t>
            </w:r>
          </w:p>
          <w:p w14:paraId="2BB599AD">
            <w:pPr>
              <w:spacing w:line="260" w:lineRule="exact"/>
              <w:jc w:val="center"/>
              <w:rPr>
                <w:rFonts w:hint="eastAsia" w:ascii="宋体" w:hAnsi="宋体" w:eastAsia="宋体" w:cs="宋体"/>
                <w:sz w:val="21"/>
                <w:szCs w:val="21"/>
              </w:rPr>
            </w:pPr>
          </w:p>
        </w:tc>
        <w:tc>
          <w:tcPr>
            <w:tcW w:w="1407" w:type="dxa"/>
            <w:gridSpan w:val="3"/>
            <w:vAlign w:val="center"/>
          </w:tcPr>
          <w:p w14:paraId="09652B13">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地址</w:t>
            </w:r>
          </w:p>
        </w:tc>
        <w:tc>
          <w:tcPr>
            <w:tcW w:w="6386" w:type="dxa"/>
            <w:gridSpan w:val="16"/>
            <w:vAlign w:val="center"/>
          </w:tcPr>
          <w:p w14:paraId="7AE35CDD">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江西省上饶市余干县社庚乡社庚街</w:t>
            </w:r>
          </w:p>
        </w:tc>
      </w:tr>
      <w:tr w14:paraId="6A6BE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trPr>
        <w:tc>
          <w:tcPr>
            <w:tcW w:w="1426" w:type="dxa"/>
            <w:gridSpan w:val="2"/>
            <w:vMerge w:val="continue"/>
            <w:vAlign w:val="center"/>
          </w:tcPr>
          <w:p w14:paraId="1BD9945B">
            <w:pPr>
              <w:spacing w:line="260" w:lineRule="exact"/>
              <w:jc w:val="center"/>
              <w:rPr>
                <w:rFonts w:hint="eastAsia" w:ascii="宋体" w:hAnsi="宋体" w:eastAsia="宋体" w:cs="宋体"/>
                <w:sz w:val="21"/>
                <w:szCs w:val="21"/>
              </w:rPr>
            </w:pPr>
          </w:p>
        </w:tc>
        <w:tc>
          <w:tcPr>
            <w:tcW w:w="1407" w:type="dxa"/>
            <w:gridSpan w:val="3"/>
            <w:vAlign w:val="center"/>
          </w:tcPr>
          <w:p w14:paraId="4A1D4BF9">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产权</w:t>
            </w:r>
          </w:p>
        </w:tc>
        <w:tc>
          <w:tcPr>
            <w:tcW w:w="6386" w:type="dxa"/>
            <w:gridSpan w:val="16"/>
            <w:vAlign w:val="center"/>
          </w:tcPr>
          <w:p w14:paraId="4DCF178F">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 xml:space="preserve">自有■     租赁□       承包□  </w:t>
            </w:r>
          </w:p>
        </w:tc>
      </w:tr>
      <w:tr w14:paraId="42B5C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0" w:hRule="atLeast"/>
        </w:trPr>
        <w:tc>
          <w:tcPr>
            <w:tcW w:w="1426" w:type="dxa"/>
            <w:gridSpan w:val="2"/>
            <w:vMerge w:val="restart"/>
            <w:vAlign w:val="center"/>
          </w:tcPr>
          <w:p w14:paraId="524B87F6">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储存设施</w:t>
            </w:r>
          </w:p>
          <w:p w14:paraId="2F0BEE45">
            <w:pPr>
              <w:spacing w:line="260" w:lineRule="exact"/>
              <w:jc w:val="center"/>
              <w:rPr>
                <w:rFonts w:hint="eastAsia" w:ascii="宋体" w:hAnsi="宋体" w:eastAsia="宋体" w:cs="宋体"/>
                <w:sz w:val="21"/>
                <w:szCs w:val="21"/>
              </w:rPr>
            </w:pPr>
          </w:p>
        </w:tc>
        <w:tc>
          <w:tcPr>
            <w:tcW w:w="1407" w:type="dxa"/>
            <w:gridSpan w:val="3"/>
            <w:vAlign w:val="center"/>
          </w:tcPr>
          <w:p w14:paraId="035334B8">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地址</w:t>
            </w:r>
          </w:p>
        </w:tc>
        <w:tc>
          <w:tcPr>
            <w:tcW w:w="6386" w:type="dxa"/>
            <w:gridSpan w:val="16"/>
            <w:vAlign w:val="center"/>
          </w:tcPr>
          <w:p w14:paraId="08F2AD1F">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江西省上饶市余干县社庚乡社庚街</w:t>
            </w:r>
          </w:p>
        </w:tc>
      </w:tr>
      <w:tr w14:paraId="2EB3A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trPr>
        <w:tc>
          <w:tcPr>
            <w:tcW w:w="1426" w:type="dxa"/>
            <w:gridSpan w:val="2"/>
            <w:vMerge w:val="continue"/>
            <w:vAlign w:val="center"/>
          </w:tcPr>
          <w:p w14:paraId="1F92562C">
            <w:pPr>
              <w:spacing w:line="260" w:lineRule="exact"/>
              <w:jc w:val="center"/>
              <w:rPr>
                <w:rFonts w:hint="eastAsia" w:ascii="宋体" w:hAnsi="宋体" w:eastAsia="宋体" w:cs="宋体"/>
                <w:sz w:val="21"/>
                <w:szCs w:val="21"/>
              </w:rPr>
            </w:pPr>
          </w:p>
        </w:tc>
        <w:tc>
          <w:tcPr>
            <w:tcW w:w="1407" w:type="dxa"/>
            <w:gridSpan w:val="3"/>
            <w:vAlign w:val="center"/>
          </w:tcPr>
          <w:p w14:paraId="57E255D9">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建筑结构</w:t>
            </w:r>
          </w:p>
        </w:tc>
        <w:tc>
          <w:tcPr>
            <w:tcW w:w="2653" w:type="dxa"/>
            <w:gridSpan w:val="7"/>
            <w:vAlign w:val="center"/>
          </w:tcPr>
          <w:p w14:paraId="0803E69F">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SF双层</w:t>
            </w:r>
          </w:p>
        </w:tc>
        <w:tc>
          <w:tcPr>
            <w:tcW w:w="1243" w:type="dxa"/>
            <w:gridSpan w:val="4"/>
            <w:vAlign w:val="center"/>
          </w:tcPr>
          <w:p w14:paraId="0F422C38">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储存能力</w:t>
            </w:r>
          </w:p>
        </w:tc>
        <w:tc>
          <w:tcPr>
            <w:tcW w:w="2490" w:type="dxa"/>
            <w:gridSpan w:val="5"/>
            <w:vAlign w:val="center"/>
          </w:tcPr>
          <w:p w14:paraId="38E36987">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90m</w:t>
            </w:r>
            <w:r>
              <w:rPr>
                <w:rFonts w:hint="eastAsia" w:ascii="宋体" w:hAnsi="宋体" w:eastAsia="宋体" w:cs="宋体"/>
                <w:sz w:val="21"/>
                <w:szCs w:val="21"/>
                <w:vertAlign w:val="superscript"/>
              </w:rPr>
              <w:t>3</w:t>
            </w:r>
          </w:p>
        </w:tc>
      </w:tr>
      <w:tr w14:paraId="4A358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trPr>
        <w:tc>
          <w:tcPr>
            <w:tcW w:w="1426" w:type="dxa"/>
            <w:gridSpan w:val="2"/>
            <w:vMerge w:val="continue"/>
            <w:vAlign w:val="center"/>
          </w:tcPr>
          <w:p w14:paraId="5E6D90D7">
            <w:pPr>
              <w:spacing w:line="260" w:lineRule="exact"/>
              <w:jc w:val="center"/>
              <w:rPr>
                <w:rFonts w:hint="eastAsia" w:ascii="宋体" w:hAnsi="宋体" w:eastAsia="宋体" w:cs="宋体"/>
                <w:sz w:val="21"/>
                <w:szCs w:val="21"/>
              </w:rPr>
            </w:pPr>
          </w:p>
        </w:tc>
        <w:tc>
          <w:tcPr>
            <w:tcW w:w="1407" w:type="dxa"/>
            <w:gridSpan w:val="3"/>
            <w:vAlign w:val="center"/>
          </w:tcPr>
          <w:p w14:paraId="2A108448">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产权</w:t>
            </w:r>
          </w:p>
        </w:tc>
        <w:tc>
          <w:tcPr>
            <w:tcW w:w="6386" w:type="dxa"/>
            <w:gridSpan w:val="16"/>
            <w:vAlign w:val="center"/>
          </w:tcPr>
          <w:p w14:paraId="2ED1BA41">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 xml:space="preserve">自有■      租赁□       承包□ </w:t>
            </w:r>
          </w:p>
        </w:tc>
      </w:tr>
      <w:tr w14:paraId="4E514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4" w:hRule="atLeast"/>
        </w:trPr>
        <w:tc>
          <w:tcPr>
            <w:tcW w:w="1426" w:type="dxa"/>
            <w:gridSpan w:val="2"/>
            <w:vAlign w:val="center"/>
          </w:tcPr>
          <w:p w14:paraId="2BBC0B86">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主要管理</w:t>
            </w:r>
          </w:p>
          <w:p w14:paraId="767DF6C2">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制度名称</w:t>
            </w:r>
          </w:p>
        </w:tc>
        <w:tc>
          <w:tcPr>
            <w:tcW w:w="7793" w:type="dxa"/>
            <w:gridSpan w:val="19"/>
          </w:tcPr>
          <w:p w14:paraId="18335F74">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安全教育培训制度</w:t>
            </w:r>
            <w:r>
              <w:rPr>
                <w:rFonts w:hint="eastAsia" w:ascii="宋体" w:hAnsi="宋体" w:cs="宋体"/>
                <w:sz w:val="21"/>
                <w:szCs w:val="21"/>
                <w:lang w:eastAsia="zh-CN"/>
              </w:rPr>
              <w:t>、</w:t>
            </w:r>
            <w:r>
              <w:rPr>
                <w:rFonts w:hint="eastAsia" w:ascii="宋体" w:hAnsi="宋体" w:eastAsia="宋体" w:cs="宋体"/>
                <w:sz w:val="21"/>
                <w:szCs w:val="21"/>
              </w:rPr>
              <w:t>应急救援预案</w:t>
            </w:r>
            <w:r>
              <w:rPr>
                <w:rFonts w:hint="eastAsia" w:ascii="宋体" w:hAnsi="宋体" w:cs="宋体"/>
                <w:sz w:val="21"/>
                <w:szCs w:val="21"/>
                <w:lang w:val="en-US" w:eastAsia="zh-CN"/>
              </w:rPr>
              <w:t>及演练制度</w:t>
            </w:r>
            <w:r>
              <w:rPr>
                <w:rFonts w:hint="eastAsia" w:ascii="宋体" w:hAnsi="宋体" w:cs="宋体"/>
                <w:sz w:val="21"/>
                <w:szCs w:val="21"/>
                <w:lang w:eastAsia="zh-CN"/>
              </w:rPr>
              <w:t>、</w:t>
            </w:r>
            <w:r>
              <w:rPr>
                <w:rFonts w:hint="eastAsia" w:ascii="宋体" w:hAnsi="宋体" w:eastAsia="宋体" w:cs="宋体"/>
                <w:sz w:val="21"/>
                <w:szCs w:val="21"/>
              </w:rPr>
              <w:t>岗位操作规程</w:t>
            </w:r>
            <w:r>
              <w:rPr>
                <w:rFonts w:hint="eastAsia" w:ascii="宋体" w:hAnsi="宋体" w:cs="宋体"/>
                <w:sz w:val="21"/>
                <w:szCs w:val="21"/>
                <w:lang w:eastAsia="zh-CN"/>
              </w:rPr>
              <w:t>、</w:t>
            </w:r>
            <w:r>
              <w:rPr>
                <w:rFonts w:hint="eastAsia" w:ascii="宋体" w:hAnsi="宋体" w:cs="宋体"/>
                <w:sz w:val="21"/>
                <w:szCs w:val="21"/>
                <w:lang w:val="en-US" w:eastAsia="zh-CN"/>
              </w:rPr>
              <w:t>个体防护用品使用制度、岗位责任制度</w:t>
            </w:r>
            <w:r>
              <w:rPr>
                <w:rFonts w:hint="eastAsia" w:ascii="宋体" w:hAnsi="宋体" w:eastAsia="宋体" w:cs="宋体"/>
                <w:sz w:val="21"/>
                <w:szCs w:val="21"/>
              </w:rPr>
              <w:t>等。</w:t>
            </w:r>
          </w:p>
        </w:tc>
      </w:tr>
      <w:tr w14:paraId="2397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9219" w:type="dxa"/>
            <w:gridSpan w:val="21"/>
            <w:vAlign w:val="center"/>
          </w:tcPr>
          <w:p w14:paraId="0F5C59D0">
            <w:pPr>
              <w:spacing w:line="260" w:lineRule="exact"/>
              <w:jc w:val="center"/>
              <w:rPr>
                <w:rFonts w:hint="eastAsia" w:ascii="宋体" w:hAnsi="宋体" w:eastAsia="宋体" w:cs="宋体"/>
                <w:sz w:val="21"/>
                <w:szCs w:val="21"/>
              </w:rPr>
            </w:pPr>
            <w:r>
              <w:rPr>
                <w:rFonts w:hint="eastAsia" w:ascii="宋体" w:hAnsi="宋体" w:eastAsia="宋体" w:cs="宋体"/>
                <w:sz w:val="21"/>
                <w:szCs w:val="21"/>
              </w:rPr>
              <w:t>主要消防安全设施工、器具配备情况</w:t>
            </w:r>
          </w:p>
        </w:tc>
      </w:tr>
      <w:tr w14:paraId="60605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500" w:type="dxa"/>
            <w:gridSpan w:val="4"/>
            <w:vAlign w:val="center"/>
          </w:tcPr>
          <w:p w14:paraId="1C8DB174">
            <w:pPr>
              <w:spacing w:line="260" w:lineRule="exact"/>
              <w:jc w:val="center"/>
              <w:rPr>
                <w:rFonts w:hint="eastAsia" w:ascii="宋体" w:hAnsi="宋体" w:eastAsia="宋体" w:cs="宋体"/>
              </w:rPr>
            </w:pPr>
            <w:r>
              <w:rPr>
                <w:rFonts w:hint="eastAsia" w:ascii="宋体" w:hAnsi="宋体" w:eastAsia="宋体" w:cs="宋体"/>
              </w:rPr>
              <w:t>名称</w:t>
            </w:r>
          </w:p>
        </w:tc>
        <w:tc>
          <w:tcPr>
            <w:tcW w:w="1384" w:type="dxa"/>
            <w:gridSpan w:val="4"/>
            <w:vAlign w:val="center"/>
          </w:tcPr>
          <w:p w14:paraId="764AC149">
            <w:pPr>
              <w:spacing w:line="260" w:lineRule="exact"/>
              <w:jc w:val="center"/>
              <w:rPr>
                <w:rFonts w:hint="eastAsia" w:ascii="宋体" w:hAnsi="宋体" w:eastAsia="宋体" w:cs="宋体"/>
              </w:rPr>
            </w:pPr>
            <w:r>
              <w:rPr>
                <w:rFonts w:hint="eastAsia" w:ascii="宋体" w:hAnsi="宋体" w:eastAsia="宋体" w:cs="宋体"/>
              </w:rPr>
              <w:t>型号、规格</w:t>
            </w:r>
          </w:p>
        </w:tc>
        <w:tc>
          <w:tcPr>
            <w:tcW w:w="893" w:type="dxa"/>
            <w:gridSpan w:val="3"/>
            <w:vAlign w:val="center"/>
          </w:tcPr>
          <w:p w14:paraId="35790ECB">
            <w:pPr>
              <w:spacing w:line="260" w:lineRule="exact"/>
              <w:jc w:val="center"/>
              <w:rPr>
                <w:rFonts w:hint="eastAsia" w:ascii="宋体" w:hAnsi="宋体" w:eastAsia="宋体" w:cs="宋体"/>
              </w:rPr>
            </w:pPr>
            <w:r>
              <w:rPr>
                <w:rFonts w:hint="eastAsia" w:ascii="宋体" w:hAnsi="宋体" w:eastAsia="宋体" w:cs="宋体"/>
              </w:rPr>
              <w:t>数量</w:t>
            </w:r>
          </w:p>
        </w:tc>
        <w:tc>
          <w:tcPr>
            <w:tcW w:w="2473" w:type="dxa"/>
            <w:gridSpan w:val="6"/>
            <w:vAlign w:val="center"/>
          </w:tcPr>
          <w:p w14:paraId="1FA843EB">
            <w:pPr>
              <w:spacing w:line="260" w:lineRule="exact"/>
              <w:jc w:val="center"/>
              <w:rPr>
                <w:rFonts w:hint="eastAsia" w:ascii="宋体" w:hAnsi="宋体" w:eastAsia="宋体" w:cs="宋体"/>
              </w:rPr>
            </w:pPr>
            <w:r>
              <w:rPr>
                <w:rFonts w:hint="eastAsia" w:ascii="宋体" w:hAnsi="宋体" w:eastAsia="宋体" w:cs="宋体"/>
              </w:rPr>
              <w:t>状况</w:t>
            </w:r>
          </w:p>
        </w:tc>
        <w:tc>
          <w:tcPr>
            <w:tcW w:w="1969" w:type="dxa"/>
            <w:gridSpan w:val="4"/>
            <w:vAlign w:val="center"/>
          </w:tcPr>
          <w:p w14:paraId="1C293129">
            <w:pPr>
              <w:spacing w:line="260" w:lineRule="exact"/>
              <w:jc w:val="center"/>
              <w:rPr>
                <w:rFonts w:hint="eastAsia" w:ascii="宋体" w:hAnsi="宋体" w:eastAsia="宋体" w:cs="宋体"/>
              </w:rPr>
            </w:pPr>
            <w:r>
              <w:rPr>
                <w:rFonts w:hint="eastAsia" w:ascii="宋体" w:hAnsi="宋体" w:eastAsia="宋体" w:cs="宋体"/>
              </w:rPr>
              <w:t>备注</w:t>
            </w:r>
          </w:p>
        </w:tc>
      </w:tr>
      <w:tr w14:paraId="5794F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500" w:type="dxa"/>
            <w:gridSpan w:val="4"/>
            <w:vAlign w:val="center"/>
          </w:tcPr>
          <w:p w14:paraId="072C876E">
            <w:pPr>
              <w:spacing w:line="260" w:lineRule="exact"/>
              <w:jc w:val="center"/>
              <w:rPr>
                <w:rFonts w:hint="default" w:ascii="宋体" w:hAnsi="宋体" w:eastAsia="宋体" w:cs="宋体"/>
                <w:lang w:val="en-US" w:eastAsia="zh-CN"/>
              </w:rPr>
            </w:pPr>
            <w:r>
              <w:rPr>
                <w:rFonts w:hint="eastAsia" w:ascii="宋体" w:hAnsi="宋体" w:cs="宋体"/>
                <w:lang w:val="en-US" w:eastAsia="zh-CN"/>
              </w:rPr>
              <w:t>35kg</w:t>
            </w:r>
            <w:r>
              <w:rPr>
                <w:rFonts w:hint="eastAsia" w:ascii="宋体" w:hAnsi="宋体" w:eastAsia="宋体" w:cs="宋体"/>
              </w:rPr>
              <w:t>推车</w:t>
            </w:r>
            <w:r>
              <w:rPr>
                <w:rFonts w:hint="eastAsia" w:ascii="宋体" w:hAnsi="宋体" w:cs="宋体"/>
                <w:lang w:val="en-US" w:eastAsia="zh-CN"/>
              </w:rPr>
              <w:t>式干粉灭火器</w:t>
            </w:r>
          </w:p>
        </w:tc>
        <w:tc>
          <w:tcPr>
            <w:tcW w:w="1384" w:type="dxa"/>
            <w:gridSpan w:val="4"/>
            <w:vAlign w:val="center"/>
          </w:tcPr>
          <w:p w14:paraId="07E9391C">
            <w:pPr>
              <w:spacing w:line="260" w:lineRule="exact"/>
              <w:jc w:val="center"/>
              <w:rPr>
                <w:rFonts w:hint="eastAsia" w:ascii="宋体" w:hAnsi="宋体" w:eastAsia="宋体" w:cs="宋体"/>
              </w:rPr>
            </w:pPr>
            <w:r>
              <w:rPr>
                <w:rFonts w:hint="eastAsia" w:ascii="宋体" w:hAnsi="宋体" w:eastAsia="宋体" w:cs="宋体"/>
              </w:rPr>
              <w:t>MFTZ35</w:t>
            </w:r>
          </w:p>
        </w:tc>
        <w:tc>
          <w:tcPr>
            <w:tcW w:w="893" w:type="dxa"/>
            <w:gridSpan w:val="3"/>
            <w:vAlign w:val="center"/>
          </w:tcPr>
          <w:p w14:paraId="20C349B6">
            <w:pPr>
              <w:spacing w:line="260" w:lineRule="exact"/>
              <w:jc w:val="center"/>
              <w:rPr>
                <w:rFonts w:hint="eastAsia" w:ascii="宋体" w:hAnsi="宋体" w:eastAsia="宋体" w:cs="宋体"/>
              </w:rPr>
            </w:pPr>
            <w:r>
              <w:rPr>
                <w:rFonts w:hint="eastAsia" w:ascii="宋体" w:hAnsi="宋体" w:eastAsia="宋体" w:cs="宋体"/>
              </w:rPr>
              <w:t>1个</w:t>
            </w:r>
          </w:p>
        </w:tc>
        <w:tc>
          <w:tcPr>
            <w:tcW w:w="2473" w:type="dxa"/>
            <w:gridSpan w:val="6"/>
            <w:vAlign w:val="center"/>
          </w:tcPr>
          <w:p w14:paraId="4CDF4154">
            <w:pPr>
              <w:spacing w:line="260" w:lineRule="exact"/>
              <w:jc w:val="center"/>
              <w:rPr>
                <w:rFonts w:hint="eastAsia" w:ascii="宋体" w:hAnsi="宋体" w:eastAsia="宋体" w:cs="宋体"/>
              </w:rPr>
            </w:pPr>
            <w:r>
              <w:rPr>
                <w:rFonts w:hint="eastAsia" w:ascii="宋体" w:hAnsi="宋体" w:eastAsia="宋体" w:cs="宋体"/>
              </w:rPr>
              <w:t>正常</w:t>
            </w:r>
          </w:p>
        </w:tc>
        <w:tc>
          <w:tcPr>
            <w:tcW w:w="1969" w:type="dxa"/>
            <w:gridSpan w:val="4"/>
            <w:vAlign w:val="center"/>
          </w:tcPr>
          <w:p w14:paraId="1798F350">
            <w:pPr>
              <w:spacing w:line="260" w:lineRule="exact"/>
              <w:jc w:val="center"/>
              <w:rPr>
                <w:rFonts w:hint="default" w:ascii="宋体" w:hAnsi="宋体" w:eastAsia="宋体" w:cs="宋体"/>
                <w:lang w:val="en-US" w:eastAsia="zh-CN"/>
              </w:rPr>
            </w:pPr>
            <w:r>
              <w:rPr>
                <w:rFonts w:hint="eastAsia" w:ascii="宋体" w:hAnsi="宋体" w:cs="宋体"/>
                <w:lang w:val="en-US" w:eastAsia="zh-CN"/>
              </w:rPr>
              <w:t>/</w:t>
            </w:r>
          </w:p>
        </w:tc>
      </w:tr>
      <w:tr w14:paraId="7AB9C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500" w:type="dxa"/>
            <w:gridSpan w:val="4"/>
            <w:vAlign w:val="center"/>
          </w:tcPr>
          <w:p w14:paraId="106F212D">
            <w:pPr>
              <w:spacing w:line="260" w:lineRule="exact"/>
              <w:jc w:val="center"/>
              <w:rPr>
                <w:rFonts w:hint="eastAsia" w:ascii="宋体" w:hAnsi="宋体" w:eastAsia="宋体" w:cs="宋体"/>
              </w:rPr>
            </w:pPr>
            <w:r>
              <w:rPr>
                <w:rFonts w:hint="eastAsia" w:ascii="宋体" w:hAnsi="宋体" w:cs="宋体"/>
                <w:lang w:val="en-US" w:eastAsia="zh-CN"/>
              </w:rPr>
              <w:t>5kg手提式</w:t>
            </w:r>
            <w:r>
              <w:rPr>
                <w:rFonts w:hint="eastAsia" w:ascii="宋体" w:hAnsi="宋体" w:eastAsia="宋体" w:cs="宋体"/>
              </w:rPr>
              <w:t>干粉灭火器</w:t>
            </w:r>
          </w:p>
        </w:tc>
        <w:tc>
          <w:tcPr>
            <w:tcW w:w="1384" w:type="dxa"/>
            <w:gridSpan w:val="4"/>
            <w:vAlign w:val="center"/>
          </w:tcPr>
          <w:p w14:paraId="48BDA824">
            <w:pPr>
              <w:spacing w:line="260" w:lineRule="exact"/>
              <w:jc w:val="center"/>
              <w:rPr>
                <w:rFonts w:hint="eastAsia" w:ascii="宋体" w:hAnsi="宋体" w:eastAsia="宋体" w:cs="宋体"/>
              </w:rPr>
            </w:pPr>
            <w:r>
              <w:rPr>
                <w:rFonts w:hint="eastAsia" w:ascii="宋体" w:hAnsi="宋体" w:eastAsia="宋体" w:cs="宋体"/>
              </w:rPr>
              <w:t>MFC/ABC8</w:t>
            </w:r>
          </w:p>
        </w:tc>
        <w:tc>
          <w:tcPr>
            <w:tcW w:w="893" w:type="dxa"/>
            <w:gridSpan w:val="3"/>
            <w:vAlign w:val="center"/>
          </w:tcPr>
          <w:p w14:paraId="27A9F7E6">
            <w:pPr>
              <w:spacing w:line="260" w:lineRule="exact"/>
              <w:jc w:val="center"/>
              <w:rPr>
                <w:rFonts w:hint="eastAsia" w:ascii="宋体" w:hAnsi="宋体" w:eastAsia="宋体" w:cs="宋体"/>
              </w:rPr>
            </w:pPr>
            <w:r>
              <w:rPr>
                <w:rFonts w:hint="eastAsia" w:ascii="宋体" w:hAnsi="宋体" w:eastAsia="宋体" w:cs="宋体"/>
              </w:rPr>
              <w:t>2个</w:t>
            </w:r>
          </w:p>
        </w:tc>
        <w:tc>
          <w:tcPr>
            <w:tcW w:w="2473" w:type="dxa"/>
            <w:gridSpan w:val="6"/>
            <w:vAlign w:val="center"/>
          </w:tcPr>
          <w:p w14:paraId="0D0AE5E7">
            <w:pPr>
              <w:spacing w:line="260" w:lineRule="exact"/>
              <w:jc w:val="center"/>
              <w:rPr>
                <w:rFonts w:hint="eastAsia" w:ascii="宋体" w:hAnsi="宋体" w:eastAsia="宋体" w:cs="宋体"/>
              </w:rPr>
            </w:pPr>
            <w:r>
              <w:rPr>
                <w:rFonts w:hint="eastAsia" w:ascii="宋体" w:hAnsi="宋体" w:eastAsia="宋体" w:cs="宋体"/>
              </w:rPr>
              <w:t>正常</w:t>
            </w:r>
          </w:p>
        </w:tc>
        <w:tc>
          <w:tcPr>
            <w:tcW w:w="1969" w:type="dxa"/>
            <w:gridSpan w:val="4"/>
            <w:vAlign w:val="center"/>
          </w:tcPr>
          <w:p w14:paraId="5C6F4D6D">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3A7FA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500" w:type="dxa"/>
            <w:gridSpan w:val="4"/>
            <w:vAlign w:val="center"/>
          </w:tcPr>
          <w:p w14:paraId="6E280476">
            <w:pPr>
              <w:spacing w:line="260" w:lineRule="exact"/>
              <w:jc w:val="center"/>
              <w:rPr>
                <w:rFonts w:hint="eastAsia" w:ascii="宋体" w:hAnsi="宋体" w:eastAsia="宋体" w:cs="宋体"/>
              </w:rPr>
            </w:pPr>
            <w:r>
              <w:rPr>
                <w:rFonts w:hint="eastAsia" w:ascii="宋体" w:hAnsi="宋体" w:cs="宋体"/>
                <w:lang w:val="en-US" w:eastAsia="zh-CN"/>
              </w:rPr>
              <w:t>5kg手提式</w:t>
            </w:r>
            <w:r>
              <w:rPr>
                <w:rFonts w:hint="eastAsia" w:ascii="宋体" w:hAnsi="宋体" w:eastAsia="宋体" w:cs="宋体"/>
              </w:rPr>
              <w:t>干粉灭火器</w:t>
            </w:r>
          </w:p>
        </w:tc>
        <w:tc>
          <w:tcPr>
            <w:tcW w:w="1384" w:type="dxa"/>
            <w:gridSpan w:val="4"/>
            <w:vAlign w:val="center"/>
          </w:tcPr>
          <w:p w14:paraId="1853EBCA">
            <w:pPr>
              <w:spacing w:line="260" w:lineRule="exact"/>
              <w:jc w:val="center"/>
              <w:rPr>
                <w:rFonts w:hint="eastAsia" w:ascii="宋体" w:hAnsi="宋体" w:eastAsia="宋体" w:cs="宋体"/>
              </w:rPr>
            </w:pPr>
            <w:r>
              <w:rPr>
                <w:rFonts w:hint="eastAsia" w:ascii="宋体" w:hAnsi="宋体" w:eastAsia="宋体" w:cs="宋体"/>
              </w:rPr>
              <w:t>MFZ/ABC</w:t>
            </w:r>
            <w:r>
              <w:rPr>
                <w:rFonts w:hint="eastAsia" w:ascii="宋体" w:hAnsi="宋体" w:cs="宋体"/>
                <w:lang w:val="en-US" w:eastAsia="zh-CN"/>
              </w:rPr>
              <w:t>8</w:t>
            </w:r>
          </w:p>
        </w:tc>
        <w:tc>
          <w:tcPr>
            <w:tcW w:w="893" w:type="dxa"/>
            <w:gridSpan w:val="3"/>
            <w:vAlign w:val="center"/>
          </w:tcPr>
          <w:p w14:paraId="4909997B">
            <w:pPr>
              <w:spacing w:line="260" w:lineRule="exact"/>
              <w:jc w:val="center"/>
              <w:rPr>
                <w:rFonts w:hint="eastAsia" w:ascii="宋体" w:hAnsi="宋体" w:eastAsia="宋体" w:cs="宋体"/>
              </w:rPr>
            </w:pPr>
            <w:r>
              <w:rPr>
                <w:rFonts w:hint="eastAsia" w:ascii="宋体" w:hAnsi="宋体" w:cs="宋体"/>
                <w:lang w:val="en-US" w:eastAsia="zh-CN"/>
              </w:rPr>
              <w:t>7</w:t>
            </w:r>
            <w:r>
              <w:rPr>
                <w:rFonts w:hint="eastAsia" w:ascii="宋体" w:hAnsi="宋体" w:eastAsia="宋体" w:cs="宋体"/>
              </w:rPr>
              <w:t>个</w:t>
            </w:r>
          </w:p>
        </w:tc>
        <w:tc>
          <w:tcPr>
            <w:tcW w:w="2473" w:type="dxa"/>
            <w:gridSpan w:val="6"/>
            <w:vAlign w:val="center"/>
          </w:tcPr>
          <w:p w14:paraId="13D9948F">
            <w:pPr>
              <w:spacing w:line="260" w:lineRule="exact"/>
              <w:jc w:val="center"/>
              <w:rPr>
                <w:rFonts w:hint="eastAsia" w:ascii="宋体" w:hAnsi="宋体" w:eastAsia="宋体" w:cs="宋体"/>
              </w:rPr>
            </w:pPr>
            <w:r>
              <w:rPr>
                <w:rFonts w:hint="eastAsia" w:ascii="宋体" w:hAnsi="宋体" w:eastAsia="宋体" w:cs="宋体"/>
              </w:rPr>
              <w:t>正常</w:t>
            </w:r>
          </w:p>
        </w:tc>
        <w:tc>
          <w:tcPr>
            <w:tcW w:w="1969" w:type="dxa"/>
            <w:gridSpan w:val="4"/>
            <w:vAlign w:val="center"/>
          </w:tcPr>
          <w:p w14:paraId="650FB64F">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7A77F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2500" w:type="dxa"/>
            <w:gridSpan w:val="4"/>
            <w:vAlign w:val="center"/>
          </w:tcPr>
          <w:p w14:paraId="079E122A">
            <w:pPr>
              <w:spacing w:line="260" w:lineRule="exact"/>
              <w:jc w:val="center"/>
              <w:rPr>
                <w:rFonts w:hint="eastAsia" w:ascii="宋体" w:hAnsi="宋体" w:eastAsia="宋体" w:cs="宋体"/>
              </w:rPr>
            </w:pPr>
            <w:r>
              <w:rPr>
                <w:rFonts w:hint="eastAsia" w:ascii="宋体" w:hAnsi="宋体" w:cs="宋体"/>
                <w:lang w:val="en-US" w:eastAsia="zh-CN"/>
              </w:rPr>
              <w:t>手提式</w:t>
            </w:r>
            <w:r>
              <w:rPr>
                <w:rFonts w:hint="eastAsia" w:ascii="宋体" w:hAnsi="宋体" w:eastAsia="宋体" w:cs="宋体"/>
              </w:rPr>
              <w:t>二氧化碳灭火器</w:t>
            </w:r>
          </w:p>
        </w:tc>
        <w:tc>
          <w:tcPr>
            <w:tcW w:w="1384" w:type="dxa"/>
            <w:gridSpan w:val="4"/>
            <w:vAlign w:val="center"/>
          </w:tcPr>
          <w:p w14:paraId="4A868093">
            <w:pPr>
              <w:spacing w:line="260" w:lineRule="exact"/>
              <w:jc w:val="center"/>
              <w:rPr>
                <w:rFonts w:hint="eastAsia" w:ascii="宋体" w:hAnsi="宋体" w:eastAsia="宋体" w:cs="宋体"/>
              </w:rPr>
            </w:pPr>
            <w:r>
              <w:rPr>
                <w:rFonts w:hint="eastAsia" w:ascii="宋体" w:hAnsi="宋体" w:eastAsia="宋体" w:cs="宋体"/>
              </w:rPr>
              <w:t>MT/3</w:t>
            </w:r>
          </w:p>
        </w:tc>
        <w:tc>
          <w:tcPr>
            <w:tcW w:w="893" w:type="dxa"/>
            <w:gridSpan w:val="3"/>
            <w:vAlign w:val="center"/>
          </w:tcPr>
          <w:p w14:paraId="177B0C4B">
            <w:pPr>
              <w:spacing w:line="260" w:lineRule="exact"/>
              <w:jc w:val="center"/>
              <w:rPr>
                <w:rFonts w:hint="eastAsia" w:ascii="宋体" w:hAnsi="宋体" w:eastAsia="宋体" w:cs="宋体"/>
              </w:rPr>
            </w:pPr>
            <w:r>
              <w:rPr>
                <w:rFonts w:hint="eastAsia" w:ascii="宋体" w:hAnsi="宋体" w:eastAsia="宋体" w:cs="宋体"/>
              </w:rPr>
              <w:t>4个</w:t>
            </w:r>
          </w:p>
        </w:tc>
        <w:tc>
          <w:tcPr>
            <w:tcW w:w="2473" w:type="dxa"/>
            <w:gridSpan w:val="6"/>
            <w:vAlign w:val="center"/>
          </w:tcPr>
          <w:p w14:paraId="10307135">
            <w:pPr>
              <w:spacing w:line="260" w:lineRule="exact"/>
              <w:jc w:val="center"/>
              <w:rPr>
                <w:rFonts w:hint="eastAsia" w:ascii="宋体" w:hAnsi="宋体" w:eastAsia="宋体" w:cs="宋体"/>
              </w:rPr>
            </w:pPr>
            <w:r>
              <w:rPr>
                <w:rFonts w:hint="eastAsia" w:ascii="宋体" w:hAnsi="宋体" w:eastAsia="宋体" w:cs="宋体"/>
              </w:rPr>
              <w:t>正常</w:t>
            </w:r>
          </w:p>
        </w:tc>
        <w:tc>
          <w:tcPr>
            <w:tcW w:w="1969" w:type="dxa"/>
            <w:gridSpan w:val="4"/>
            <w:vAlign w:val="center"/>
          </w:tcPr>
          <w:p w14:paraId="0475D6A2">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2D494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500" w:type="dxa"/>
            <w:gridSpan w:val="4"/>
            <w:vAlign w:val="center"/>
          </w:tcPr>
          <w:p w14:paraId="5310E6EC">
            <w:pPr>
              <w:spacing w:line="260" w:lineRule="exact"/>
              <w:jc w:val="center"/>
              <w:rPr>
                <w:rFonts w:hint="eastAsia" w:ascii="宋体" w:hAnsi="宋体" w:eastAsia="宋体" w:cs="宋体"/>
              </w:rPr>
            </w:pPr>
            <w:r>
              <w:rPr>
                <w:rFonts w:hint="eastAsia" w:ascii="宋体" w:hAnsi="宋体" w:eastAsia="宋体" w:cs="宋体"/>
              </w:rPr>
              <w:t>灭火毯</w:t>
            </w:r>
          </w:p>
        </w:tc>
        <w:tc>
          <w:tcPr>
            <w:tcW w:w="1384" w:type="dxa"/>
            <w:gridSpan w:val="4"/>
            <w:vAlign w:val="center"/>
          </w:tcPr>
          <w:p w14:paraId="3CB0F9C6">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893" w:type="dxa"/>
            <w:gridSpan w:val="3"/>
            <w:vAlign w:val="center"/>
          </w:tcPr>
          <w:p w14:paraId="384C5E3B">
            <w:pPr>
              <w:spacing w:line="260" w:lineRule="exact"/>
              <w:jc w:val="center"/>
              <w:rPr>
                <w:rFonts w:hint="eastAsia" w:ascii="宋体" w:hAnsi="宋体" w:eastAsia="宋体" w:cs="宋体"/>
              </w:rPr>
            </w:pPr>
            <w:r>
              <w:rPr>
                <w:rFonts w:hint="eastAsia" w:ascii="宋体" w:hAnsi="宋体" w:cs="宋体"/>
                <w:lang w:val="en-US" w:eastAsia="zh-CN"/>
              </w:rPr>
              <w:t>9</w:t>
            </w:r>
            <w:r>
              <w:rPr>
                <w:rFonts w:hint="eastAsia" w:ascii="宋体" w:hAnsi="宋体" w:eastAsia="宋体" w:cs="宋体"/>
              </w:rPr>
              <w:t>块</w:t>
            </w:r>
          </w:p>
        </w:tc>
        <w:tc>
          <w:tcPr>
            <w:tcW w:w="2473" w:type="dxa"/>
            <w:gridSpan w:val="6"/>
            <w:vAlign w:val="center"/>
          </w:tcPr>
          <w:p w14:paraId="39F96FE4">
            <w:pPr>
              <w:spacing w:line="260" w:lineRule="exact"/>
              <w:jc w:val="center"/>
              <w:rPr>
                <w:rFonts w:hint="eastAsia" w:ascii="宋体" w:hAnsi="宋体" w:eastAsia="宋体" w:cs="宋体"/>
              </w:rPr>
            </w:pPr>
            <w:r>
              <w:rPr>
                <w:rFonts w:hint="eastAsia" w:ascii="宋体" w:hAnsi="宋体" w:eastAsia="宋体" w:cs="宋体"/>
              </w:rPr>
              <w:t>正常</w:t>
            </w:r>
          </w:p>
        </w:tc>
        <w:tc>
          <w:tcPr>
            <w:tcW w:w="1969" w:type="dxa"/>
            <w:gridSpan w:val="4"/>
            <w:vAlign w:val="center"/>
          </w:tcPr>
          <w:p w14:paraId="5763173A">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07F37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500" w:type="dxa"/>
            <w:gridSpan w:val="4"/>
            <w:vAlign w:val="center"/>
          </w:tcPr>
          <w:p w14:paraId="48692911">
            <w:pPr>
              <w:spacing w:line="260" w:lineRule="exact"/>
              <w:jc w:val="center"/>
              <w:rPr>
                <w:rFonts w:hint="eastAsia" w:ascii="宋体" w:hAnsi="宋体" w:eastAsia="宋体" w:cs="宋体"/>
              </w:rPr>
            </w:pPr>
            <w:r>
              <w:rPr>
                <w:rFonts w:hint="eastAsia" w:ascii="宋体" w:hAnsi="宋体" w:eastAsia="宋体" w:cs="宋体"/>
              </w:rPr>
              <w:t>消防沙池</w:t>
            </w:r>
          </w:p>
        </w:tc>
        <w:tc>
          <w:tcPr>
            <w:tcW w:w="1384" w:type="dxa"/>
            <w:gridSpan w:val="4"/>
            <w:vAlign w:val="center"/>
          </w:tcPr>
          <w:p w14:paraId="3A214AF6">
            <w:pPr>
              <w:spacing w:line="260" w:lineRule="exact"/>
              <w:jc w:val="center"/>
              <w:rPr>
                <w:rFonts w:hint="eastAsia" w:ascii="宋体" w:hAnsi="宋体" w:eastAsia="宋体" w:cs="宋体"/>
              </w:rPr>
            </w:pPr>
            <w:r>
              <w:rPr>
                <w:rFonts w:hint="eastAsia" w:ascii="宋体" w:hAnsi="宋体" w:eastAsia="宋体" w:cs="宋体"/>
              </w:rPr>
              <w:t>2m</w:t>
            </w:r>
            <w:r>
              <w:rPr>
                <w:rFonts w:hint="eastAsia" w:ascii="宋体" w:hAnsi="宋体" w:eastAsia="宋体" w:cs="宋体"/>
                <w:vertAlign w:val="superscript"/>
              </w:rPr>
              <w:t>3</w:t>
            </w:r>
          </w:p>
        </w:tc>
        <w:tc>
          <w:tcPr>
            <w:tcW w:w="893" w:type="dxa"/>
            <w:gridSpan w:val="3"/>
            <w:vAlign w:val="center"/>
          </w:tcPr>
          <w:p w14:paraId="209290A4">
            <w:pPr>
              <w:spacing w:line="260" w:lineRule="exact"/>
              <w:jc w:val="center"/>
              <w:rPr>
                <w:rFonts w:hint="eastAsia" w:ascii="宋体" w:hAnsi="宋体" w:eastAsia="宋体" w:cs="宋体"/>
              </w:rPr>
            </w:pPr>
            <w:r>
              <w:rPr>
                <w:rFonts w:hint="eastAsia" w:ascii="宋体" w:hAnsi="宋体" w:eastAsia="宋体" w:cs="宋体"/>
              </w:rPr>
              <w:t>1个</w:t>
            </w:r>
          </w:p>
        </w:tc>
        <w:tc>
          <w:tcPr>
            <w:tcW w:w="2473" w:type="dxa"/>
            <w:gridSpan w:val="6"/>
            <w:vAlign w:val="center"/>
          </w:tcPr>
          <w:p w14:paraId="362514B2">
            <w:pPr>
              <w:spacing w:line="260" w:lineRule="exact"/>
              <w:jc w:val="center"/>
              <w:rPr>
                <w:rFonts w:hint="eastAsia" w:ascii="宋体" w:hAnsi="宋体" w:eastAsia="宋体" w:cs="宋体"/>
              </w:rPr>
            </w:pPr>
            <w:r>
              <w:rPr>
                <w:rFonts w:hint="eastAsia" w:ascii="宋体" w:hAnsi="宋体" w:eastAsia="宋体" w:cs="宋体"/>
              </w:rPr>
              <w:t>正常</w:t>
            </w:r>
          </w:p>
        </w:tc>
        <w:tc>
          <w:tcPr>
            <w:tcW w:w="1969" w:type="dxa"/>
            <w:gridSpan w:val="4"/>
            <w:vAlign w:val="center"/>
          </w:tcPr>
          <w:p w14:paraId="7B079359">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1B31A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500" w:type="dxa"/>
            <w:gridSpan w:val="4"/>
            <w:vAlign w:val="center"/>
          </w:tcPr>
          <w:p w14:paraId="6A598B18">
            <w:pPr>
              <w:spacing w:line="260" w:lineRule="exact"/>
              <w:jc w:val="center"/>
              <w:rPr>
                <w:rFonts w:hint="eastAsia" w:ascii="宋体" w:hAnsi="宋体" w:eastAsia="宋体" w:cs="宋体"/>
              </w:rPr>
            </w:pPr>
            <w:r>
              <w:rPr>
                <w:rFonts w:hint="eastAsia" w:ascii="宋体" w:hAnsi="宋体" w:eastAsia="宋体" w:cs="宋体"/>
              </w:rPr>
              <w:t>消防铲</w:t>
            </w:r>
          </w:p>
        </w:tc>
        <w:tc>
          <w:tcPr>
            <w:tcW w:w="1384" w:type="dxa"/>
            <w:gridSpan w:val="4"/>
            <w:vAlign w:val="center"/>
          </w:tcPr>
          <w:p w14:paraId="0F83E2CC">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893" w:type="dxa"/>
            <w:gridSpan w:val="3"/>
            <w:vAlign w:val="center"/>
          </w:tcPr>
          <w:p w14:paraId="5B5D58F6">
            <w:pPr>
              <w:spacing w:line="260" w:lineRule="exact"/>
              <w:jc w:val="center"/>
              <w:rPr>
                <w:rFonts w:hint="eastAsia" w:ascii="宋体" w:hAnsi="宋体" w:eastAsia="宋体" w:cs="宋体"/>
              </w:rPr>
            </w:pPr>
            <w:r>
              <w:rPr>
                <w:rFonts w:hint="eastAsia" w:ascii="宋体" w:hAnsi="宋体" w:cs="宋体"/>
                <w:lang w:val="en-US" w:eastAsia="zh-CN"/>
              </w:rPr>
              <w:t>5</w:t>
            </w:r>
            <w:r>
              <w:rPr>
                <w:rFonts w:hint="eastAsia" w:ascii="宋体" w:hAnsi="宋体" w:eastAsia="宋体" w:cs="宋体"/>
              </w:rPr>
              <w:t>把</w:t>
            </w:r>
          </w:p>
        </w:tc>
        <w:tc>
          <w:tcPr>
            <w:tcW w:w="2473" w:type="dxa"/>
            <w:gridSpan w:val="6"/>
            <w:vAlign w:val="center"/>
          </w:tcPr>
          <w:p w14:paraId="4E34BD2D">
            <w:pPr>
              <w:spacing w:line="260" w:lineRule="exact"/>
              <w:jc w:val="center"/>
              <w:rPr>
                <w:rFonts w:hint="eastAsia" w:ascii="宋体" w:hAnsi="宋体" w:eastAsia="宋体" w:cs="宋体"/>
              </w:rPr>
            </w:pPr>
            <w:r>
              <w:rPr>
                <w:rFonts w:hint="eastAsia" w:ascii="宋体" w:hAnsi="宋体" w:eastAsia="宋体" w:cs="宋体"/>
              </w:rPr>
              <w:t>正常</w:t>
            </w:r>
          </w:p>
        </w:tc>
        <w:tc>
          <w:tcPr>
            <w:tcW w:w="1969" w:type="dxa"/>
            <w:gridSpan w:val="4"/>
            <w:vAlign w:val="center"/>
          </w:tcPr>
          <w:p w14:paraId="2F956265">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29FA6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1" w:hRule="atLeast"/>
        </w:trPr>
        <w:tc>
          <w:tcPr>
            <w:tcW w:w="9219" w:type="dxa"/>
            <w:gridSpan w:val="21"/>
            <w:vAlign w:val="center"/>
          </w:tcPr>
          <w:p w14:paraId="669D0136">
            <w:pPr>
              <w:spacing w:line="260" w:lineRule="exact"/>
              <w:jc w:val="center"/>
              <w:rPr>
                <w:rFonts w:hint="eastAsia" w:ascii="宋体" w:hAnsi="宋体" w:eastAsia="宋体" w:cs="宋体"/>
              </w:rPr>
            </w:pPr>
            <w:r>
              <w:rPr>
                <w:rFonts w:hint="eastAsia" w:ascii="宋体" w:hAnsi="宋体" w:eastAsia="宋体" w:cs="宋体"/>
              </w:rPr>
              <w:t>申请经营危险化学品范围</w:t>
            </w:r>
          </w:p>
        </w:tc>
      </w:tr>
      <w:tr w14:paraId="07D53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962" w:type="dxa"/>
            <w:gridSpan w:val="6"/>
            <w:vAlign w:val="center"/>
          </w:tcPr>
          <w:p w14:paraId="661A11C7">
            <w:pPr>
              <w:spacing w:line="260" w:lineRule="exact"/>
              <w:jc w:val="center"/>
              <w:rPr>
                <w:rFonts w:hint="eastAsia" w:ascii="宋体" w:hAnsi="宋体" w:eastAsia="宋体" w:cs="宋体"/>
              </w:rPr>
            </w:pPr>
            <w:r>
              <w:rPr>
                <w:rFonts w:hint="eastAsia" w:ascii="宋体" w:hAnsi="宋体" w:eastAsia="宋体" w:cs="宋体"/>
              </w:rPr>
              <w:t>剧毒化学品</w:t>
            </w:r>
          </w:p>
        </w:tc>
        <w:tc>
          <w:tcPr>
            <w:tcW w:w="3283" w:type="dxa"/>
            <w:gridSpan w:val="9"/>
            <w:vAlign w:val="center"/>
          </w:tcPr>
          <w:p w14:paraId="19E8D19C">
            <w:pPr>
              <w:spacing w:line="260" w:lineRule="exact"/>
              <w:jc w:val="center"/>
              <w:rPr>
                <w:rFonts w:hint="eastAsia" w:ascii="宋体" w:hAnsi="宋体" w:eastAsia="宋体" w:cs="宋体"/>
              </w:rPr>
            </w:pPr>
            <w:r>
              <w:rPr>
                <w:rFonts w:hint="eastAsia" w:ascii="宋体" w:hAnsi="宋体" w:eastAsia="宋体" w:cs="宋体"/>
              </w:rPr>
              <w:t>成品油（储量）</w:t>
            </w:r>
          </w:p>
        </w:tc>
        <w:tc>
          <w:tcPr>
            <w:tcW w:w="2974" w:type="dxa"/>
            <w:gridSpan w:val="6"/>
            <w:vAlign w:val="center"/>
          </w:tcPr>
          <w:p w14:paraId="5CE56823">
            <w:pPr>
              <w:spacing w:line="260" w:lineRule="exact"/>
              <w:jc w:val="center"/>
              <w:rPr>
                <w:rFonts w:hint="eastAsia" w:ascii="宋体" w:hAnsi="宋体" w:eastAsia="宋体" w:cs="宋体"/>
              </w:rPr>
            </w:pPr>
            <w:r>
              <w:rPr>
                <w:rFonts w:hint="eastAsia" w:ascii="宋体" w:hAnsi="宋体" w:eastAsia="宋体" w:cs="宋体"/>
              </w:rPr>
              <w:t>其他危险化学品</w:t>
            </w:r>
          </w:p>
        </w:tc>
      </w:tr>
      <w:tr w14:paraId="1DC75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985" w:type="dxa"/>
            <w:vAlign w:val="center"/>
          </w:tcPr>
          <w:p w14:paraId="2239EC68">
            <w:pPr>
              <w:spacing w:line="260" w:lineRule="exact"/>
              <w:jc w:val="center"/>
              <w:rPr>
                <w:rFonts w:hint="eastAsia" w:ascii="宋体" w:hAnsi="宋体" w:eastAsia="宋体" w:cs="宋体"/>
              </w:rPr>
            </w:pPr>
            <w:r>
              <w:rPr>
                <w:rFonts w:hint="eastAsia" w:ascii="宋体" w:hAnsi="宋体" w:eastAsia="宋体" w:cs="宋体"/>
              </w:rPr>
              <w:t>品名</w:t>
            </w:r>
          </w:p>
        </w:tc>
        <w:tc>
          <w:tcPr>
            <w:tcW w:w="1077" w:type="dxa"/>
            <w:gridSpan w:val="2"/>
            <w:vAlign w:val="center"/>
          </w:tcPr>
          <w:p w14:paraId="5834052F">
            <w:pPr>
              <w:spacing w:line="260" w:lineRule="exact"/>
              <w:jc w:val="center"/>
              <w:rPr>
                <w:rFonts w:hint="eastAsia" w:ascii="宋体" w:hAnsi="宋体" w:eastAsia="宋体" w:cs="宋体"/>
              </w:rPr>
            </w:pPr>
            <w:r>
              <w:rPr>
                <w:rFonts w:hint="eastAsia" w:ascii="宋体" w:hAnsi="宋体" w:eastAsia="宋体" w:cs="宋体"/>
              </w:rPr>
              <w:t>规模</w:t>
            </w:r>
          </w:p>
        </w:tc>
        <w:tc>
          <w:tcPr>
            <w:tcW w:w="900" w:type="dxa"/>
            <w:gridSpan w:val="3"/>
            <w:vAlign w:val="center"/>
          </w:tcPr>
          <w:p w14:paraId="54E0FE69">
            <w:pPr>
              <w:spacing w:line="260" w:lineRule="exact"/>
              <w:jc w:val="center"/>
              <w:rPr>
                <w:rFonts w:hint="eastAsia" w:ascii="宋体" w:hAnsi="宋体" w:eastAsia="宋体" w:cs="宋体"/>
              </w:rPr>
            </w:pPr>
            <w:r>
              <w:rPr>
                <w:rFonts w:hint="eastAsia" w:ascii="宋体" w:hAnsi="宋体" w:eastAsia="宋体" w:cs="宋体"/>
              </w:rPr>
              <w:t>用途</w:t>
            </w:r>
          </w:p>
        </w:tc>
        <w:tc>
          <w:tcPr>
            <w:tcW w:w="1123" w:type="dxa"/>
            <w:gridSpan w:val="3"/>
            <w:vAlign w:val="center"/>
          </w:tcPr>
          <w:p w14:paraId="51D899CE">
            <w:pPr>
              <w:spacing w:line="260" w:lineRule="exact"/>
              <w:jc w:val="center"/>
              <w:rPr>
                <w:rFonts w:hint="eastAsia" w:ascii="宋体" w:hAnsi="宋体" w:eastAsia="宋体" w:cs="宋体"/>
              </w:rPr>
            </w:pPr>
            <w:r>
              <w:rPr>
                <w:rFonts w:hint="eastAsia" w:ascii="宋体" w:hAnsi="宋体" w:eastAsia="宋体" w:cs="宋体"/>
              </w:rPr>
              <w:t>品名</w:t>
            </w:r>
          </w:p>
        </w:tc>
        <w:tc>
          <w:tcPr>
            <w:tcW w:w="1401" w:type="dxa"/>
            <w:gridSpan w:val="3"/>
            <w:vAlign w:val="center"/>
          </w:tcPr>
          <w:p w14:paraId="31A4F4ED">
            <w:pPr>
              <w:spacing w:line="260" w:lineRule="exact"/>
              <w:jc w:val="center"/>
              <w:rPr>
                <w:rFonts w:hint="eastAsia" w:ascii="宋体" w:hAnsi="宋体" w:eastAsia="宋体" w:cs="宋体"/>
              </w:rPr>
            </w:pPr>
            <w:r>
              <w:rPr>
                <w:rFonts w:hint="eastAsia" w:ascii="宋体" w:hAnsi="宋体" w:eastAsia="宋体" w:cs="宋体"/>
              </w:rPr>
              <w:t>规模</w:t>
            </w:r>
          </w:p>
        </w:tc>
        <w:tc>
          <w:tcPr>
            <w:tcW w:w="759" w:type="dxa"/>
            <w:gridSpan w:val="3"/>
            <w:vAlign w:val="center"/>
          </w:tcPr>
          <w:p w14:paraId="18B1B31D">
            <w:pPr>
              <w:spacing w:line="260" w:lineRule="exact"/>
              <w:jc w:val="center"/>
              <w:rPr>
                <w:rFonts w:hint="eastAsia" w:ascii="宋体" w:hAnsi="宋体" w:eastAsia="宋体" w:cs="宋体"/>
              </w:rPr>
            </w:pPr>
            <w:r>
              <w:rPr>
                <w:rFonts w:hint="eastAsia" w:ascii="宋体" w:hAnsi="宋体" w:eastAsia="宋体" w:cs="宋体"/>
              </w:rPr>
              <w:t>用途</w:t>
            </w:r>
          </w:p>
        </w:tc>
        <w:tc>
          <w:tcPr>
            <w:tcW w:w="1005" w:type="dxa"/>
            <w:gridSpan w:val="2"/>
            <w:vAlign w:val="center"/>
          </w:tcPr>
          <w:p w14:paraId="4E9643F0">
            <w:pPr>
              <w:spacing w:line="260" w:lineRule="exact"/>
              <w:jc w:val="center"/>
              <w:rPr>
                <w:rFonts w:hint="eastAsia" w:ascii="宋体" w:hAnsi="宋体" w:eastAsia="宋体" w:cs="宋体"/>
              </w:rPr>
            </w:pPr>
            <w:r>
              <w:rPr>
                <w:rFonts w:hint="eastAsia" w:ascii="宋体" w:hAnsi="宋体" w:eastAsia="宋体" w:cs="宋体"/>
              </w:rPr>
              <w:t>品名</w:t>
            </w:r>
          </w:p>
        </w:tc>
        <w:tc>
          <w:tcPr>
            <w:tcW w:w="790" w:type="dxa"/>
            <w:gridSpan w:val="3"/>
            <w:vAlign w:val="center"/>
          </w:tcPr>
          <w:p w14:paraId="59E0330E">
            <w:pPr>
              <w:spacing w:line="260" w:lineRule="exact"/>
              <w:jc w:val="center"/>
              <w:rPr>
                <w:rFonts w:hint="eastAsia" w:ascii="宋体" w:hAnsi="宋体" w:eastAsia="宋体" w:cs="宋体"/>
              </w:rPr>
            </w:pPr>
            <w:r>
              <w:rPr>
                <w:rFonts w:hint="eastAsia" w:ascii="宋体" w:hAnsi="宋体" w:eastAsia="宋体" w:cs="宋体"/>
              </w:rPr>
              <w:t>规模</w:t>
            </w:r>
          </w:p>
        </w:tc>
        <w:tc>
          <w:tcPr>
            <w:tcW w:w="1179" w:type="dxa"/>
            <w:vAlign w:val="center"/>
          </w:tcPr>
          <w:p w14:paraId="4C178EAC">
            <w:pPr>
              <w:spacing w:line="260" w:lineRule="exact"/>
              <w:jc w:val="center"/>
              <w:rPr>
                <w:rFonts w:hint="eastAsia" w:ascii="宋体" w:hAnsi="宋体" w:eastAsia="宋体" w:cs="宋体"/>
              </w:rPr>
            </w:pPr>
            <w:r>
              <w:rPr>
                <w:rFonts w:hint="eastAsia" w:ascii="宋体" w:hAnsi="宋体" w:eastAsia="宋体" w:cs="宋体"/>
              </w:rPr>
              <w:t>用途</w:t>
            </w:r>
          </w:p>
        </w:tc>
      </w:tr>
      <w:tr w14:paraId="61113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985" w:type="dxa"/>
            <w:vAlign w:val="center"/>
          </w:tcPr>
          <w:p w14:paraId="32192516">
            <w:pPr>
              <w:spacing w:line="260" w:lineRule="exact"/>
              <w:jc w:val="center"/>
              <w:rPr>
                <w:rFonts w:hint="default" w:ascii="宋体" w:hAnsi="宋体" w:eastAsia="宋体" w:cs="宋体"/>
                <w:lang w:val="en-US" w:eastAsia="zh-CN"/>
              </w:rPr>
            </w:pPr>
            <w:r>
              <w:rPr>
                <w:rFonts w:hint="eastAsia" w:ascii="宋体" w:hAnsi="宋体" w:cs="宋体"/>
                <w:lang w:val="en-US" w:eastAsia="zh-CN"/>
              </w:rPr>
              <w:t>/</w:t>
            </w:r>
          </w:p>
        </w:tc>
        <w:tc>
          <w:tcPr>
            <w:tcW w:w="1077" w:type="dxa"/>
            <w:gridSpan w:val="2"/>
            <w:vAlign w:val="center"/>
          </w:tcPr>
          <w:p w14:paraId="36614CE1">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900" w:type="dxa"/>
            <w:gridSpan w:val="3"/>
            <w:vAlign w:val="center"/>
          </w:tcPr>
          <w:p w14:paraId="66B31D10">
            <w:pPr>
              <w:spacing w:line="260" w:lineRule="exact"/>
              <w:jc w:val="center"/>
              <w:rPr>
                <w:rFonts w:hint="eastAsia" w:ascii="宋体" w:hAnsi="宋体" w:eastAsia="宋体" w:cs="宋体"/>
              </w:rPr>
            </w:pPr>
          </w:p>
        </w:tc>
        <w:tc>
          <w:tcPr>
            <w:tcW w:w="1123" w:type="dxa"/>
            <w:gridSpan w:val="3"/>
            <w:vAlign w:val="center"/>
          </w:tcPr>
          <w:p w14:paraId="24D622AE">
            <w:pPr>
              <w:spacing w:line="260" w:lineRule="exact"/>
              <w:jc w:val="center"/>
              <w:rPr>
                <w:rFonts w:hint="eastAsia" w:ascii="宋体" w:hAnsi="宋体" w:eastAsia="宋体" w:cs="宋体"/>
              </w:rPr>
            </w:pPr>
            <w:r>
              <w:rPr>
                <w:rFonts w:hint="eastAsia" w:ascii="宋体" w:hAnsi="宋体" w:eastAsia="宋体" w:cs="宋体"/>
              </w:rPr>
              <w:t>0#柴油</w:t>
            </w:r>
          </w:p>
        </w:tc>
        <w:tc>
          <w:tcPr>
            <w:tcW w:w="1401" w:type="dxa"/>
            <w:gridSpan w:val="3"/>
            <w:vAlign w:val="center"/>
          </w:tcPr>
          <w:p w14:paraId="0C7A840A">
            <w:pPr>
              <w:spacing w:line="260" w:lineRule="exact"/>
              <w:jc w:val="center"/>
              <w:rPr>
                <w:rFonts w:hint="eastAsia" w:ascii="宋体" w:hAnsi="宋体" w:eastAsia="宋体" w:cs="宋体"/>
                <w:lang w:eastAsia="zh-CN"/>
              </w:rPr>
            </w:pPr>
            <w:r>
              <w:rPr>
                <w:rFonts w:hint="eastAsia" w:ascii="宋体" w:hAnsi="宋体" w:eastAsia="宋体" w:cs="宋体"/>
              </w:rPr>
              <w:t>30m³</w:t>
            </w:r>
            <w:r>
              <w:rPr>
                <w:rFonts w:hint="eastAsia" w:ascii="宋体" w:hAnsi="宋体" w:eastAsia="宋体" w:cs="宋体"/>
                <w:lang w:eastAsia="zh-CN"/>
              </w:rPr>
              <w:t>（</w:t>
            </w:r>
            <w:r>
              <w:rPr>
                <w:rFonts w:hint="eastAsia" w:ascii="宋体" w:hAnsi="宋体" w:eastAsia="宋体" w:cs="宋体"/>
              </w:rPr>
              <w:t>2</w:t>
            </w:r>
            <w:r>
              <w:rPr>
                <w:rFonts w:hint="eastAsia" w:ascii="宋体" w:hAnsi="宋体" w:eastAsia="宋体" w:cs="宋体"/>
                <w:lang w:val="en-US" w:eastAsia="zh-CN"/>
              </w:rPr>
              <w:t>个</w:t>
            </w:r>
            <w:r>
              <w:rPr>
                <w:rFonts w:hint="eastAsia" w:ascii="宋体" w:hAnsi="宋体" w:eastAsia="宋体" w:cs="宋体"/>
                <w:lang w:eastAsia="zh-CN"/>
              </w:rPr>
              <w:t>）</w:t>
            </w:r>
          </w:p>
        </w:tc>
        <w:tc>
          <w:tcPr>
            <w:tcW w:w="759" w:type="dxa"/>
            <w:gridSpan w:val="3"/>
            <w:vAlign w:val="center"/>
          </w:tcPr>
          <w:p w14:paraId="5996CC1C">
            <w:pPr>
              <w:spacing w:line="260" w:lineRule="exact"/>
              <w:jc w:val="center"/>
              <w:rPr>
                <w:rFonts w:hint="eastAsia" w:ascii="宋体" w:hAnsi="宋体" w:eastAsia="宋体" w:cs="宋体"/>
              </w:rPr>
            </w:pPr>
            <w:r>
              <w:rPr>
                <w:rFonts w:hint="eastAsia" w:ascii="宋体" w:hAnsi="宋体" w:eastAsia="宋体" w:cs="宋体"/>
              </w:rPr>
              <w:t>车用</w:t>
            </w:r>
          </w:p>
        </w:tc>
        <w:tc>
          <w:tcPr>
            <w:tcW w:w="1005" w:type="dxa"/>
            <w:gridSpan w:val="2"/>
            <w:vAlign w:val="center"/>
          </w:tcPr>
          <w:p w14:paraId="3A608B16">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790" w:type="dxa"/>
            <w:gridSpan w:val="3"/>
            <w:vAlign w:val="center"/>
          </w:tcPr>
          <w:p w14:paraId="30CFE7A0">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1179" w:type="dxa"/>
            <w:vAlign w:val="center"/>
          </w:tcPr>
          <w:p w14:paraId="1866E224">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3C4F3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985" w:type="dxa"/>
            <w:vAlign w:val="center"/>
          </w:tcPr>
          <w:p w14:paraId="0C28A78E">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1077" w:type="dxa"/>
            <w:gridSpan w:val="2"/>
            <w:vAlign w:val="center"/>
          </w:tcPr>
          <w:p w14:paraId="5A9166BB">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900" w:type="dxa"/>
            <w:gridSpan w:val="3"/>
            <w:vAlign w:val="center"/>
          </w:tcPr>
          <w:p w14:paraId="3A7F599F">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1123" w:type="dxa"/>
            <w:gridSpan w:val="3"/>
            <w:vAlign w:val="center"/>
          </w:tcPr>
          <w:p w14:paraId="1F71F10B">
            <w:pPr>
              <w:spacing w:line="260" w:lineRule="exact"/>
              <w:jc w:val="center"/>
              <w:rPr>
                <w:rFonts w:hint="eastAsia" w:ascii="宋体" w:hAnsi="宋体" w:eastAsia="宋体" w:cs="宋体"/>
              </w:rPr>
            </w:pPr>
            <w:r>
              <w:rPr>
                <w:rFonts w:hint="eastAsia" w:ascii="宋体" w:hAnsi="宋体" w:eastAsia="宋体" w:cs="宋体"/>
              </w:rPr>
              <w:t>92#汽油</w:t>
            </w:r>
          </w:p>
        </w:tc>
        <w:tc>
          <w:tcPr>
            <w:tcW w:w="1401" w:type="dxa"/>
            <w:gridSpan w:val="3"/>
            <w:vAlign w:val="center"/>
          </w:tcPr>
          <w:p w14:paraId="4B50988E">
            <w:pPr>
              <w:spacing w:line="260" w:lineRule="exact"/>
              <w:jc w:val="center"/>
              <w:rPr>
                <w:rFonts w:hint="eastAsia" w:ascii="宋体" w:hAnsi="宋体" w:eastAsia="宋体" w:cs="宋体"/>
                <w:lang w:eastAsia="zh-CN"/>
              </w:rPr>
            </w:pPr>
            <w:r>
              <w:rPr>
                <w:rFonts w:hint="eastAsia" w:ascii="宋体" w:hAnsi="宋体" w:eastAsia="宋体" w:cs="宋体"/>
              </w:rPr>
              <w:t>30m³</w:t>
            </w:r>
            <w:r>
              <w:rPr>
                <w:rFonts w:hint="eastAsia" w:ascii="宋体" w:hAnsi="宋体" w:eastAsia="宋体" w:cs="宋体"/>
                <w:lang w:eastAsia="zh-CN"/>
              </w:rPr>
              <w:t>（</w:t>
            </w:r>
            <w:r>
              <w:rPr>
                <w:rFonts w:hint="eastAsia" w:ascii="宋体" w:hAnsi="宋体" w:eastAsia="宋体" w:cs="宋体"/>
                <w:lang w:val="en-US" w:eastAsia="zh-CN"/>
              </w:rPr>
              <w:t>1个</w:t>
            </w:r>
            <w:r>
              <w:rPr>
                <w:rFonts w:hint="eastAsia" w:ascii="宋体" w:hAnsi="宋体" w:eastAsia="宋体" w:cs="宋体"/>
                <w:lang w:eastAsia="zh-CN"/>
              </w:rPr>
              <w:t>）</w:t>
            </w:r>
          </w:p>
        </w:tc>
        <w:tc>
          <w:tcPr>
            <w:tcW w:w="759" w:type="dxa"/>
            <w:gridSpan w:val="3"/>
            <w:vAlign w:val="center"/>
          </w:tcPr>
          <w:p w14:paraId="365EF3A4">
            <w:pPr>
              <w:spacing w:line="260" w:lineRule="exact"/>
              <w:jc w:val="center"/>
              <w:rPr>
                <w:rFonts w:hint="eastAsia" w:ascii="宋体" w:hAnsi="宋体" w:eastAsia="宋体" w:cs="宋体"/>
              </w:rPr>
            </w:pPr>
            <w:r>
              <w:rPr>
                <w:rFonts w:hint="eastAsia" w:ascii="宋体" w:hAnsi="宋体" w:eastAsia="宋体" w:cs="宋体"/>
              </w:rPr>
              <w:t>车用</w:t>
            </w:r>
          </w:p>
        </w:tc>
        <w:tc>
          <w:tcPr>
            <w:tcW w:w="1005" w:type="dxa"/>
            <w:gridSpan w:val="2"/>
            <w:vAlign w:val="center"/>
          </w:tcPr>
          <w:p w14:paraId="41763BD0">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790" w:type="dxa"/>
            <w:gridSpan w:val="3"/>
            <w:vAlign w:val="center"/>
          </w:tcPr>
          <w:p w14:paraId="479BD7C3">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1179" w:type="dxa"/>
            <w:vAlign w:val="center"/>
          </w:tcPr>
          <w:p w14:paraId="54B02B1B">
            <w:pPr>
              <w:spacing w:line="26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01018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9" w:hRule="atLeast"/>
        </w:trPr>
        <w:tc>
          <w:tcPr>
            <w:tcW w:w="2062" w:type="dxa"/>
            <w:gridSpan w:val="3"/>
            <w:vAlign w:val="center"/>
          </w:tcPr>
          <w:p w14:paraId="162D4252">
            <w:pPr>
              <w:spacing w:line="260" w:lineRule="exact"/>
              <w:jc w:val="center"/>
              <w:rPr>
                <w:rFonts w:hint="eastAsia" w:ascii="宋体" w:hAnsi="宋体" w:eastAsia="宋体" w:cs="宋体"/>
              </w:rPr>
            </w:pPr>
            <w:r>
              <w:rPr>
                <w:rFonts w:hint="eastAsia" w:ascii="宋体" w:hAnsi="宋体" w:eastAsia="宋体" w:cs="宋体"/>
              </w:rPr>
              <w:t>申请经营方式</w:t>
            </w:r>
          </w:p>
        </w:tc>
        <w:tc>
          <w:tcPr>
            <w:tcW w:w="7157" w:type="dxa"/>
            <w:gridSpan w:val="18"/>
            <w:vAlign w:val="center"/>
          </w:tcPr>
          <w:p w14:paraId="55FAEB0D">
            <w:pPr>
              <w:spacing w:line="260" w:lineRule="exact"/>
              <w:jc w:val="center"/>
              <w:rPr>
                <w:rFonts w:hint="eastAsia" w:ascii="宋体" w:hAnsi="宋体" w:eastAsia="宋体" w:cs="宋体"/>
              </w:rPr>
            </w:pPr>
            <w:r>
              <w:rPr>
                <w:rFonts w:hint="eastAsia" w:ascii="宋体" w:hAnsi="宋体" w:eastAsia="宋体" w:cs="宋体"/>
              </w:rPr>
              <w:t>批发□      零售■     化工企业外设销售网点□</w:t>
            </w:r>
          </w:p>
        </w:tc>
      </w:tr>
    </w:tbl>
    <w:p w14:paraId="713529AD">
      <w:pPr>
        <w:spacing w:line="600" w:lineRule="exact"/>
        <w:ind w:firstLine="560" w:firstLineChars="200"/>
        <w:rPr>
          <w:rFonts w:hint="eastAsia" w:ascii="Times New Roman" w:hAnsi="Times New Roman" w:cs="宋体"/>
          <w:sz w:val="28"/>
          <w:szCs w:val="28"/>
        </w:rPr>
      </w:pPr>
      <w:r>
        <w:rPr>
          <w:rFonts w:hint="eastAsia" w:ascii="宋体" w:hAnsi="宋体" w:cs="宋体"/>
          <w:sz w:val="28"/>
          <w:szCs w:val="28"/>
          <w:lang w:val="en-US" w:eastAsia="zh-CN"/>
        </w:rPr>
        <w:t>该站按柴油</w:t>
      </w:r>
      <w:r>
        <w:rPr>
          <w:rFonts w:hint="eastAsia" w:ascii="宋体" w:hAnsi="宋体" w:eastAsia="宋体" w:cs="宋体"/>
          <w:sz w:val="28"/>
          <w:szCs w:val="28"/>
        </w:rPr>
        <w:t>折算总</w:t>
      </w:r>
      <w:r>
        <w:rPr>
          <w:rFonts w:hint="eastAsia" w:ascii="宋体" w:hAnsi="宋体" w:cs="宋体"/>
          <w:sz w:val="28"/>
          <w:szCs w:val="28"/>
          <w:lang w:val="en-US" w:eastAsia="zh-CN"/>
        </w:rPr>
        <w:t>容量为</w:t>
      </w:r>
      <w:r>
        <w:rPr>
          <w:rFonts w:hint="eastAsia" w:ascii="宋体" w:hAnsi="宋体" w:eastAsia="宋体" w:cs="宋体"/>
          <w:sz w:val="28"/>
          <w:szCs w:val="28"/>
        </w:rPr>
        <w:t>60m</w:t>
      </w:r>
      <w:r>
        <w:rPr>
          <w:rFonts w:hint="eastAsia" w:ascii="宋体" w:hAnsi="宋体" w:eastAsia="宋体" w:cs="宋体"/>
          <w:sz w:val="28"/>
          <w:szCs w:val="28"/>
          <w:vertAlign w:val="superscript"/>
        </w:rPr>
        <w:t>3</w:t>
      </w:r>
      <w:r>
        <w:rPr>
          <w:rFonts w:hint="eastAsia" w:ascii="宋体" w:hAnsi="宋体" w:eastAsia="宋体" w:cs="宋体"/>
          <w:sz w:val="28"/>
          <w:szCs w:val="28"/>
        </w:rPr>
        <w:t>，最大单罐容积为30m</w:t>
      </w:r>
      <w:r>
        <w:rPr>
          <w:rFonts w:hint="eastAsia" w:ascii="宋体" w:hAnsi="宋体" w:eastAsia="宋体" w:cs="宋体"/>
          <w:sz w:val="28"/>
          <w:szCs w:val="28"/>
          <w:vertAlign w:val="superscript"/>
        </w:rPr>
        <w:t>3</w:t>
      </w:r>
      <w:r>
        <w:rPr>
          <w:rFonts w:hint="eastAsia" w:ascii="宋体" w:hAnsi="宋体" w:eastAsia="宋体" w:cs="宋体"/>
          <w:sz w:val="28"/>
          <w:szCs w:val="28"/>
        </w:rPr>
        <w:t>，属三级加油站</w:t>
      </w:r>
      <w:r>
        <w:rPr>
          <w:rFonts w:hint="eastAsia" w:ascii="Times New Roman" w:hAnsi="Times New Roman" w:cs="宋体"/>
          <w:sz w:val="28"/>
          <w:szCs w:val="28"/>
        </w:rPr>
        <w:t>。</w:t>
      </w:r>
      <w:bookmarkStart w:id="67" w:name="_Toc10091"/>
      <w:bookmarkStart w:id="68" w:name="_Toc25802"/>
    </w:p>
    <w:p w14:paraId="4C0073EC">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rPr>
      </w:pPr>
      <w:bookmarkStart w:id="69" w:name="_Toc28886"/>
      <w:r>
        <w:rPr>
          <w:rFonts w:hint="eastAsia" w:ascii="楷体" w:hAnsi="楷体" w:eastAsia="楷体" w:cs="楷体"/>
          <w:sz w:val="32"/>
          <w:szCs w:val="32"/>
        </w:rPr>
        <w:t>2.2加油站主要情况</w:t>
      </w:r>
      <w:bookmarkEnd w:id="67"/>
      <w:bookmarkEnd w:id="68"/>
      <w:bookmarkEnd w:id="69"/>
      <w:bookmarkStart w:id="70" w:name="_Toc5125"/>
    </w:p>
    <w:p w14:paraId="23D6795E">
      <w:pPr>
        <w:pStyle w:val="6"/>
        <w:keepNext w:val="0"/>
        <w:keepLines w:val="0"/>
        <w:pageBreakBefore w:val="0"/>
        <w:widowControl/>
        <w:kinsoku/>
        <w:wordWrap/>
        <w:overflowPunct/>
        <w:topLinePunct w:val="0"/>
        <w:autoSpaceDE/>
        <w:autoSpaceDN/>
        <w:bidi w:val="0"/>
        <w:adjustRightInd/>
        <w:snapToGrid/>
        <w:textAlignment w:val="auto"/>
        <w:outlineLvl w:val="2"/>
        <w:rPr>
          <w:rFonts w:hint="eastAsia" w:ascii="楷体" w:hAnsi="楷体" w:eastAsia="楷体" w:cs="楷体"/>
          <w:sz w:val="32"/>
          <w:szCs w:val="32"/>
          <w:lang w:val="en-US" w:eastAsia="zh-CN"/>
        </w:rPr>
      </w:pPr>
      <w:bookmarkStart w:id="71" w:name="_Toc21516"/>
      <w:r>
        <w:rPr>
          <w:rFonts w:hint="eastAsia" w:ascii="楷体" w:hAnsi="楷体" w:eastAsia="楷体" w:cs="楷体"/>
          <w:sz w:val="32"/>
          <w:szCs w:val="32"/>
        </w:rPr>
        <w:t>2.2.1站址</w:t>
      </w:r>
      <w:bookmarkEnd w:id="70"/>
      <w:bookmarkEnd w:id="71"/>
    </w:p>
    <w:p w14:paraId="4B6B54A0">
      <w:pPr>
        <w:pStyle w:val="36"/>
        <w:keepNext w:val="0"/>
        <w:keepLines w:val="0"/>
        <w:pageBreakBefore w:val="0"/>
        <w:widowControl w:val="0"/>
        <w:kinsoku/>
        <w:wordWrap/>
        <w:overflowPunct/>
        <w:topLinePunct w:val="0"/>
        <w:autoSpaceDE/>
        <w:autoSpaceDN/>
        <w:bidi w:val="0"/>
        <w:adjustRightInd/>
        <w:snapToGrid/>
        <w:spacing w:line="240" w:lineRule="atLeast"/>
        <w:textAlignment w:val="auto"/>
        <w:rPr>
          <w:rFonts w:hint="eastAsia"/>
          <w:lang w:eastAsia="zh-CN"/>
        </w:rPr>
      </w:pPr>
      <w:r>
        <w:rPr>
          <w:rFonts w:hint="eastAsia"/>
          <w:lang w:eastAsia="zh-CN"/>
        </w:rPr>
        <w:drawing>
          <wp:inline distT="0" distB="0" distL="114300" distR="114300">
            <wp:extent cx="5756275" cy="3538855"/>
            <wp:effectExtent l="0" t="0" r="15875" b="4445"/>
            <wp:docPr id="80" name="图片 80" descr="微信截图_2024053114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截图_20240531142535"/>
                    <pic:cNvPicPr>
                      <a:picLocks noChangeAspect="1"/>
                    </pic:cNvPicPr>
                  </pic:nvPicPr>
                  <pic:blipFill>
                    <a:blip r:embed="rId10"/>
                    <a:stretch>
                      <a:fillRect/>
                    </a:stretch>
                  </pic:blipFill>
                  <pic:spPr>
                    <a:xfrm>
                      <a:off x="0" y="0"/>
                      <a:ext cx="5756275" cy="3538855"/>
                    </a:xfrm>
                    <a:prstGeom prst="rect">
                      <a:avLst/>
                    </a:prstGeom>
                  </pic:spPr>
                </pic:pic>
              </a:graphicData>
            </a:graphic>
          </wp:inline>
        </w:drawing>
      </w:r>
    </w:p>
    <w:p w14:paraId="06D1EE36">
      <w:pPr>
        <w:pStyle w:val="36"/>
        <w:widowControl w:val="0"/>
        <w:spacing w:line="600" w:lineRule="exact"/>
        <w:ind w:firstLine="560" w:firstLineChars="200"/>
        <w:rPr>
          <w:rFonts w:hint="eastAsia" w:ascii="宋体" w:hAnsi="宋体" w:eastAsia="宋体" w:cs="宋体"/>
          <w:sz w:val="28"/>
          <w:szCs w:val="28"/>
        </w:rPr>
      </w:pPr>
      <w:r>
        <w:rPr>
          <w:rFonts w:hint="eastAsia" w:cs="宋体"/>
          <w:sz w:val="28"/>
          <w:szCs w:val="28"/>
        </w:rPr>
        <w:t>加油站范围内未发现不良地质及特殊地质，工程地质条件较好。</w:t>
      </w:r>
      <w:r>
        <w:rPr>
          <w:rFonts w:hint="eastAsia" w:cs="宋体"/>
          <w:sz w:val="28"/>
          <w:szCs w:val="28"/>
          <w:lang w:val="en-US" w:eastAsia="zh-CN"/>
        </w:rPr>
        <w:t>该站</w:t>
      </w:r>
      <w:r>
        <w:rPr>
          <w:rFonts w:hint="eastAsia" w:cs="宋体"/>
          <w:sz w:val="28"/>
          <w:szCs w:val="28"/>
        </w:rPr>
        <w:t>属于地震基本烈</w:t>
      </w:r>
      <w:r>
        <w:rPr>
          <w:rFonts w:hint="eastAsia" w:ascii="宋体" w:hAnsi="宋体" w:eastAsia="宋体" w:cs="宋体"/>
          <w:sz w:val="28"/>
          <w:szCs w:val="28"/>
        </w:rPr>
        <w:t>度6度区，工程按6度进行设防</w:t>
      </w:r>
      <w:r>
        <w:rPr>
          <w:rFonts w:hint="eastAsia" w:cs="宋体"/>
          <w:sz w:val="28"/>
          <w:szCs w:val="28"/>
        </w:rPr>
        <w:t>。站区内地势平坦，坡向道路</w:t>
      </w:r>
      <w:r>
        <w:rPr>
          <w:rFonts w:hint="eastAsia" w:cs="宋体"/>
          <w:sz w:val="28"/>
          <w:szCs w:val="28"/>
          <w:lang w:eastAsia="zh-CN"/>
        </w:rPr>
        <w:t>，</w:t>
      </w:r>
      <w:r>
        <w:rPr>
          <w:rFonts w:hint="eastAsia" w:cs="宋体"/>
          <w:sz w:val="28"/>
          <w:szCs w:val="28"/>
        </w:rPr>
        <w:t>地面坡度</w:t>
      </w:r>
      <w:r>
        <w:rPr>
          <w:rFonts w:hint="eastAsia" w:ascii="宋体" w:hAnsi="宋体" w:eastAsia="宋体" w:cs="宋体"/>
          <w:sz w:val="28"/>
          <w:szCs w:val="28"/>
        </w:rPr>
        <w:t>&lt;2%。</w:t>
      </w:r>
    </w:p>
    <w:p w14:paraId="3D47B5A6">
      <w:pPr>
        <w:pStyle w:val="6"/>
        <w:keepNext w:val="0"/>
        <w:keepLines w:val="0"/>
        <w:pageBreakBefore w:val="0"/>
        <w:widowControl/>
        <w:kinsoku/>
        <w:wordWrap/>
        <w:overflowPunct/>
        <w:topLinePunct w:val="0"/>
        <w:autoSpaceDE/>
        <w:autoSpaceDN/>
        <w:bidi w:val="0"/>
        <w:adjustRightInd/>
        <w:snapToGrid/>
        <w:textAlignment w:val="auto"/>
        <w:outlineLvl w:val="2"/>
        <w:rPr>
          <w:rFonts w:hint="eastAsia" w:ascii="楷体" w:hAnsi="楷体" w:eastAsia="楷体" w:cs="楷体"/>
          <w:sz w:val="32"/>
          <w:szCs w:val="32"/>
        </w:rPr>
      </w:pPr>
      <w:bookmarkStart w:id="72" w:name="_Toc23141"/>
      <w:r>
        <w:rPr>
          <w:rFonts w:hint="eastAsia" w:ascii="楷体" w:hAnsi="楷体" w:eastAsia="楷体" w:cs="楷体"/>
          <w:sz w:val="32"/>
          <w:szCs w:val="32"/>
          <w:lang w:eastAsia="zh-CN"/>
        </w:rPr>
        <w:t>2.2.2</w:t>
      </w:r>
      <w:r>
        <w:rPr>
          <w:rFonts w:hint="eastAsia" w:ascii="楷体" w:hAnsi="楷体" w:eastAsia="楷体" w:cs="楷体"/>
          <w:sz w:val="32"/>
          <w:szCs w:val="32"/>
        </w:rPr>
        <w:t>周围环境</w:t>
      </w:r>
      <w:bookmarkEnd w:id="72"/>
    </w:p>
    <w:p w14:paraId="0B0B25BF">
      <w:pPr>
        <w:pStyle w:val="36"/>
        <w:widowControl w:val="0"/>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加油站地处江西省上饶市余干县社庚乡社庚街，该加油站坐北朝南方向。东侧为辅助房，辅助房距离</w:t>
      </w:r>
      <w:r>
        <w:rPr>
          <w:rFonts w:hint="eastAsia" w:ascii="宋体" w:hAnsi="宋体" w:cs="宋体"/>
          <w:sz w:val="28"/>
          <w:szCs w:val="28"/>
          <w:lang w:val="en-US" w:eastAsia="zh-CN"/>
        </w:rPr>
        <w:t>柴油</w:t>
      </w:r>
      <w:r>
        <w:rPr>
          <w:rFonts w:hint="eastAsia" w:ascii="宋体" w:hAnsi="宋体" w:eastAsia="宋体" w:cs="宋体"/>
          <w:sz w:val="28"/>
          <w:szCs w:val="28"/>
        </w:rPr>
        <w:t>储罐最近1</w:t>
      </w:r>
      <w:r>
        <w:rPr>
          <w:rFonts w:hint="eastAsia" w:ascii="宋体" w:hAnsi="宋体" w:cs="宋体"/>
          <w:sz w:val="28"/>
          <w:szCs w:val="28"/>
          <w:lang w:val="en-US" w:eastAsia="zh-CN"/>
        </w:rPr>
        <w:t>2.44</w:t>
      </w:r>
      <w:r>
        <w:rPr>
          <w:rFonts w:hint="eastAsia" w:ascii="宋体" w:hAnsi="宋体" w:eastAsia="宋体" w:cs="宋体"/>
          <w:sz w:val="28"/>
          <w:szCs w:val="28"/>
        </w:rPr>
        <w:t>m；东侧为民用建筑物和一根架空电力线（杆高6m，有绝缘层）</w:t>
      </w:r>
      <w:r>
        <w:rPr>
          <w:rFonts w:hint="eastAsia" w:ascii="宋体" w:hAnsi="宋体" w:cs="宋体"/>
          <w:sz w:val="28"/>
          <w:szCs w:val="28"/>
          <w:lang w:eastAsia="zh-CN"/>
        </w:rPr>
        <w:t>，</w:t>
      </w:r>
      <w:r>
        <w:rPr>
          <w:rFonts w:hint="eastAsia" w:ascii="宋体" w:hAnsi="宋体" w:eastAsia="宋体" w:cs="宋体"/>
          <w:sz w:val="28"/>
          <w:szCs w:val="28"/>
        </w:rPr>
        <w:t>该民用建筑距离</w:t>
      </w:r>
      <w:r>
        <w:rPr>
          <w:rFonts w:hint="eastAsia" w:ascii="宋体" w:hAnsi="宋体" w:cs="宋体"/>
          <w:sz w:val="28"/>
          <w:szCs w:val="28"/>
          <w:lang w:val="en-US" w:eastAsia="zh-CN"/>
        </w:rPr>
        <w:t>柴油</w:t>
      </w:r>
      <w:r>
        <w:rPr>
          <w:rFonts w:hint="eastAsia" w:ascii="宋体" w:hAnsi="宋体" w:eastAsia="宋体" w:cs="宋体"/>
          <w:sz w:val="28"/>
          <w:szCs w:val="28"/>
        </w:rPr>
        <w:t>加油机最近15.1m，架空电力线距离</w:t>
      </w:r>
      <w:r>
        <w:rPr>
          <w:rFonts w:hint="eastAsia" w:ascii="宋体" w:hAnsi="宋体" w:cs="宋体"/>
          <w:sz w:val="28"/>
          <w:szCs w:val="28"/>
          <w:lang w:val="en-US" w:eastAsia="zh-CN"/>
        </w:rPr>
        <w:t>柴油</w:t>
      </w:r>
      <w:r>
        <w:rPr>
          <w:rFonts w:hint="eastAsia" w:ascii="宋体" w:hAnsi="宋体" w:eastAsia="宋体" w:cs="宋体"/>
          <w:sz w:val="28"/>
          <w:szCs w:val="28"/>
        </w:rPr>
        <w:t>加油机最近16.84m；南侧为689县道，县道靠近加油站一侧距离加油机最近8.4m，县道对面为民用建筑及一根10kv的架空电力线（杆高</w:t>
      </w:r>
      <w:r>
        <w:rPr>
          <w:rFonts w:hint="eastAsia" w:ascii="宋体" w:hAnsi="宋体" w:cs="宋体"/>
          <w:sz w:val="28"/>
          <w:szCs w:val="28"/>
          <w:lang w:val="en-US" w:eastAsia="zh-CN"/>
        </w:rPr>
        <w:t>8</w:t>
      </w:r>
      <w:r>
        <w:rPr>
          <w:rFonts w:hint="eastAsia" w:ascii="宋体" w:hAnsi="宋体" w:eastAsia="宋体" w:cs="宋体"/>
          <w:sz w:val="28"/>
          <w:szCs w:val="28"/>
        </w:rPr>
        <w:t>m，无绝缘层），该民用建筑距离加油机最近19.09m，架空电力线距离加油机最近18.63m；西侧有一根架空通讯线（杆高6m，有绝缘层），距离</w:t>
      </w:r>
      <w:r>
        <w:rPr>
          <w:rFonts w:hint="eastAsia" w:ascii="宋体" w:hAnsi="宋体" w:cs="宋体"/>
          <w:sz w:val="28"/>
          <w:szCs w:val="28"/>
          <w:lang w:val="en-US" w:eastAsia="zh-CN"/>
        </w:rPr>
        <w:t>柴油</w:t>
      </w:r>
      <w:r>
        <w:rPr>
          <w:rFonts w:hint="eastAsia" w:ascii="宋体" w:hAnsi="宋体" w:eastAsia="宋体" w:cs="宋体"/>
          <w:sz w:val="28"/>
          <w:szCs w:val="28"/>
        </w:rPr>
        <w:t>加油机最近10.82m；西侧为民用建筑和隔油池，该民用建筑距离</w:t>
      </w:r>
      <w:r>
        <w:rPr>
          <w:rFonts w:hint="eastAsia" w:ascii="宋体" w:hAnsi="宋体" w:cs="宋体"/>
          <w:sz w:val="28"/>
          <w:szCs w:val="28"/>
          <w:lang w:val="en-US" w:eastAsia="zh-CN"/>
        </w:rPr>
        <w:t>柴油</w:t>
      </w:r>
      <w:r>
        <w:rPr>
          <w:rFonts w:hint="eastAsia" w:ascii="宋体" w:hAnsi="宋体" w:eastAsia="宋体" w:cs="宋体"/>
          <w:sz w:val="28"/>
          <w:szCs w:val="28"/>
        </w:rPr>
        <w:t>储罐最近13.1m；西北侧为</w:t>
      </w:r>
      <w:r>
        <w:rPr>
          <w:rFonts w:hint="eastAsia" w:ascii="宋体" w:hAnsi="宋体" w:cs="宋体"/>
          <w:sz w:val="28"/>
          <w:szCs w:val="28"/>
          <w:lang w:val="en-US" w:eastAsia="zh-CN"/>
        </w:rPr>
        <w:t>田</w:t>
      </w:r>
      <w:r>
        <w:rPr>
          <w:rFonts w:hint="eastAsia" w:ascii="宋体" w:hAnsi="宋体" w:eastAsia="宋体" w:cs="宋体"/>
          <w:sz w:val="28"/>
          <w:szCs w:val="28"/>
        </w:rPr>
        <w:t>地及学校</w:t>
      </w:r>
      <w:r>
        <w:rPr>
          <w:rFonts w:hint="eastAsia" w:ascii="宋体" w:hAnsi="宋体" w:cs="宋体"/>
          <w:sz w:val="28"/>
          <w:szCs w:val="28"/>
          <w:lang w:eastAsia="zh-CN"/>
        </w:rPr>
        <w:t>（</w:t>
      </w:r>
      <w:r>
        <w:rPr>
          <w:rFonts w:hint="eastAsia" w:ascii="宋体" w:hAnsi="宋体" w:cs="宋体"/>
          <w:sz w:val="28"/>
          <w:szCs w:val="28"/>
          <w:lang w:val="en-US" w:eastAsia="zh-CN"/>
        </w:rPr>
        <w:t>重要公共建筑物</w:t>
      </w:r>
      <w:r>
        <w:rPr>
          <w:rFonts w:hint="eastAsia" w:ascii="宋体" w:hAnsi="宋体" w:cs="宋体"/>
          <w:sz w:val="28"/>
          <w:szCs w:val="28"/>
          <w:lang w:eastAsia="zh-CN"/>
        </w:rPr>
        <w:t>）</w:t>
      </w:r>
      <w:r>
        <w:rPr>
          <w:rFonts w:hint="eastAsia" w:ascii="宋体" w:hAnsi="宋体" w:eastAsia="宋体" w:cs="宋体"/>
          <w:sz w:val="28"/>
          <w:szCs w:val="28"/>
        </w:rPr>
        <w:t>，学校距离</w:t>
      </w:r>
      <w:r>
        <w:rPr>
          <w:rFonts w:hint="eastAsia" w:ascii="宋体" w:hAnsi="宋体" w:cs="宋体"/>
          <w:sz w:val="28"/>
          <w:szCs w:val="28"/>
          <w:lang w:val="en-US" w:eastAsia="zh-CN"/>
        </w:rPr>
        <w:t>柴油</w:t>
      </w:r>
      <w:r>
        <w:rPr>
          <w:rFonts w:hint="eastAsia" w:ascii="宋体" w:hAnsi="宋体" w:eastAsia="宋体" w:cs="宋体"/>
          <w:sz w:val="28"/>
          <w:szCs w:val="28"/>
        </w:rPr>
        <w:t>储罐最近7</w:t>
      </w:r>
      <w:r>
        <w:rPr>
          <w:rFonts w:hint="eastAsia" w:ascii="宋体" w:hAnsi="宋体" w:cs="宋体"/>
          <w:sz w:val="28"/>
          <w:szCs w:val="28"/>
          <w:lang w:val="en-US" w:eastAsia="zh-CN"/>
        </w:rPr>
        <w:t>1.61</w:t>
      </w:r>
      <w:r>
        <w:rPr>
          <w:rFonts w:hint="eastAsia" w:ascii="宋体" w:hAnsi="宋体" w:eastAsia="宋体" w:cs="宋体"/>
          <w:sz w:val="28"/>
          <w:szCs w:val="28"/>
        </w:rPr>
        <w:t>m。</w:t>
      </w:r>
    </w:p>
    <w:p w14:paraId="0A791BCE">
      <w:pPr>
        <w:tabs>
          <w:tab w:val="left" w:pos="2913"/>
        </w:tabs>
        <w:bidi w:val="0"/>
        <w:jc w:val="center"/>
      </w:pPr>
      <w:bookmarkStart w:id="73" w:name="_Toc3252"/>
      <w:bookmarkStart w:id="74" w:name="_Toc5962"/>
      <w:bookmarkStart w:id="75" w:name="_Toc8448"/>
      <w:r>
        <w:t>表</w:t>
      </w:r>
      <w:r>
        <w:rPr>
          <w:rFonts w:hint="eastAsia"/>
        </w:rPr>
        <w:t>2</w:t>
      </w:r>
      <w:r>
        <w:t>-</w:t>
      </w:r>
      <w:r>
        <w:rPr>
          <w:rFonts w:hint="eastAsia"/>
          <w:lang w:val="en-US" w:eastAsia="zh-CN"/>
        </w:rPr>
        <w:t>2</w:t>
      </w:r>
      <w:r>
        <w:rPr>
          <w:lang w:val="zh-CN"/>
        </w:rPr>
        <w:t>油罐、加油机和通气管管口与站外</w:t>
      </w:r>
      <w:r>
        <w:t>建</w:t>
      </w:r>
      <w:r>
        <w:rPr>
          <w:rFonts w:hint="eastAsia"/>
        </w:rPr>
        <w:t>（</w:t>
      </w:r>
      <w:r>
        <w:t>构</w:t>
      </w:r>
      <w:r>
        <w:rPr>
          <w:rFonts w:hint="eastAsia"/>
        </w:rPr>
        <w:t>）</w:t>
      </w:r>
      <w:r>
        <w:t>筑物</w:t>
      </w:r>
      <w:r>
        <w:rPr>
          <w:lang w:val="zh-CN"/>
        </w:rPr>
        <w:t>防火间距</w:t>
      </w:r>
      <w:r>
        <w:t>表</w:t>
      </w:r>
    </w:p>
    <w:tbl>
      <w:tblPr>
        <w:tblStyle w:val="20"/>
        <w:tblW w:w="0" w:type="auto"/>
        <w:tblInd w:w="9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9"/>
        <w:gridCol w:w="1233"/>
        <w:gridCol w:w="2692"/>
        <w:gridCol w:w="2291"/>
      </w:tblGrid>
      <w:tr w14:paraId="7028E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noWrap w:val="0"/>
            <w:vAlign w:val="center"/>
          </w:tcPr>
          <w:p w14:paraId="4C362CF3">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zh-CN" w:eastAsia="zh-CN" w:bidi="ar-SA"/>
              </w:rPr>
              <w:t>工艺装置</w:t>
            </w:r>
            <w:r>
              <w:rPr>
                <w:rFonts w:hint="eastAsia" w:ascii="宋体" w:hAnsi="宋体" w:eastAsia="宋体" w:cs="宋体"/>
                <w:kern w:val="0"/>
                <w:sz w:val="21"/>
                <w:szCs w:val="21"/>
                <w:lang w:val="en-US" w:eastAsia="zh-CN" w:bidi="ar-SA"/>
              </w:rPr>
              <w:t>名称</w:t>
            </w:r>
          </w:p>
        </w:tc>
        <w:tc>
          <w:tcPr>
            <w:tcW w:w="1233" w:type="dxa"/>
            <w:noWrap w:val="0"/>
            <w:vAlign w:val="center"/>
          </w:tcPr>
          <w:p w14:paraId="2CB997FE">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相对位置</w:t>
            </w:r>
          </w:p>
        </w:tc>
        <w:tc>
          <w:tcPr>
            <w:tcW w:w="2692" w:type="dxa"/>
            <w:noWrap w:val="0"/>
            <w:vAlign w:val="center"/>
          </w:tcPr>
          <w:p w14:paraId="14C112E1">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建（构）筑物名称</w:t>
            </w:r>
          </w:p>
        </w:tc>
        <w:tc>
          <w:tcPr>
            <w:tcW w:w="2291" w:type="dxa"/>
            <w:noWrap w:val="0"/>
            <w:vAlign w:val="center"/>
          </w:tcPr>
          <w:p w14:paraId="58A77343">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实测间距（m）</w:t>
            </w:r>
          </w:p>
        </w:tc>
      </w:tr>
      <w:tr w14:paraId="03872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restart"/>
            <w:noWrap w:val="0"/>
            <w:vAlign w:val="center"/>
          </w:tcPr>
          <w:p w14:paraId="3A746C5F">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汽油埋地油罐</w:t>
            </w:r>
          </w:p>
          <w:p w14:paraId="62C5B454">
            <w:pPr>
              <w:pStyle w:val="46"/>
              <w:bidi w:val="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（三级站）</w:t>
            </w:r>
          </w:p>
        </w:tc>
        <w:tc>
          <w:tcPr>
            <w:tcW w:w="1233" w:type="dxa"/>
            <w:noWrap w:val="0"/>
            <w:vAlign w:val="center"/>
          </w:tcPr>
          <w:p w14:paraId="13B69EC0">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东</w:t>
            </w:r>
            <w:r>
              <w:rPr>
                <w:rFonts w:hint="eastAsia" w:ascii="宋体" w:hAnsi="宋体" w:cs="宋体"/>
                <w:kern w:val="0"/>
                <w:sz w:val="21"/>
                <w:szCs w:val="21"/>
                <w:lang w:val="en-US" w:eastAsia="zh-CN" w:bidi="ar-SA"/>
              </w:rPr>
              <w:t>南</w:t>
            </w:r>
          </w:p>
        </w:tc>
        <w:tc>
          <w:tcPr>
            <w:tcW w:w="2692" w:type="dxa"/>
            <w:noWrap w:val="0"/>
            <w:vAlign w:val="center"/>
          </w:tcPr>
          <w:p w14:paraId="79A7B5DC">
            <w:pPr>
              <w:pStyle w:val="46"/>
              <w:bidi w:val="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架空电力线（有绝缘层）</w:t>
            </w:r>
          </w:p>
        </w:tc>
        <w:tc>
          <w:tcPr>
            <w:tcW w:w="2291" w:type="dxa"/>
            <w:noWrap w:val="0"/>
            <w:vAlign w:val="center"/>
          </w:tcPr>
          <w:p w14:paraId="3F5F51CE">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汽43.44柴17.58</w:t>
            </w:r>
          </w:p>
        </w:tc>
      </w:tr>
      <w:tr w14:paraId="36C64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3AD184BE">
            <w:pPr>
              <w:pStyle w:val="46"/>
              <w:bidi w:val="0"/>
              <w:jc w:val="center"/>
              <w:rPr>
                <w:rFonts w:hint="eastAsia" w:ascii="宋体" w:hAnsi="宋体" w:eastAsia="宋体" w:cs="宋体"/>
                <w:kern w:val="0"/>
                <w:sz w:val="21"/>
                <w:szCs w:val="21"/>
                <w:lang w:val="en-US" w:eastAsia="zh-CN" w:bidi="ar-SA"/>
              </w:rPr>
            </w:pPr>
          </w:p>
        </w:tc>
        <w:tc>
          <w:tcPr>
            <w:tcW w:w="1233" w:type="dxa"/>
            <w:vMerge w:val="restart"/>
            <w:noWrap w:val="0"/>
            <w:vAlign w:val="center"/>
          </w:tcPr>
          <w:p w14:paraId="134AE4B3">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南</w:t>
            </w:r>
          </w:p>
        </w:tc>
        <w:tc>
          <w:tcPr>
            <w:tcW w:w="2692" w:type="dxa"/>
            <w:noWrap w:val="0"/>
            <w:vAlign w:val="center"/>
          </w:tcPr>
          <w:p w14:paraId="42B01A74">
            <w:pPr>
              <w:pStyle w:val="46"/>
              <w:bidi w:val="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689县道</w:t>
            </w:r>
          </w:p>
        </w:tc>
        <w:tc>
          <w:tcPr>
            <w:tcW w:w="2291" w:type="dxa"/>
            <w:noWrap w:val="0"/>
            <w:vAlign w:val="center"/>
          </w:tcPr>
          <w:p w14:paraId="49C754EA">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33.21</w:t>
            </w:r>
            <w:r>
              <w:rPr>
                <w:rFonts w:hint="eastAsia" w:ascii="宋体" w:hAnsi="宋体" w:eastAsia="宋体" w:cs="宋体"/>
              </w:rPr>
              <w:t>柴</w:t>
            </w:r>
            <w:r>
              <w:rPr>
                <w:rFonts w:hint="eastAsia" w:ascii="宋体" w:hAnsi="宋体" w:eastAsia="宋体" w:cs="宋体"/>
                <w:lang w:val="en-US" w:eastAsia="zh-CN"/>
              </w:rPr>
              <w:t>29.8</w:t>
            </w:r>
          </w:p>
        </w:tc>
      </w:tr>
      <w:tr w14:paraId="4C94A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18D5FB8B">
            <w:pPr>
              <w:pStyle w:val="46"/>
              <w:bidi w:val="0"/>
              <w:jc w:val="center"/>
              <w:rPr>
                <w:rFonts w:hint="eastAsia" w:ascii="宋体" w:hAnsi="宋体" w:eastAsia="宋体" w:cs="宋体"/>
                <w:kern w:val="0"/>
                <w:sz w:val="21"/>
                <w:szCs w:val="21"/>
                <w:lang w:val="en-US" w:eastAsia="zh-CN" w:bidi="ar-SA"/>
              </w:rPr>
            </w:pPr>
          </w:p>
        </w:tc>
        <w:tc>
          <w:tcPr>
            <w:tcW w:w="1233" w:type="dxa"/>
            <w:vMerge w:val="continue"/>
            <w:noWrap w:val="0"/>
            <w:vAlign w:val="center"/>
          </w:tcPr>
          <w:p w14:paraId="1181B4B4">
            <w:pPr>
              <w:pStyle w:val="46"/>
              <w:bidi w:val="0"/>
              <w:ind w:firstLine="0" w:firstLineChars="0"/>
              <w:jc w:val="center"/>
              <w:rPr>
                <w:rFonts w:hint="eastAsia" w:ascii="宋体" w:hAnsi="宋体" w:eastAsia="宋体" w:cs="宋体"/>
                <w:kern w:val="0"/>
                <w:sz w:val="21"/>
                <w:szCs w:val="21"/>
                <w:lang w:val="en-US" w:eastAsia="zh-CN" w:bidi="ar-SA"/>
              </w:rPr>
            </w:pPr>
          </w:p>
        </w:tc>
        <w:tc>
          <w:tcPr>
            <w:tcW w:w="2692" w:type="dxa"/>
            <w:noWrap w:val="0"/>
            <w:vAlign w:val="center"/>
          </w:tcPr>
          <w:p w14:paraId="2F358ADB">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民房（三类保护物）</w:t>
            </w:r>
          </w:p>
        </w:tc>
        <w:tc>
          <w:tcPr>
            <w:tcW w:w="2291" w:type="dxa"/>
            <w:noWrap w:val="0"/>
            <w:vAlign w:val="center"/>
          </w:tcPr>
          <w:p w14:paraId="6B63B123">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35.9</w:t>
            </w:r>
            <w:r>
              <w:rPr>
                <w:rFonts w:hint="eastAsia" w:ascii="宋体" w:hAnsi="宋体" w:eastAsia="宋体" w:cs="宋体"/>
              </w:rPr>
              <w:t>柴</w:t>
            </w:r>
            <w:r>
              <w:rPr>
                <w:rFonts w:hint="eastAsia" w:ascii="宋体" w:hAnsi="宋体" w:eastAsia="宋体" w:cs="宋体"/>
                <w:lang w:val="en-US" w:eastAsia="zh-CN"/>
              </w:rPr>
              <w:t>32.49</w:t>
            </w:r>
          </w:p>
        </w:tc>
      </w:tr>
      <w:tr w14:paraId="599E8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198162AF">
            <w:pPr>
              <w:pStyle w:val="46"/>
              <w:bidi w:val="0"/>
              <w:jc w:val="center"/>
              <w:rPr>
                <w:rFonts w:hint="eastAsia" w:ascii="宋体" w:hAnsi="宋体" w:eastAsia="宋体" w:cs="宋体"/>
                <w:kern w:val="0"/>
                <w:sz w:val="21"/>
                <w:szCs w:val="21"/>
                <w:lang w:val="en-US" w:eastAsia="zh-CN" w:bidi="ar-SA"/>
              </w:rPr>
            </w:pPr>
          </w:p>
        </w:tc>
        <w:tc>
          <w:tcPr>
            <w:tcW w:w="1233" w:type="dxa"/>
            <w:vMerge w:val="continue"/>
            <w:noWrap w:val="0"/>
            <w:vAlign w:val="center"/>
          </w:tcPr>
          <w:p w14:paraId="60847828">
            <w:pPr>
              <w:pStyle w:val="46"/>
              <w:bidi w:val="0"/>
              <w:ind w:firstLine="0" w:firstLineChars="0"/>
              <w:jc w:val="center"/>
              <w:rPr>
                <w:rFonts w:hint="eastAsia" w:ascii="宋体" w:hAnsi="宋体" w:eastAsia="宋体" w:cs="宋体"/>
                <w:kern w:val="0"/>
                <w:sz w:val="21"/>
                <w:szCs w:val="21"/>
                <w:lang w:val="en-US" w:eastAsia="zh-CN" w:bidi="ar-SA"/>
              </w:rPr>
            </w:pPr>
          </w:p>
        </w:tc>
        <w:tc>
          <w:tcPr>
            <w:tcW w:w="2692" w:type="dxa"/>
            <w:noWrap w:val="0"/>
            <w:vAlign w:val="center"/>
          </w:tcPr>
          <w:p w14:paraId="489E8283">
            <w:pPr>
              <w:pStyle w:val="46"/>
              <w:bidi w:val="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架空电力线（无绝缘层）</w:t>
            </w:r>
          </w:p>
        </w:tc>
        <w:tc>
          <w:tcPr>
            <w:tcW w:w="2291" w:type="dxa"/>
            <w:noWrap w:val="0"/>
            <w:vAlign w:val="center"/>
          </w:tcPr>
          <w:p w14:paraId="11C0672D">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44.97</w:t>
            </w:r>
            <w:r>
              <w:rPr>
                <w:rFonts w:hint="eastAsia" w:ascii="宋体" w:hAnsi="宋体" w:eastAsia="宋体" w:cs="宋体"/>
              </w:rPr>
              <w:t>柴</w:t>
            </w:r>
            <w:r>
              <w:rPr>
                <w:rFonts w:hint="eastAsia" w:ascii="宋体" w:hAnsi="宋体" w:eastAsia="宋体" w:cs="宋体"/>
                <w:lang w:val="en-US" w:eastAsia="zh-CN"/>
              </w:rPr>
              <w:t>44.56</w:t>
            </w:r>
          </w:p>
        </w:tc>
      </w:tr>
      <w:tr w14:paraId="7FD4C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1509" w:type="dxa"/>
            <w:vMerge w:val="continue"/>
            <w:noWrap w:val="0"/>
            <w:vAlign w:val="center"/>
          </w:tcPr>
          <w:p w14:paraId="7B1A0526">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3B305CC5">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西</w:t>
            </w:r>
            <w:r>
              <w:rPr>
                <w:rFonts w:hint="eastAsia" w:ascii="宋体" w:hAnsi="宋体" w:cs="宋体"/>
                <w:kern w:val="0"/>
                <w:sz w:val="21"/>
                <w:szCs w:val="21"/>
                <w:lang w:val="en-US" w:eastAsia="zh-CN" w:bidi="ar-SA"/>
              </w:rPr>
              <w:t>南</w:t>
            </w:r>
          </w:p>
        </w:tc>
        <w:tc>
          <w:tcPr>
            <w:tcW w:w="2692" w:type="dxa"/>
            <w:noWrap w:val="0"/>
            <w:vAlign w:val="center"/>
          </w:tcPr>
          <w:p w14:paraId="7F809014">
            <w:pPr>
              <w:pStyle w:val="46"/>
              <w:bidi w:val="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架空通讯线</w:t>
            </w:r>
          </w:p>
        </w:tc>
        <w:tc>
          <w:tcPr>
            <w:tcW w:w="2291" w:type="dxa"/>
            <w:noWrap w:val="0"/>
            <w:vAlign w:val="center"/>
          </w:tcPr>
          <w:p w14:paraId="0BED2630">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17.19</w:t>
            </w:r>
            <w:r>
              <w:rPr>
                <w:rFonts w:hint="eastAsia" w:ascii="宋体" w:hAnsi="宋体" w:eastAsia="宋体" w:cs="宋体"/>
              </w:rPr>
              <w:t>柴</w:t>
            </w:r>
            <w:r>
              <w:rPr>
                <w:rFonts w:hint="eastAsia" w:ascii="宋体" w:hAnsi="宋体" w:eastAsia="宋体" w:cs="宋体"/>
                <w:lang w:val="en-US" w:eastAsia="zh-CN"/>
              </w:rPr>
              <w:t>14</w:t>
            </w:r>
          </w:p>
        </w:tc>
      </w:tr>
      <w:tr w14:paraId="60316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509" w:type="dxa"/>
            <w:vMerge w:val="continue"/>
            <w:noWrap w:val="0"/>
            <w:vAlign w:val="center"/>
          </w:tcPr>
          <w:p w14:paraId="640BA3BA">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2FF14B6B">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西</w:t>
            </w:r>
          </w:p>
        </w:tc>
        <w:tc>
          <w:tcPr>
            <w:tcW w:w="2692" w:type="dxa"/>
            <w:noWrap w:val="0"/>
            <w:vAlign w:val="center"/>
          </w:tcPr>
          <w:p w14:paraId="0105359D">
            <w:pPr>
              <w:pStyle w:val="46"/>
              <w:bidi w:val="0"/>
              <w:jc w:val="center"/>
              <w:rPr>
                <w:rFonts w:hint="default" w:ascii="宋体" w:hAnsi="宋体" w:eastAsia="宋体" w:cs="宋体"/>
                <w:kern w:val="0"/>
                <w:sz w:val="21"/>
                <w:szCs w:val="21"/>
                <w:lang w:val="en-US" w:eastAsia="zh-CN" w:bidi="ar-SA"/>
              </w:rPr>
            </w:pPr>
            <w:r>
              <w:rPr>
                <w:rFonts w:hint="default" w:ascii="宋体" w:hAnsi="宋体" w:eastAsia="宋体" w:cs="宋体"/>
                <w:kern w:val="0"/>
                <w:sz w:val="21"/>
                <w:szCs w:val="21"/>
                <w:lang w:val="en-US" w:eastAsia="zh-CN" w:bidi="ar-SA"/>
              </w:rPr>
              <w:t>民房（三类保护物）</w:t>
            </w:r>
          </w:p>
        </w:tc>
        <w:tc>
          <w:tcPr>
            <w:tcW w:w="2291" w:type="dxa"/>
            <w:noWrap w:val="0"/>
            <w:vAlign w:val="center"/>
          </w:tcPr>
          <w:p w14:paraId="40A0CB06">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13.1</w:t>
            </w:r>
            <w:r>
              <w:rPr>
                <w:rFonts w:hint="eastAsia" w:ascii="宋体" w:hAnsi="宋体" w:eastAsia="宋体" w:cs="宋体"/>
              </w:rPr>
              <w:t>柴</w:t>
            </w:r>
            <w:r>
              <w:rPr>
                <w:rFonts w:hint="eastAsia" w:ascii="宋体" w:hAnsi="宋体" w:eastAsia="宋体" w:cs="宋体"/>
                <w:lang w:val="en-US" w:eastAsia="zh-CN"/>
              </w:rPr>
              <w:t>13.1</w:t>
            </w:r>
          </w:p>
        </w:tc>
      </w:tr>
      <w:tr w14:paraId="182EB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46098304">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1AF742FA">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西</w:t>
            </w:r>
            <w:r>
              <w:rPr>
                <w:rFonts w:hint="eastAsia" w:ascii="宋体" w:hAnsi="宋体" w:eastAsia="宋体" w:cs="宋体"/>
                <w:kern w:val="0"/>
                <w:sz w:val="21"/>
                <w:szCs w:val="21"/>
                <w:lang w:val="en-US" w:eastAsia="zh-CN" w:bidi="ar-SA"/>
              </w:rPr>
              <w:t>北</w:t>
            </w:r>
          </w:p>
        </w:tc>
        <w:tc>
          <w:tcPr>
            <w:tcW w:w="2692" w:type="dxa"/>
            <w:noWrap w:val="0"/>
            <w:vAlign w:val="center"/>
          </w:tcPr>
          <w:p w14:paraId="49785B72">
            <w:pPr>
              <w:pStyle w:val="46"/>
              <w:bidi w:val="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学校</w:t>
            </w:r>
            <w:r>
              <w:rPr>
                <w:rFonts w:hint="eastAsia" w:ascii="宋体" w:hAnsi="宋体" w:eastAsia="宋体" w:cs="宋体"/>
                <w:kern w:val="0"/>
                <w:sz w:val="21"/>
                <w:szCs w:val="21"/>
                <w:lang w:val="en-US" w:eastAsia="zh-CN" w:bidi="ar-SA"/>
              </w:rPr>
              <w:t>（</w:t>
            </w:r>
            <w:r>
              <w:rPr>
                <w:rFonts w:hint="eastAsia" w:ascii="宋体" w:hAnsi="宋体" w:cs="宋体"/>
                <w:kern w:val="0"/>
                <w:sz w:val="21"/>
                <w:szCs w:val="21"/>
                <w:lang w:val="en-US" w:eastAsia="zh-CN" w:bidi="ar-SA"/>
              </w:rPr>
              <w:t>重要公共建筑物</w:t>
            </w:r>
            <w:r>
              <w:rPr>
                <w:rFonts w:hint="eastAsia" w:ascii="宋体" w:hAnsi="宋体" w:eastAsia="宋体" w:cs="宋体"/>
                <w:kern w:val="0"/>
                <w:sz w:val="21"/>
                <w:szCs w:val="21"/>
                <w:lang w:val="en-US" w:eastAsia="zh-CN" w:bidi="ar-SA"/>
              </w:rPr>
              <w:t>）</w:t>
            </w:r>
          </w:p>
        </w:tc>
        <w:tc>
          <w:tcPr>
            <w:tcW w:w="2291" w:type="dxa"/>
            <w:noWrap w:val="0"/>
            <w:vAlign w:val="center"/>
          </w:tcPr>
          <w:p w14:paraId="7CAF8500">
            <w:pPr>
              <w:pStyle w:val="46"/>
              <w:bidi w:val="0"/>
              <w:jc w:val="center"/>
              <w:rPr>
                <w:rFonts w:hint="default"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74.</w:t>
            </w:r>
            <w:r>
              <w:rPr>
                <w:rFonts w:hint="eastAsia" w:ascii="宋体" w:hAnsi="宋体" w:cs="宋体"/>
                <w:lang w:val="en-US" w:eastAsia="zh-CN"/>
              </w:rPr>
              <w:t>64</w:t>
            </w:r>
            <w:r>
              <w:rPr>
                <w:rFonts w:hint="eastAsia" w:ascii="宋体" w:hAnsi="宋体" w:eastAsia="宋体" w:cs="宋体"/>
                <w:lang w:val="en-US" w:eastAsia="zh-CN"/>
              </w:rPr>
              <w:t>柴72.</w:t>
            </w:r>
            <w:r>
              <w:rPr>
                <w:rFonts w:hint="eastAsia" w:ascii="宋体" w:hAnsi="宋体" w:cs="宋体"/>
                <w:lang w:val="en-US" w:eastAsia="zh-CN"/>
              </w:rPr>
              <w:t>28</w:t>
            </w:r>
          </w:p>
        </w:tc>
      </w:tr>
      <w:tr w14:paraId="05DD3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restart"/>
            <w:noWrap w:val="0"/>
            <w:vAlign w:val="center"/>
          </w:tcPr>
          <w:p w14:paraId="2E18476A">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zh-CN" w:eastAsia="zh-CN" w:bidi="ar-SA"/>
              </w:rPr>
              <w:t>汽油通气管管口</w:t>
            </w:r>
          </w:p>
        </w:tc>
        <w:tc>
          <w:tcPr>
            <w:tcW w:w="1233" w:type="dxa"/>
            <w:vMerge w:val="restart"/>
            <w:noWrap w:val="0"/>
            <w:vAlign w:val="center"/>
          </w:tcPr>
          <w:p w14:paraId="1794DFAA">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东</w:t>
            </w:r>
            <w:r>
              <w:rPr>
                <w:rFonts w:hint="eastAsia" w:ascii="宋体" w:hAnsi="宋体" w:cs="宋体"/>
                <w:kern w:val="0"/>
                <w:sz w:val="21"/>
                <w:szCs w:val="21"/>
                <w:lang w:val="en-US" w:eastAsia="zh-CN" w:bidi="ar-SA"/>
              </w:rPr>
              <w:t>南</w:t>
            </w:r>
          </w:p>
        </w:tc>
        <w:tc>
          <w:tcPr>
            <w:tcW w:w="2692" w:type="dxa"/>
            <w:noWrap w:val="0"/>
            <w:vAlign w:val="center"/>
          </w:tcPr>
          <w:p w14:paraId="10DDDC0E">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架空电力线（有绝缘层）</w:t>
            </w:r>
          </w:p>
        </w:tc>
        <w:tc>
          <w:tcPr>
            <w:tcW w:w="2291" w:type="dxa"/>
            <w:noWrap w:val="0"/>
            <w:vAlign w:val="center"/>
          </w:tcPr>
          <w:p w14:paraId="50E6EE55">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19.49</w:t>
            </w:r>
            <w:r>
              <w:rPr>
                <w:rFonts w:hint="eastAsia" w:ascii="宋体" w:hAnsi="宋体" w:eastAsia="宋体" w:cs="宋体"/>
              </w:rPr>
              <w:t>柴</w:t>
            </w:r>
            <w:r>
              <w:rPr>
                <w:rFonts w:hint="eastAsia" w:ascii="宋体" w:hAnsi="宋体" w:eastAsia="宋体" w:cs="宋体"/>
                <w:lang w:val="en-US" w:eastAsia="zh-CN"/>
              </w:rPr>
              <w:t>16.84</w:t>
            </w:r>
          </w:p>
        </w:tc>
      </w:tr>
      <w:tr w14:paraId="3E564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1509" w:type="dxa"/>
            <w:vMerge w:val="continue"/>
            <w:noWrap w:val="0"/>
            <w:vAlign w:val="center"/>
          </w:tcPr>
          <w:p w14:paraId="61178EB2">
            <w:pPr>
              <w:pStyle w:val="46"/>
              <w:bidi w:val="0"/>
              <w:jc w:val="center"/>
              <w:rPr>
                <w:rFonts w:hint="eastAsia" w:ascii="宋体" w:hAnsi="宋体" w:eastAsia="宋体" w:cs="宋体"/>
                <w:kern w:val="0"/>
                <w:sz w:val="21"/>
                <w:szCs w:val="21"/>
                <w:lang w:val="zh-CN" w:eastAsia="zh-CN" w:bidi="ar-SA"/>
              </w:rPr>
            </w:pPr>
          </w:p>
        </w:tc>
        <w:tc>
          <w:tcPr>
            <w:tcW w:w="1233" w:type="dxa"/>
            <w:vMerge w:val="continue"/>
            <w:noWrap w:val="0"/>
            <w:vAlign w:val="center"/>
          </w:tcPr>
          <w:p w14:paraId="3DB53C1E">
            <w:pPr>
              <w:pStyle w:val="46"/>
              <w:bidi w:val="0"/>
              <w:ind w:firstLine="0" w:firstLineChars="0"/>
              <w:jc w:val="center"/>
              <w:rPr>
                <w:rFonts w:hint="default" w:ascii="宋体" w:hAnsi="宋体" w:eastAsia="宋体" w:cs="宋体"/>
                <w:kern w:val="0"/>
                <w:sz w:val="21"/>
                <w:szCs w:val="21"/>
                <w:lang w:val="en-US" w:eastAsia="zh-CN" w:bidi="ar-SA"/>
              </w:rPr>
            </w:pPr>
          </w:p>
        </w:tc>
        <w:tc>
          <w:tcPr>
            <w:tcW w:w="2692" w:type="dxa"/>
            <w:noWrap w:val="0"/>
            <w:vAlign w:val="center"/>
          </w:tcPr>
          <w:p w14:paraId="1A85B553">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民房（三类保护物）</w:t>
            </w:r>
          </w:p>
        </w:tc>
        <w:tc>
          <w:tcPr>
            <w:tcW w:w="2291" w:type="dxa"/>
            <w:noWrap w:val="0"/>
            <w:vAlign w:val="center"/>
          </w:tcPr>
          <w:p w14:paraId="478E42D7">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26.48</w:t>
            </w:r>
            <w:r>
              <w:rPr>
                <w:rFonts w:hint="eastAsia" w:ascii="宋体" w:hAnsi="宋体" w:eastAsia="宋体" w:cs="宋体"/>
              </w:rPr>
              <w:t>柴</w:t>
            </w:r>
            <w:r>
              <w:rPr>
                <w:rFonts w:hint="eastAsia" w:ascii="宋体" w:hAnsi="宋体" w:eastAsia="宋体" w:cs="宋体"/>
                <w:lang w:val="en-US" w:eastAsia="zh-CN"/>
              </w:rPr>
              <w:t>26.48</w:t>
            </w:r>
          </w:p>
        </w:tc>
      </w:tr>
      <w:tr w14:paraId="3573A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1509" w:type="dxa"/>
            <w:vMerge w:val="continue"/>
            <w:noWrap w:val="0"/>
            <w:vAlign w:val="center"/>
          </w:tcPr>
          <w:p w14:paraId="3774E5A8">
            <w:pPr>
              <w:pStyle w:val="46"/>
              <w:bidi w:val="0"/>
              <w:jc w:val="center"/>
              <w:rPr>
                <w:rFonts w:hint="eastAsia" w:ascii="宋体" w:hAnsi="宋体" w:eastAsia="宋体" w:cs="宋体"/>
                <w:kern w:val="0"/>
                <w:sz w:val="21"/>
                <w:szCs w:val="21"/>
                <w:lang w:val="en-US" w:eastAsia="zh-CN" w:bidi="ar-SA"/>
              </w:rPr>
            </w:pPr>
          </w:p>
        </w:tc>
        <w:tc>
          <w:tcPr>
            <w:tcW w:w="1233" w:type="dxa"/>
            <w:vMerge w:val="restart"/>
            <w:noWrap w:val="0"/>
            <w:vAlign w:val="center"/>
          </w:tcPr>
          <w:p w14:paraId="599CC172">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南</w:t>
            </w:r>
          </w:p>
        </w:tc>
        <w:tc>
          <w:tcPr>
            <w:tcW w:w="2692" w:type="dxa"/>
            <w:noWrap w:val="0"/>
            <w:vAlign w:val="center"/>
          </w:tcPr>
          <w:p w14:paraId="4E9FE0D7">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689县道</w:t>
            </w:r>
          </w:p>
        </w:tc>
        <w:tc>
          <w:tcPr>
            <w:tcW w:w="2291" w:type="dxa"/>
            <w:noWrap w:val="0"/>
            <w:vAlign w:val="center"/>
          </w:tcPr>
          <w:p w14:paraId="2DFE9404">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34.67</w:t>
            </w:r>
            <w:r>
              <w:rPr>
                <w:rFonts w:hint="eastAsia" w:ascii="宋体" w:hAnsi="宋体" w:eastAsia="宋体" w:cs="宋体"/>
              </w:rPr>
              <w:t>柴</w:t>
            </w:r>
            <w:r>
              <w:rPr>
                <w:rFonts w:hint="eastAsia" w:ascii="宋体" w:hAnsi="宋体" w:eastAsia="宋体" w:cs="宋体"/>
                <w:lang w:val="en-US" w:eastAsia="zh-CN"/>
              </w:rPr>
              <w:t>29.8</w:t>
            </w:r>
          </w:p>
        </w:tc>
      </w:tr>
      <w:tr w14:paraId="4D897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5F018878">
            <w:pPr>
              <w:pStyle w:val="46"/>
              <w:bidi w:val="0"/>
              <w:jc w:val="center"/>
              <w:rPr>
                <w:rFonts w:hint="eastAsia" w:ascii="宋体" w:hAnsi="宋体" w:eastAsia="宋体" w:cs="宋体"/>
                <w:kern w:val="0"/>
                <w:sz w:val="21"/>
                <w:szCs w:val="21"/>
                <w:lang w:val="en-US" w:eastAsia="zh-CN" w:bidi="ar-SA"/>
              </w:rPr>
            </w:pPr>
          </w:p>
        </w:tc>
        <w:tc>
          <w:tcPr>
            <w:tcW w:w="1233" w:type="dxa"/>
            <w:vMerge w:val="continue"/>
            <w:noWrap w:val="0"/>
            <w:vAlign w:val="center"/>
          </w:tcPr>
          <w:p w14:paraId="39E23D18">
            <w:pPr>
              <w:pStyle w:val="46"/>
              <w:bidi w:val="0"/>
              <w:ind w:firstLine="0" w:firstLineChars="0"/>
              <w:jc w:val="center"/>
              <w:rPr>
                <w:rFonts w:hint="eastAsia" w:ascii="宋体" w:hAnsi="宋体" w:eastAsia="宋体" w:cs="宋体"/>
                <w:kern w:val="0"/>
                <w:sz w:val="21"/>
                <w:szCs w:val="21"/>
                <w:lang w:val="en-US" w:eastAsia="zh-CN" w:bidi="ar-SA"/>
              </w:rPr>
            </w:pPr>
          </w:p>
        </w:tc>
        <w:tc>
          <w:tcPr>
            <w:tcW w:w="2692" w:type="dxa"/>
            <w:noWrap w:val="0"/>
            <w:vAlign w:val="center"/>
          </w:tcPr>
          <w:p w14:paraId="038F85DE">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民房（三类保护物）</w:t>
            </w:r>
          </w:p>
        </w:tc>
        <w:tc>
          <w:tcPr>
            <w:tcW w:w="2291" w:type="dxa"/>
            <w:noWrap w:val="0"/>
            <w:vAlign w:val="center"/>
          </w:tcPr>
          <w:p w14:paraId="52E0E476">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34.67</w:t>
            </w:r>
            <w:r>
              <w:rPr>
                <w:rFonts w:hint="eastAsia" w:ascii="宋体" w:hAnsi="宋体" w:eastAsia="宋体" w:cs="宋体"/>
              </w:rPr>
              <w:t>柴</w:t>
            </w:r>
            <w:r>
              <w:rPr>
                <w:rFonts w:hint="eastAsia" w:ascii="宋体" w:hAnsi="宋体" w:eastAsia="宋体" w:cs="宋体"/>
                <w:lang w:val="en-US" w:eastAsia="zh-CN"/>
              </w:rPr>
              <w:t>34.67</w:t>
            </w:r>
          </w:p>
        </w:tc>
      </w:tr>
      <w:tr w14:paraId="44570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575CA8F5">
            <w:pPr>
              <w:pStyle w:val="46"/>
              <w:bidi w:val="0"/>
              <w:jc w:val="center"/>
              <w:rPr>
                <w:rFonts w:hint="eastAsia" w:ascii="宋体" w:hAnsi="宋体" w:eastAsia="宋体" w:cs="宋体"/>
                <w:kern w:val="0"/>
                <w:sz w:val="21"/>
                <w:szCs w:val="21"/>
                <w:lang w:val="en-US" w:eastAsia="zh-CN" w:bidi="ar-SA"/>
              </w:rPr>
            </w:pPr>
          </w:p>
        </w:tc>
        <w:tc>
          <w:tcPr>
            <w:tcW w:w="1233" w:type="dxa"/>
            <w:vMerge w:val="continue"/>
            <w:noWrap w:val="0"/>
            <w:vAlign w:val="center"/>
          </w:tcPr>
          <w:p w14:paraId="32AE6A36">
            <w:pPr>
              <w:pStyle w:val="46"/>
              <w:bidi w:val="0"/>
              <w:ind w:firstLine="0" w:firstLineChars="0"/>
              <w:jc w:val="center"/>
              <w:rPr>
                <w:rFonts w:hint="eastAsia" w:ascii="宋体" w:hAnsi="宋体" w:eastAsia="宋体" w:cs="宋体"/>
                <w:kern w:val="0"/>
                <w:sz w:val="21"/>
                <w:szCs w:val="21"/>
                <w:lang w:val="en-US" w:eastAsia="zh-CN" w:bidi="ar-SA"/>
              </w:rPr>
            </w:pPr>
          </w:p>
        </w:tc>
        <w:tc>
          <w:tcPr>
            <w:tcW w:w="2692" w:type="dxa"/>
            <w:noWrap w:val="0"/>
            <w:vAlign w:val="center"/>
          </w:tcPr>
          <w:p w14:paraId="2F3897D8">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架空电力线（无绝缘层）</w:t>
            </w:r>
          </w:p>
        </w:tc>
        <w:tc>
          <w:tcPr>
            <w:tcW w:w="2291" w:type="dxa"/>
            <w:noWrap w:val="0"/>
            <w:vAlign w:val="center"/>
          </w:tcPr>
          <w:p w14:paraId="52C1431C">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18.63</w:t>
            </w:r>
            <w:r>
              <w:rPr>
                <w:rFonts w:hint="eastAsia" w:ascii="宋体" w:hAnsi="宋体" w:eastAsia="宋体" w:cs="宋体"/>
              </w:rPr>
              <w:t>柴</w:t>
            </w:r>
            <w:r>
              <w:rPr>
                <w:rFonts w:hint="eastAsia" w:ascii="宋体" w:hAnsi="宋体" w:eastAsia="宋体" w:cs="宋体"/>
                <w:lang w:val="en-US" w:eastAsia="zh-CN"/>
              </w:rPr>
              <w:t>18.63</w:t>
            </w:r>
          </w:p>
        </w:tc>
      </w:tr>
      <w:tr w14:paraId="1437F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41AFBC81">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05563BDD">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西南</w:t>
            </w:r>
          </w:p>
        </w:tc>
        <w:tc>
          <w:tcPr>
            <w:tcW w:w="2692" w:type="dxa"/>
            <w:noWrap w:val="0"/>
            <w:vAlign w:val="center"/>
          </w:tcPr>
          <w:p w14:paraId="1A6EC80E">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架空通讯线</w:t>
            </w:r>
          </w:p>
        </w:tc>
        <w:tc>
          <w:tcPr>
            <w:tcW w:w="2291" w:type="dxa"/>
            <w:noWrap w:val="0"/>
            <w:vAlign w:val="center"/>
          </w:tcPr>
          <w:p w14:paraId="404DDE15">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20.53</w:t>
            </w:r>
            <w:r>
              <w:rPr>
                <w:rFonts w:hint="eastAsia" w:ascii="宋体" w:hAnsi="宋体" w:eastAsia="宋体" w:cs="宋体"/>
              </w:rPr>
              <w:t>柴</w:t>
            </w:r>
            <w:r>
              <w:rPr>
                <w:rFonts w:hint="eastAsia" w:ascii="宋体" w:hAnsi="宋体" w:eastAsia="宋体" w:cs="宋体"/>
                <w:lang w:val="en-US" w:eastAsia="zh-CN"/>
              </w:rPr>
              <w:t>20.53</w:t>
            </w:r>
          </w:p>
        </w:tc>
      </w:tr>
      <w:tr w14:paraId="04BA7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29B2AD93">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7CAA89BA">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西</w:t>
            </w:r>
          </w:p>
        </w:tc>
        <w:tc>
          <w:tcPr>
            <w:tcW w:w="2692" w:type="dxa"/>
            <w:noWrap w:val="0"/>
            <w:vAlign w:val="center"/>
          </w:tcPr>
          <w:p w14:paraId="2BCF12C3">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民房（三类保护物）</w:t>
            </w:r>
          </w:p>
        </w:tc>
        <w:tc>
          <w:tcPr>
            <w:tcW w:w="2291" w:type="dxa"/>
            <w:noWrap w:val="0"/>
            <w:vAlign w:val="center"/>
          </w:tcPr>
          <w:p w14:paraId="46913502">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18.49</w:t>
            </w:r>
            <w:r>
              <w:rPr>
                <w:rFonts w:hint="eastAsia" w:ascii="宋体" w:hAnsi="宋体" w:eastAsia="宋体" w:cs="宋体"/>
              </w:rPr>
              <w:t>柴</w:t>
            </w:r>
            <w:r>
              <w:rPr>
                <w:rFonts w:hint="eastAsia" w:ascii="宋体" w:hAnsi="宋体" w:eastAsia="宋体" w:cs="宋体"/>
                <w:lang w:val="en-US" w:eastAsia="zh-CN"/>
              </w:rPr>
              <w:t>18.49</w:t>
            </w:r>
          </w:p>
        </w:tc>
      </w:tr>
      <w:tr w14:paraId="45FD9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09D7C0EE">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6F7331F8">
            <w:pPr>
              <w:pStyle w:val="46"/>
              <w:bidi w:val="0"/>
              <w:ind w:firstLine="0" w:firstLineChars="0"/>
              <w:jc w:val="center"/>
              <w:rPr>
                <w:rFonts w:hint="default" w:ascii="宋体" w:hAnsi="宋体" w:cs="宋体"/>
                <w:kern w:val="0"/>
                <w:sz w:val="21"/>
                <w:szCs w:val="21"/>
                <w:lang w:val="en-US" w:eastAsia="zh-CN" w:bidi="ar-SA"/>
              </w:rPr>
            </w:pPr>
            <w:r>
              <w:rPr>
                <w:rFonts w:hint="eastAsia" w:ascii="宋体" w:hAnsi="宋体" w:cs="宋体"/>
                <w:kern w:val="0"/>
                <w:sz w:val="21"/>
                <w:szCs w:val="21"/>
                <w:lang w:val="en-US" w:eastAsia="zh-CN" w:bidi="ar-SA"/>
              </w:rPr>
              <w:t>西北</w:t>
            </w:r>
          </w:p>
        </w:tc>
        <w:tc>
          <w:tcPr>
            <w:tcW w:w="2692" w:type="dxa"/>
            <w:noWrap w:val="0"/>
            <w:vAlign w:val="center"/>
          </w:tcPr>
          <w:p w14:paraId="747B1534">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学校（重要公共建筑物）</w:t>
            </w:r>
          </w:p>
        </w:tc>
        <w:tc>
          <w:tcPr>
            <w:tcW w:w="2291" w:type="dxa"/>
            <w:noWrap w:val="0"/>
            <w:vAlign w:val="center"/>
          </w:tcPr>
          <w:p w14:paraId="067C7123">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78.61柴78.61</w:t>
            </w:r>
          </w:p>
        </w:tc>
      </w:tr>
      <w:tr w14:paraId="4967C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509" w:type="dxa"/>
            <w:vMerge w:val="restart"/>
            <w:noWrap w:val="0"/>
            <w:vAlign w:val="center"/>
          </w:tcPr>
          <w:p w14:paraId="5850B104">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zh-CN" w:eastAsia="zh-CN" w:bidi="ar-SA"/>
              </w:rPr>
              <w:t>汽油加油机</w:t>
            </w:r>
          </w:p>
        </w:tc>
        <w:tc>
          <w:tcPr>
            <w:tcW w:w="1233" w:type="dxa"/>
            <w:vMerge w:val="restart"/>
            <w:noWrap w:val="0"/>
            <w:vAlign w:val="center"/>
          </w:tcPr>
          <w:p w14:paraId="2A21F041">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东</w:t>
            </w:r>
          </w:p>
        </w:tc>
        <w:tc>
          <w:tcPr>
            <w:tcW w:w="2692" w:type="dxa"/>
            <w:noWrap w:val="0"/>
            <w:vAlign w:val="center"/>
          </w:tcPr>
          <w:p w14:paraId="0FCE9A15">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架空电力线（有绝缘层）</w:t>
            </w:r>
          </w:p>
        </w:tc>
        <w:tc>
          <w:tcPr>
            <w:tcW w:w="2291" w:type="dxa"/>
            <w:noWrap w:val="0"/>
            <w:vAlign w:val="center"/>
          </w:tcPr>
          <w:p w14:paraId="223B7F37">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19.49</w:t>
            </w:r>
            <w:r>
              <w:rPr>
                <w:rFonts w:hint="eastAsia" w:ascii="宋体" w:hAnsi="宋体" w:eastAsia="宋体" w:cs="宋体"/>
              </w:rPr>
              <w:t>柴</w:t>
            </w:r>
            <w:r>
              <w:rPr>
                <w:rFonts w:hint="eastAsia" w:ascii="宋体" w:hAnsi="宋体" w:eastAsia="宋体" w:cs="宋体"/>
                <w:lang w:val="en-US" w:eastAsia="zh-CN"/>
              </w:rPr>
              <w:t>16.84</w:t>
            </w:r>
          </w:p>
        </w:tc>
      </w:tr>
      <w:tr w14:paraId="6DEE6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735FE9D3">
            <w:pPr>
              <w:pStyle w:val="46"/>
              <w:bidi w:val="0"/>
              <w:jc w:val="center"/>
              <w:rPr>
                <w:rFonts w:hint="eastAsia" w:ascii="宋体" w:hAnsi="宋体" w:eastAsia="宋体" w:cs="宋体"/>
                <w:kern w:val="0"/>
                <w:sz w:val="21"/>
                <w:szCs w:val="21"/>
                <w:lang w:val="zh-CN" w:eastAsia="zh-CN" w:bidi="ar-SA"/>
              </w:rPr>
            </w:pPr>
          </w:p>
        </w:tc>
        <w:tc>
          <w:tcPr>
            <w:tcW w:w="1233" w:type="dxa"/>
            <w:vMerge w:val="continue"/>
            <w:noWrap w:val="0"/>
            <w:vAlign w:val="center"/>
          </w:tcPr>
          <w:p w14:paraId="00A8D36A">
            <w:pPr>
              <w:pStyle w:val="46"/>
              <w:bidi w:val="0"/>
              <w:ind w:firstLine="0" w:firstLineChars="0"/>
              <w:jc w:val="center"/>
              <w:rPr>
                <w:rFonts w:hint="default" w:ascii="宋体" w:hAnsi="宋体" w:eastAsia="宋体" w:cs="宋体"/>
                <w:kern w:val="0"/>
                <w:sz w:val="21"/>
                <w:szCs w:val="21"/>
                <w:lang w:val="en-US" w:eastAsia="zh-CN" w:bidi="ar-SA"/>
              </w:rPr>
            </w:pPr>
          </w:p>
        </w:tc>
        <w:tc>
          <w:tcPr>
            <w:tcW w:w="2692" w:type="dxa"/>
            <w:noWrap w:val="0"/>
            <w:vAlign w:val="center"/>
          </w:tcPr>
          <w:p w14:paraId="1F7293A1">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民房（三类保护物）</w:t>
            </w:r>
          </w:p>
        </w:tc>
        <w:tc>
          <w:tcPr>
            <w:tcW w:w="2291" w:type="dxa"/>
            <w:noWrap w:val="0"/>
            <w:vAlign w:val="center"/>
          </w:tcPr>
          <w:p w14:paraId="54DF8A25">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21.9</w:t>
            </w:r>
            <w:r>
              <w:rPr>
                <w:rFonts w:hint="eastAsia" w:ascii="宋体" w:hAnsi="宋体" w:eastAsia="宋体" w:cs="宋体"/>
              </w:rPr>
              <w:t>柴</w:t>
            </w:r>
            <w:r>
              <w:rPr>
                <w:rFonts w:hint="eastAsia" w:ascii="宋体" w:hAnsi="宋体" w:eastAsia="宋体" w:cs="宋体"/>
                <w:lang w:val="en-US" w:eastAsia="zh-CN"/>
              </w:rPr>
              <w:t>15.1</w:t>
            </w:r>
          </w:p>
        </w:tc>
      </w:tr>
      <w:tr w14:paraId="2D609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702CD972">
            <w:pPr>
              <w:pStyle w:val="46"/>
              <w:bidi w:val="0"/>
              <w:jc w:val="center"/>
              <w:rPr>
                <w:rFonts w:hint="eastAsia" w:ascii="宋体" w:hAnsi="宋体" w:eastAsia="宋体" w:cs="宋体"/>
                <w:kern w:val="0"/>
                <w:sz w:val="21"/>
                <w:szCs w:val="21"/>
                <w:lang w:val="zh-CN" w:eastAsia="zh-CN" w:bidi="ar-SA"/>
              </w:rPr>
            </w:pPr>
          </w:p>
        </w:tc>
        <w:tc>
          <w:tcPr>
            <w:tcW w:w="1233" w:type="dxa"/>
            <w:vMerge w:val="restart"/>
            <w:noWrap w:val="0"/>
            <w:vAlign w:val="center"/>
          </w:tcPr>
          <w:p w14:paraId="15CF53AB">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南</w:t>
            </w:r>
          </w:p>
        </w:tc>
        <w:tc>
          <w:tcPr>
            <w:tcW w:w="2692" w:type="dxa"/>
            <w:noWrap w:val="0"/>
            <w:vAlign w:val="center"/>
          </w:tcPr>
          <w:p w14:paraId="37D28BB4">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689县道</w:t>
            </w:r>
          </w:p>
        </w:tc>
        <w:tc>
          <w:tcPr>
            <w:tcW w:w="2291" w:type="dxa"/>
            <w:noWrap w:val="0"/>
            <w:vAlign w:val="center"/>
          </w:tcPr>
          <w:p w14:paraId="2E9881F2">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8.4</w:t>
            </w:r>
            <w:r>
              <w:rPr>
                <w:rFonts w:hint="eastAsia" w:ascii="宋体" w:hAnsi="宋体" w:eastAsia="宋体" w:cs="宋体"/>
              </w:rPr>
              <w:t>柴</w:t>
            </w:r>
            <w:r>
              <w:rPr>
                <w:rFonts w:hint="eastAsia" w:ascii="宋体" w:hAnsi="宋体" w:eastAsia="宋体" w:cs="宋体"/>
                <w:lang w:val="en-US" w:eastAsia="zh-CN"/>
              </w:rPr>
              <w:t>8.4</w:t>
            </w:r>
          </w:p>
        </w:tc>
      </w:tr>
      <w:tr w14:paraId="6A9DB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4DA7B9EE">
            <w:pPr>
              <w:pStyle w:val="46"/>
              <w:bidi w:val="0"/>
              <w:jc w:val="center"/>
              <w:rPr>
                <w:rFonts w:hint="eastAsia" w:ascii="宋体" w:hAnsi="宋体" w:eastAsia="宋体" w:cs="宋体"/>
                <w:kern w:val="0"/>
                <w:sz w:val="21"/>
                <w:szCs w:val="21"/>
                <w:lang w:val="en-US" w:eastAsia="zh-CN" w:bidi="ar-SA"/>
              </w:rPr>
            </w:pPr>
          </w:p>
        </w:tc>
        <w:tc>
          <w:tcPr>
            <w:tcW w:w="1233" w:type="dxa"/>
            <w:vMerge w:val="continue"/>
            <w:noWrap w:val="0"/>
            <w:vAlign w:val="center"/>
          </w:tcPr>
          <w:p w14:paraId="078673D1">
            <w:pPr>
              <w:pStyle w:val="46"/>
              <w:bidi w:val="0"/>
              <w:ind w:firstLine="0" w:firstLineChars="0"/>
              <w:jc w:val="center"/>
              <w:rPr>
                <w:rFonts w:hint="eastAsia" w:ascii="宋体" w:hAnsi="宋体" w:eastAsia="宋体" w:cs="宋体"/>
                <w:kern w:val="0"/>
                <w:sz w:val="21"/>
                <w:szCs w:val="21"/>
                <w:lang w:val="en-US" w:eastAsia="zh-CN" w:bidi="ar-SA"/>
              </w:rPr>
            </w:pPr>
          </w:p>
        </w:tc>
        <w:tc>
          <w:tcPr>
            <w:tcW w:w="2692" w:type="dxa"/>
            <w:noWrap w:val="0"/>
            <w:vAlign w:val="center"/>
          </w:tcPr>
          <w:p w14:paraId="61B6B7B4">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民房（三类保护物）</w:t>
            </w:r>
          </w:p>
        </w:tc>
        <w:tc>
          <w:tcPr>
            <w:tcW w:w="2291" w:type="dxa"/>
            <w:noWrap w:val="0"/>
            <w:vAlign w:val="center"/>
          </w:tcPr>
          <w:p w14:paraId="02E6E5A5">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19.09</w:t>
            </w:r>
            <w:r>
              <w:rPr>
                <w:rFonts w:hint="eastAsia" w:ascii="宋体" w:hAnsi="宋体" w:eastAsia="宋体" w:cs="宋体"/>
              </w:rPr>
              <w:t>柴</w:t>
            </w:r>
            <w:r>
              <w:rPr>
                <w:rFonts w:hint="eastAsia" w:ascii="宋体" w:hAnsi="宋体" w:eastAsia="宋体" w:cs="宋体"/>
                <w:lang w:val="en-US" w:eastAsia="zh-CN"/>
              </w:rPr>
              <w:t>19.09</w:t>
            </w:r>
          </w:p>
        </w:tc>
      </w:tr>
      <w:tr w14:paraId="091E9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6C79F91B">
            <w:pPr>
              <w:pStyle w:val="46"/>
              <w:bidi w:val="0"/>
              <w:jc w:val="center"/>
              <w:rPr>
                <w:rFonts w:hint="eastAsia" w:ascii="宋体" w:hAnsi="宋体" w:eastAsia="宋体" w:cs="宋体"/>
                <w:kern w:val="0"/>
                <w:sz w:val="21"/>
                <w:szCs w:val="21"/>
                <w:lang w:val="en-US" w:eastAsia="zh-CN" w:bidi="ar-SA"/>
              </w:rPr>
            </w:pPr>
          </w:p>
        </w:tc>
        <w:tc>
          <w:tcPr>
            <w:tcW w:w="1233" w:type="dxa"/>
            <w:vMerge w:val="continue"/>
            <w:noWrap w:val="0"/>
            <w:vAlign w:val="center"/>
          </w:tcPr>
          <w:p w14:paraId="4573CF92">
            <w:pPr>
              <w:pStyle w:val="46"/>
              <w:bidi w:val="0"/>
              <w:ind w:firstLine="0" w:firstLineChars="0"/>
              <w:jc w:val="center"/>
              <w:rPr>
                <w:rFonts w:hint="eastAsia" w:ascii="宋体" w:hAnsi="宋体" w:eastAsia="宋体" w:cs="宋体"/>
                <w:kern w:val="0"/>
                <w:sz w:val="21"/>
                <w:szCs w:val="21"/>
                <w:lang w:val="en-US" w:eastAsia="zh-CN" w:bidi="ar-SA"/>
              </w:rPr>
            </w:pPr>
          </w:p>
        </w:tc>
        <w:tc>
          <w:tcPr>
            <w:tcW w:w="2692" w:type="dxa"/>
            <w:noWrap w:val="0"/>
            <w:vAlign w:val="center"/>
          </w:tcPr>
          <w:p w14:paraId="78917735">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架空电力线（无绝缘层）</w:t>
            </w:r>
          </w:p>
        </w:tc>
        <w:tc>
          <w:tcPr>
            <w:tcW w:w="2291" w:type="dxa"/>
            <w:noWrap w:val="0"/>
            <w:vAlign w:val="center"/>
          </w:tcPr>
          <w:p w14:paraId="5B1319A0">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18.63</w:t>
            </w:r>
            <w:r>
              <w:rPr>
                <w:rFonts w:hint="eastAsia" w:ascii="宋体" w:hAnsi="宋体" w:eastAsia="宋体" w:cs="宋体"/>
              </w:rPr>
              <w:t>柴</w:t>
            </w:r>
            <w:r>
              <w:rPr>
                <w:rFonts w:hint="eastAsia" w:ascii="宋体" w:hAnsi="宋体" w:eastAsia="宋体" w:cs="宋体"/>
                <w:lang w:val="en-US" w:eastAsia="zh-CN"/>
              </w:rPr>
              <w:t>18.63</w:t>
            </w:r>
          </w:p>
        </w:tc>
      </w:tr>
      <w:tr w14:paraId="10685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118F1B3B">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790D4ABD">
            <w:pPr>
              <w:pStyle w:val="46"/>
              <w:bidi w:val="0"/>
              <w:ind w:firstLine="0" w:firstLineChars="0"/>
              <w:jc w:val="center"/>
              <w:rPr>
                <w:rFonts w:hint="default"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西</w:t>
            </w:r>
          </w:p>
        </w:tc>
        <w:tc>
          <w:tcPr>
            <w:tcW w:w="2692" w:type="dxa"/>
            <w:noWrap w:val="0"/>
            <w:vAlign w:val="center"/>
          </w:tcPr>
          <w:p w14:paraId="2852330E">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架空通讯线</w:t>
            </w:r>
          </w:p>
        </w:tc>
        <w:tc>
          <w:tcPr>
            <w:tcW w:w="2291" w:type="dxa"/>
            <w:noWrap w:val="0"/>
            <w:vAlign w:val="center"/>
          </w:tcPr>
          <w:p w14:paraId="59EE837A">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17.21</w:t>
            </w:r>
            <w:r>
              <w:rPr>
                <w:rFonts w:hint="eastAsia" w:ascii="宋体" w:hAnsi="宋体" w:eastAsia="宋体" w:cs="宋体"/>
              </w:rPr>
              <w:t>柴</w:t>
            </w:r>
            <w:r>
              <w:rPr>
                <w:rFonts w:hint="eastAsia" w:ascii="宋体" w:hAnsi="宋体" w:eastAsia="宋体" w:cs="宋体"/>
                <w:lang w:val="en-US" w:eastAsia="zh-CN"/>
              </w:rPr>
              <w:t>10.82</w:t>
            </w:r>
          </w:p>
        </w:tc>
      </w:tr>
      <w:tr w14:paraId="565BF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9" w:type="dxa"/>
            <w:vMerge w:val="continue"/>
            <w:noWrap w:val="0"/>
            <w:vAlign w:val="center"/>
          </w:tcPr>
          <w:p w14:paraId="4AA46100">
            <w:pPr>
              <w:pStyle w:val="46"/>
              <w:bidi w:val="0"/>
              <w:jc w:val="center"/>
              <w:rPr>
                <w:rFonts w:hint="eastAsia" w:ascii="宋体" w:hAnsi="宋体" w:eastAsia="宋体" w:cs="宋体"/>
                <w:kern w:val="0"/>
                <w:sz w:val="21"/>
                <w:szCs w:val="21"/>
                <w:lang w:val="en-US" w:eastAsia="zh-CN" w:bidi="ar-SA"/>
              </w:rPr>
            </w:pPr>
          </w:p>
        </w:tc>
        <w:tc>
          <w:tcPr>
            <w:tcW w:w="1233" w:type="dxa"/>
            <w:noWrap w:val="0"/>
            <w:vAlign w:val="center"/>
          </w:tcPr>
          <w:p w14:paraId="63520C5E">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cs="宋体"/>
                <w:kern w:val="0"/>
                <w:sz w:val="21"/>
                <w:szCs w:val="21"/>
                <w:lang w:val="en-US" w:eastAsia="zh-CN" w:bidi="ar-SA"/>
              </w:rPr>
              <w:t>西</w:t>
            </w:r>
            <w:r>
              <w:rPr>
                <w:rFonts w:hint="eastAsia" w:ascii="宋体" w:hAnsi="宋体" w:eastAsia="宋体" w:cs="宋体"/>
                <w:kern w:val="0"/>
                <w:sz w:val="21"/>
                <w:szCs w:val="21"/>
                <w:lang w:val="en-US" w:eastAsia="zh-CN" w:bidi="ar-SA"/>
              </w:rPr>
              <w:t>北</w:t>
            </w:r>
          </w:p>
        </w:tc>
        <w:tc>
          <w:tcPr>
            <w:tcW w:w="2692" w:type="dxa"/>
            <w:noWrap w:val="0"/>
            <w:vAlign w:val="center"/>
          </w:tcPr>
          <w:p w14:paraId="187F01DC">
            <w:pPr>
              <w:pStyle w:val="46"/>
              <w:bidi w:val="0"/>
              <w:ind w:firstLine="0" w:firstLineChars="0"/>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民房（三类保护物）</w:t>
            </w:r>
          </w:p>
        </w:tc>
        <w:tc>
          <w:tcPr>
            <w:tcW w:w="2291" w:type="dxa"/>
            <w:noWrap w:val="0"/>
            <w:vAlign w:val="center"/>
          </w:tcPr>
          <w:p w14:paraId="313B37F9">
            <w:pPr>
              <w:pStyle w:val="46"/>
              <w:bidi w:val="0"/>
              <w:jc w:val="center"/>
              <w:rPr>
                <w:rFonts w:hint="eastAsia" w:ascii="宋体" w:hAnsi="宋体" w:eastAsia="宋体" w:cs="宋体"/>
                <w:kern w:val="0"/>
                <w:sz w:val="21"/>
                <w:szCs w:val="21"/>
                <w:lang w:val="en-US" w:eastAsia="zh-CN" w:bidi="ar-SA"/>
              </w:rPr>
            </w:pPr>
            <w:r>
              <w:rPr>
                <w:rFonts w:hint="eastAsia" w:ascii="宋体" w:hAnsi="宋体" w:eastAsia="宋体" w:cs="宋体"/>
              </w:rPr>
              <w:t>汽</w:t>
            </w:r>
            <w:r>
              <w:rPr>
                <w:rFonts w:hint="eastAsia" w:ascii="宋体" w:hAnsi="宋体" w:eastAsia="宋体" w:cs="宋体"/>
                <w:lang w:val="en-US" w:eastAsia="zh-CN"/>
              </w:rPr>
              <w:t>17.21</w:t>
            </w:r>
            <w:r>
              <w:rPr>
                <w:rFonts w:hint="eastAsia" w:ascii="宋体" w:hAnsi="宋体" w:eastAsia="宋体" w:cs="宋体"/>
              </w:rPr>
              <w:t>柴</w:t>
            </w:r>
            <w:r>
              <w:rPr>
                <w:rFonts w:hint="eastAsia" w:ascii="宋体" w:hAnsi="宋体" w:eastAsia="宋体" w:cs="宋体"/>
                <w:lang w:val="en-US" w:eastAsia="zh-CN"/>
              </w:rPr>
              <w:t>14.82</w:t>
            </w:r>
          </w:p>
        </w:tc>
      </w:tr>
    </w:tbl>
    <w:p w14:paraId="005D9984">
      <w:pPr>
        <w:pStyle w:val="6"/>
        <w:bidi w:val="0"/>
        <w:rPr>
          <w:rFonts w:hint="eastAsia" w:ascii="楷体" w:hAnsi="楷体" w:eastAsia="楷体" w:cs="楷体"/>
          <w:sz w:val="32"/>
          <w:szCs w:val="32"/>
        </w:rPr>
      </w:pPr>
      <w:bookmarkStart w:id="76" w:name="_Toc27294"/>
      <w:r>
        <w:rPr>
          <w:rFonts w:hint="eastAsia" w:ascii="楷体" w:hAnsi="楷体" w:eastAsia="楷体" w:cs="楷体"/>
          <w:sz w:val="32"/>
          <w:szCs w:val="32"/>
        </w:rPr>
        <w:t>2.2.3气象条件</w:t>
      </w:r>
      <w:bookmarkEnd w:id="73"/>
      <w:bookmarkEnd w:id="74"/>
      <w:bookmarkEnd w:id="75"/>
      <w:bookmarkEnd w:id="76"/>
    </w:p>
    <w:p w14:paraId="3571682B">
      <w:pPr>
        <w:spacing w:line="360" w:lineRule="auto"/>
        <w:ind w:firstLine="560" w:firstLineChars="200"/>
        <w:jc w:val="left"/>
        <w:rPr>
          <w:rFonts w:hint="eastAsia" w:ascii="宋体" w:hAnsi="宋体" w:eastAsia="宋体" w:cs="宋体"/>
          <w:sz w:val="28"/>
          <w:szCs w:val="28"/>
        </w:rPr>
      </w:pPr>
      <w:bookmarkStart w:id="77" w:name="_Toc27194"/>
      <w:bookmarkStart w:id="78" w:name="_Toc32020"/>
      <w:bookmarkStart w:id="79" w:name="_Toc22607"/>
      <w:r>
        <w:rPr>
          <w:rFonts w:hint="eastAsia" w:ascii="宋体" w:hAnsi="宋体" w:eastAsia="宋体" w:cs="宋体"/>
          <w:sz w:val="28"/>
          <w:szCs w:val="28"/>
        </w:rPr>
        <w:t>上饶市余干县多年平均气温17.2℃，最冷月（一月），平均气温4.7℃，最热月（七月）平均气温28.6℃，极端最低气温-9.6℃，极端最高气温40℃，年均无霜期252天，多年平均降雨量1946.8mm，月最大降雨量669.1mm，昼夜最低降雨量262.6mm，年蒸发量1317.9mm，平均相对湿度81%，雨水集中于春季和初夏，梅雨连绵，夏末秋初有间歇性雷阵雨。余干</w:t>
      </w:r>
      <w:r>
        <w:rPr>
          <w:rFonts w:hint="eastAsia" w:ascii="宋体" w:hAnsi="宋体" w:eastAsia="宋体" w:cs="宋体"/>
          <w:sz w:val="28"/>
          <w:szCs w:val="28"/>
          <w:lang w:val="en-US" w:eastAsia="zh-CN"/>
        </w:rPr>
        <w:t>县</w:t>
      </w:r>
      <w:r>
        <w:rPr>
          <w:rFonts w:hint="eastAsia" w:ascii="宋体" w:hAnsi="宋体" w:eastAsia="宋体" w:cs="宋体"/>
          <w:sz w:val="28"/>
          <w:szCs w:val="28"/>
        </w:rPr>
        <w:t>地处亚热带，气候温和湿润，光照充足，雨水充沛，无霜期长，季风明显，四季分明，有利于农作物的生长。近10余年，冬季气温逐渐变暖，大霜、大雪、大冰冻天气少见。</w:t>
      </w:r>
    </w:p>
    <w:p w14:paraId="0C64CB9E">
      <w:pPr>
        <w:pStyle w:val="6"/>
        <w:bidi w:val="0"/>
        <w:rPr>
          <w:rFonts w:hint="eastAsia" w:ascii="楷体" w:hAnsi="楷体" w:eastAsia="楷体" w:cs="楷体"/>
          <w:sz w:val="32"/>
          <w:szCs w:val="32"/>
        </w:rPr>
      </w:pPr>
      <w:bookmarkStart w:id="80" w:name="_Toc16599"/>
      <w:r>
        <w:rPr>
          <w:rFonts w:hint="eastAsia" w:ascii="楷体" w:hAnsi="楷体" w:eastAsia="楷体" w:cs="楷体"/>
          <w:sz w:val="32"/>
          <w:szCs w:val="32"/>
        </w:rPr>
        <w:t>2.2.4交通运输</w:t>
      </w:r>
      <w:bookmarkEnd w:id="77"/>
      <w:bookmarkEnd w:id="78"/>
      <w:bookmarkEnd w:id="79"/>
      <w:bookmarkEnd w:id="80"/>
    </w:p>
    <w:p w14:paraId="68F67A7D">
      <w:pPr>
        <w:tabs>
          <w:tab w:val="left" w:pos="3465"/>
        </w:tabs>
        <w:spacing w:line="600" w:lineRule="exact"/>
        <w:ind w:firstLine="560" w:firstLineChars="200"/>
        <w:rPr>
          <w:rFonts w:hint="eastAsia" w:cs="宋体"/>
          <w:sz w:val="28"/>
          <w:szCs w:val="28"/>
        </w:rPr>
      </w:pPr>
      <w:r>
        <w:rPr>
          <w:rFonts w:hint="eastAsia" w:cs="宋体"/>
          <w:sz w:val="28"/>
          <w:szCs w:val="28"/>
        </w:rPr>
        <w:t>加油站出入口</w:t>
      </w:r>
      <w:r>
        <w:rPr>
          <w:rFonts w:hint="eastAsia" w:ascii="宋体" w:hAnsi="宋体" w:eastAsia="宋体" w:cs="宋体"/>
          <w:sz w:val="28"/>
          <w:szCs w:val="28"/>
        </w:rPr>
        <w:t>与689县</w:t>
      </w:r>
      <w:r>
        <w:rPr>
          <w:rFonts w:hint="eastAsia" w:cs="宋体"/>
          <w:sz w:val="28"/>
          <w:szCs w:val="28"/>
        </w:rPr>
        <w:t>道直接相连，</w:t>
      </w:r>
      <w:r>
        <w:rPr>
          <w:rFonts w:hint="eastAsia" w:cs="宋体"/>
          <w:sz w:val="28"/>
          <w:szCs w:val="28"/>
          <w:lang w:val="en-US" w:eastAsia="zh-CN"/>
        </w:rPr>
        <w:t>加油、卸油作业</w:t>
      </w:r>
      <w:r>
        <w:rPr>
          <w:rFonts w:hint="eastAsia" w:cs="宋体"/>
          <w:sz w:val="28"/>
          <w:szCs w:val="28"/>
        </w:rPr>
        <w:t>条件</w:t>
      </w:r>
      <w:r>
        <w:rPr>
          <w:rFonts w:hint="eastAsia" w:cs="宋体"/>
          <w:sz w:val="28"/>
          <w:szCs w:val="28"/>
          <w:lang w:val="en-US" w:eastAsia="zh-CN"/>
        </w:rPr>
        <w:t>便利</w:t>
      </w:r>
      <w:r>
        <w:rPr>
          <w:rFonts w:hint="eastAsia" w:cs="宋体"/>
          <w:sz w:val="28"/>
          <w:szCs w:val="28"/>
        </w:rPr>
        <w:t>。</w:t>
      </w:r>
      <w:bookmarkStart w:id="81" w:name="_Toc27613"/>
    </w:p>
    <w:p w14:paraId="1A807A4B">
      <w:pPr>
        <w:pStyle w:val="6"/>
        <w:bidi w:val="0"/>
        <w:rPr>
          <w:rFonts w:hint="eastAsia" w:ascii="楷体" w:hAnsi="楷体" w:eastAsia="楷体" w:cs="楷体"/>
          <w:sz w:val="32"/>
          <w:szCs w:val="32"/>
        </w:rPr>
      </w:pPr>
      <w:bookmarkStart w:id="82" w:name="_Toc6003"/>
      <w:r>
        <w:rPr>
          <w:rFonts w:hint="eastAsia" w:ascii="楷体" w:hAnsi="楷体" w:eastAsia="楷体" w:cs="楷体"/>
          <w:sz w:val="32"/>
          <w:szCs w:val="32"/>
        </w:rPr>
        <w:t>2.2.5总平面布置</w:t>
      </w:r>
      <w:bookmarkEnd w:id="81"/>
      <w:bookmarkEnd w:id="82"/>
    </w:p>
    <w:p w14:paraId="5D4ACD79">
      <w:pPr>
        <w:tabs>
          <w:tab w:val="left" w:pos="6660"/>
        </w:tabs>
        <w:spacing w:line="600" w:lineRule="exact"/>
        <w:ind w:firstLine="560" w:firstLineChars="200"/>
        <w:rPr>
          <w:rFonts w:hint="eastAsia" w:ascii="Times New Roman" w:hAnsi="Times New Roman" w:cs="宋体"/>
          <w:sz w:val="28"/>
          <w:szCs w:val="28"/>
        </w:rPr>
      </w:pPr>
      <w:r>
        <w:rPr>
          <w:rFonts w:hint="eastAsia" w:ascii="Times New Roman" w:hAnsi="Times New Roman" w:cs="宋体"/>
          <w:sz w:val="28"/>
          <w:szCs w:val="28"/>
        </w:rPr>
        <w:t>加油站由站区道路、站房区、加油区、储罐区、辅助房、消防池、卸油区等组成。</w:t>
      </w:r>
    </w:p>
    <w:p w14:paraId="27F8019F">
      <w:pPr>
        <w:tabs>
          <w:tab w:val="left" w:pos="3465"/>
        </w:tabs>
        <w:spacing w:line="360" w:lineRule="auto"/>
        <w:ind w:firstLine="560" w:firstLineChars="200"/>
        <w:rPr>
          <w:rFonts w:hint="eastAsia" w:ascii="Times New Roman" w:hAnsi="Times New Roman" w:cs="宋体"/>
          <w:sz w:val="28"/>
          <w:szCs w:val="28"/>
          <w:lang w:eastAsia="zh-CN"/>
        </w:rPr>
      </w:pPr>
      <w:r>
        <w:rPr>
          <w:rFonts w:hint="eastAsia" w:ascii="Times New Roman" w:hAnsi="Times New Roman" w:cs="宋体"/>
          <w:sz w:val="28"/>
          <w:szCs w:val="28"/>
        </w:rPr>
        <w:t>加油站东侧和北侧设有实体围墙，与外界隔开</w:t>
      </w:r>
      <w:r>
        <w:rPr>
          <w:rFonts w:hint="eastAsia" w:ascii="Times New Roman" w:hAnsi="Times New Roman" w:cs="宋体"/>
          <w:sz w:val="28"/>
          <w:szCs w:val="28"/>
          <w:lang w:eastAsia="zh-CN"/>
        </w:rPr>
        <w:t>；</w:t>
      </w:r>
      <w:r>
        <w:rPr>
          <w:rFonts w:hint="eastAsia" w:ascii="Times New Roman" w:hAnsi="Times New Roman" w:cs="宋体"/>
          <w:sz w:val="28"/>
          <w:szCs w:val="28"/>
        </w:rPr>
        <w:t>西侧则</w:t>
      </w:r>
      <w:r>
        <w:rPr>
          <w:rFonts w:hint="eastAsia" w:ascii="Times New Roman" w:hAnsi="Times New Roman" w:cs="宋体"/>
          <w:sz w:val="28"/>
          <w:szCs w:val="28"/>
          <w:lang w:val="en-US" w:eastAsia="zh-CN"/>
        </w:rPr>
        <w:t>是</w:t>
      </w:r>
      <w:r>
        <w:rPr>
          <w:rFonts w:hint="eastAsia" w:ascii="Times New Roman" w:hAnsi="Times New Roman" w:cs="宋体"/>
          <w:sz w:val="28"/>
          <w:szCs w:val="28"/>
        </w:rPr>
        <w:t>部分民用建筑和</w:t>
      </w:r>
      <w:r>
        <w:rPr>
          <w:rFonts w:hint="eastAsia" w:ascii="Times New Roman" w:hAnsi="Times New Roman" w:cs="宋体"/>
          <w:sz w:val="28"/>
          <w:szCs w:val="28"/>
          <w:lang w:val="en-US" w:eastAsia="zh-CN"/>
        </w:rPr>
        <w:t>实体</w:t>
      </w:r>
      <w:r>
        <w:rPr>
          <w:rFonts w:hint="eastAsia" w:ascii="Times New Roman" w:hAnsi="Times New Roman" w:cs="宋体"/>
          <w:sz w:val="28"/>
          <w:szCs w:val="28"/>
        </w:rPr>
        <w:t>围墙</w:t>
      </w:r>
      <w:r>
        <w:rPr>
          <w:rFonts w:hint="eastAsia" w:ascii="Times New Roman" w:hAnsi="Times New Roman" w:cs="宋体"/>
          <w:sz w:val="28"/>
          <w:szCs w:val="28"/>
          <w:lang w:eastAsia="zh-CN"/>
        </w:rPr>
        <w:t>。</w:t>
      </w:r>
    </w:p>
    <w:p w14:paraId="27434C98">
      <w:pPr>
        <w:tabs>
          <w:tab w:val="left" w:pos="3465"/>
        </w:tabs>
        <w:spacing w:line="360" w:lineRule="auto"/>
        <w:ind w:firstLine="560" w:firstLineChars="200"/>
        <w:rPr>
          <w:rFonts w:hint="eastAsia" w:ascii="宋体" w:hAnsi="宋体" w:eastAsia="宋体" w:cs="宋体"/>
          <w:sz w:val="28"/>
          <w:szCs w:val="28"/>
        </w:rPr>
      </w:pPr>
      <w:r>
        <w:rPr>
          <w:rFonts w:hint="eastAsia" w:ascii="Times New Roman" w:hAnsi="Times New Roman" w:cs="宋体"/>
          <w:sz w:val="28"/>
          <w:szCs w:val="28"/>
        </w:rPr>
        <w:t>加</w:t>
      </w:r>
      <w:r>
        <w:rPr>
          <w:rFonts w:hint="eastAsia" w:ascii="宋体" w:hAnsi="宋体" w:eastAsia="宋体" w:cs="宋体"/>
          <w:sz w:val="28"/>
          <w:szCs w:val="28"/>
        </w:rPr>
        <w:t>油站设有1个加油岛、3台加油机</w:t>
      </w:r>
      <w:r>
        <w:rPr>
          <w:rFonts w:hint="eastAsia" w:ascii="宋体" w:hAnsi="宋体" w:cs="宋体"/>
          <w:sz w:val="28"/>
          <w:szCs w:val="28"/>
          <w:lang w:eastAsia="zh-CN"/>
        </w:rPr>
        <w:t>，</w:t>
      </w:r>
      <w:r>
        <w:rPr>
          <w:rFonts w:hint="eastAsia" w:ascii="宋体" w:hAnsi="宋体" w:eastAsia="宋体" w:cs="宋体"/>
          <w:sz w:val="28"/>
          <w:szCs w:val="28"/>
        </w:rPr>
        <w:t>分别为0#柴油单枪加油机、92#汽油双枪加油机、0#柴油单枪加油机。</w:t>
      </w:r>
    </w:p>
    <w:p w14:paraId="0119D92D">
      <w:pPr>
        <w:tabs>
          <w:tab w:val="left" w:pos="3465"/>
        </w:tabs>
        <w:spacing w:line="360" w:lineRule="auto"/>
        <w:ind w:firstLine="560" w:firstLineChars="200"/>
        <w:rPr>
          <w:rFonts w:hint="default" w:ascii="宋体" w:hAnsi="宋体" w:eastAsia="宋体" w:cs="宋体"/>
          <w:sz w:val="28"/>
          <w:szCs w:val="28"/>
          <w:lang w:val="en-US" w:eastAsia="zh-CN"/>
        </w:rPr>
      </w:pPr>
      <w:r>
        <w:rPr>
          <w:rFonts w:hint="eastAsia" w:ascii="宋体" w:hAnsi="宋体" w:eastAsia="宋体" w:cs="宋体"/>
          <w:sz w:val="28"/>
          <w:szCs w:val="28"/>
        </w:rPr>
        <w:t>加油区罩棚高6m，罩棚顶为网架结构</w:t>
      </w:r>
      <w:r>
        <w:rPr>
          <w:rFonts w:hint="eastAsia" w:ascii="宋体" w:hAnsi="宋体" w:cs="宋体"/>
          <w:sz w:val="28"/>
          <w:szCs w:val="28"/>
          <w:lang w:eastAsia="zh-CN"/>
        </w:rPr>
        <w:t>，</w:t>
      </w:r>
      <w:r>
        <w:rPr>
          <w:rFonts w:hint="eastAsia" w:ascii="宋体" w:hAnsi="宋体" w:cs="宋体"/>
          <w:sz w:val="28"/>
          <w:szCs w:val="28"/>
          <w:lang w:val="en-US" w:eastAsia="zh-CN"/>
        </w:rPr>
        <w:t>建筑占地面积为169.47m²。</w:t>
      </w:r>
    </w:p>
    <w:p w14:paraId="2871EDDE">
      <w:pPr>
        <w:tabs>
          <w:tab w:val="left" w:pos="3465"/>
        </w:tabs>
        <w:spacing w:line="360" w:lineRule="auto"/>
        <w:ind w:firstLine="560" w:firstLineChars="200"/>
        <w:rPr>
          <w:rFonts w:cs="Times New Roman"/>
          <w:color w:val="000000"/>
          <w:sz w:val="28"/>
          <w:szCs w:val="28"/>
        </w:rPr>
      </w:pPr>
      <w:r>
        <w:rPr>
          <w:rFonts w:hint="eastAsia" w:ascii="宋体" w:hAnsi="宋体" w:eastAsia="宋体" w:cs="宋体"/>
          <w:color w:val="000000"/>
          <w:sz w:val="28"/>
          <w:szCs w:val="28"/>
        </w:rPr>
        <w:t>站房为一栋单层建筑，</w:t>
      </w:r>
      <w:r>
        <w:rPr>
          <w:rFonts w:hint="eastAsia" w:ascii="宋体" w:hAnsi="宋体" w:cs="宋体"/>
          <w:color w:val="000000"/>
          <w:sz w:val="28"/>
          <w:szCs w:val="28"/>
          <w:lang w:val="en-US" w:eastAsia="zh-CN"/>
        </w:rPr>
        <w:t>占地面积108.5m²，</w:t>
      </w:r>
      <w:r>
        <w:rPr>
          <w:rFonts w:hint="eastAsia" w:ascii="宋体" w:hAnsi="宋体" w:eastAsia="宋体" w:cs="宋体"/>
          <w:color w:val="000000"/>
          <w:sz w:val="28"/>
          <w:szCs w:val="28"/>
        </w:rPr>
        <w:t>位于站区中间位</w:t>
      </w:r>
      <w:r>
        <w:rPr>
          <w:rFonts w:hint="eastAsia" w:cs="宋体"/>
          <w:color w:val="000000"/>
          <w:sz w:val="28"/>
          <w:szCs w:val="28"/>
        </w:rPr>
        <w:t>置，内设营业厅、办公室、休息室、配电室等</w:t>
      </w:r>
      <w:r>
        <w:rPr>
          <w:rFonts w:hint="eastAsia" w:cs="宋体"/>
          <w:color w:val="000000"/>
          <w:sz w:val="28"/>
          <w:szCs w:val="28"/>
          <w:lang w:eastAsia="zh-CN"/>
        </w:rPr>
        <w:t>。</w:t>
      </w:r>
      <w:r>
        <w:rPr>
          <w:rFonts w:hint="eastAsia" w:cs="宋体"/>
          <w:color w:val="000000"/>
          <w:sz w:val="28"/>
          <w:szCs w:val="28"/>
        </w:rPr>
        <w:t>站房</w:t>
      </w:r>
      <w:r>
        <w:rPr>
          <w:rFonts w:hint="eastAsia" w:cs="宋体"/>
          <w:color w:val="000000"/>
          <w:sz w:val="28"/>
          <w:szCs w:val="28"/>
          <w:lang w:val="en-US" w:eastAsia="zh-CN"/>
        </w:rPr>
        <w:t>东</w:t>
      </w:r>
      <w:r>
        <w:rPr>
          <w:rFonts w:hint="eastAsia" w:cs="宋体"/>
          <w:color w:val="000000"/>
          <w:sz w:val="28"/>
          <w:szCs w:val="28"/>
        </w:rPr>
        <w:t>侧为</w:t>
      </w:r>
      <w:r>
        <w:rPr>
          <w:rFonts w:hint="eastAsia" w:cs="宋体"/>
          <w:color w:val="000000"/>
          <w:sz w:val="28"/>
          <w:szCs w:val="28"/>
          <w:lang w:val="en-US" w:eastAsia="zh-CN"/>
        </w:rPr>
        <w:t>配电房</w:t>
      </w:r>
      <w:r>
        <w:rPr>
          <w:rFonts w:hint="eastAsia" w:cs="宋体"/>
          <w:color w:val="000000"/>
          <w:sz w:val="28"/>
          <w:szCs w:val="28"/>
        </w:rPr>
        <w:t>，</w:t>
      </w:r>
      <w:r>
        <w:rPr>
          <w:rFonts w:hint="eastAsia" w:cs="宋体"/>
          <w:color w:val="000000"/>
          <w:sz w:val="28"/>
          <w:szCs w:val="28"/>
          <w:lang w:val="en-US" w:eastAsia="zh-CN"/>
        </w:rPr>
        <w:t>配电房东侧为辅助房，</w:t>
      </w:r>
      <w:r>
        <w:rPr>
          <w:rFonts w:hint="eastAsia" w:cs="宋体"/>
          <w:color w:val="000000"/>
          <w:sz w:val="28"/>
          <w:szCs w:val="28"/>
        </w:rPr>
        <w:t>主要用于堆放杂物和日常做饭，使用电磁炉，无明火。</w:t>
      </w:r>
    </w:p>
    <w:p w14:paraId="63DE2B0A">
      <w:pPr>
        <w:tabs>
          <w:tab w:val="left" w:pos="3465"/>
        </w:tabs>
        <w:spacing w:line="360" w:lineRule="auto"/>
        <w:ind w:firstLine="560" w:firstLineChars="200"/>
        <w:rPr>
          <w:rFonts w:cs="Times New Roman"/>
          <w:sz w:val="28"/>
          <w:szCs w:val="28"/>
        </w:rPr>
      </w:pPr>
      <w:r>
        <w:rPr>
          <w:rFonts w:hint="eastAsia" w:cs="宋体"/>
          <w:sz w:val="28"/>
          <w:szCs w:val="28"/>
        </w:rPr>
        <w:t>储罐区设在站房北侧，设有</w:t>
      </w:r>
      <w:r>
        <w:rPr>
          <w:rFonts w:hint="eastAsia" w:ascii="宋体" w:hAnsi="宋体" w:eastAsia="宋体" w:cs="宋体"/>
          <w:sz w:val="28"/>
          <w:szCs w:val="28"/>
        </w:rPr>
        <w:t>3</w:t>
      </w:r>
      <w:r>
        <w:rPr>
          <w:rFonts w:hint="eastAsia" w:cs="宋体"/>
          <w:sz w:val="28"/>
          <w:szCs w:val="28"/>
        </w:rPr>
        <w:t>个埋地双层油罐，由北向南依次为</w:t>
      </w:r>
      <w:r>
        <w:rPr>
          <w:rFonts w:hint="eastAsia" w:ascii="宋体" w:hAnsi="宋体" w:eastAsia="宋体" w:cs="宋体"/>
          <w:sz w:val="28"/>
          <w:szCs w:val="28"/>
        </w:rPr>
        <w:t>1</w:t>
      </w:r>
      <w:r>
        <w:rPr>
          <w:rFonts w:hint="eastAsia" w:cs="宋体"/>
          <w:sz w:val="28"/>
          <w:szCs w:val="28"/>
        </w:rPr>
        <w:t>个</w:t>
      </w:r>
      <w:r>
        <w:rPr>
          <w:rFonts w:hint="eastAsia" w:ascii="宋体" w:hAnsi="宋体" w:eastAsia="宋体" w:cs="宋体"/>
          <w:sz w:val="28"/>
          <w:szCs w:val="28"/>
        </w:rPr>
        <w:t>30m</w:t>
      </w:r>
      <w:r>
        <w:rPr>
          <w:rFonts w:hint="eastAsia" w:ascii="宋体" w:hAnsi="宋体" w:eastAsia="宋体" w:cs="宋体"/>
          <w:sz w:val="28"/>
          <w:szCs w:val="28"/>
          <w:vertAlign w:val="superscript"/>
        </w:rPr>
        <w:t>3</w:t>
      </w:r>
      <w:r>
        <w:rPr>
          <w:rFonts w:hint="eastAsia" w:ascii="宋体" w:hAnsi="宋体" w:eastAsia="宋体" w:cs="宋体"/>
          <w:sz w:val="28"/>
          <w:szCs w:val="28"/>
        </w:rPr>
        <w:t>0#</w:t>
      </w:r>
      <w:r>
        <w:rPr>
          <w:rFonts w:hint="eastAsia" w:cs="宋体"/>
          <w:sz w:val="28"/>
          <w:szCs w:val="28"/>
        </w:rPr>
        <w:t>柴油储罐、</w:t>
      </w:r>
      <w:r>
        <w:rPr>
          <w:rFonts w:hint="eastAsia" w:ascii="宋体" w:hAnsi="宋体" w:eastAsia="宋体" w:cs="宋体"/>
          <w:sz w:val="28"/>
          <w:szCs w:val="28"/>
        </w:rPr>
        <w:t>1个30m</w:t>
      </w:r>
      <w:r>
        <w:rPr>
          <w:rFonts w:hint="eastAsia" w:ascii="宋体" w:hAnsi="宋体" w:eastAsia="宋体" w:cs="宋体"/>
          <w:sz w:val="28"/>
          <w:szCs w:val="28"/>
          <w:vertAlign w:val="superscript"/>
        </w:rPr>
        <w:t>3</w:t>
      </w:r>
      <w:r>
        <w:rPr>
          <w:rFonts w:hint="eastAsia" w:ascii="宋体" w:hAnsi="宋体" w:eastAsia="宋体" w:cs="宋体"/>
          <w:sz w:val="28"/>
          <w:szCs w:val="28"/>
        </w:rPr>
        <w:t>的92#</w:t>
      </w:r>
      <w:r>
        <w:rPr>
          <w:rFonts w:hint="eastAsia" w:cs="宋体"/>
          <w:sz w:val="28"/>
          <w:szCs w:val="28"/>
        </w:rPr>
        <w:t>汽油储罐和</w:t>
      </w:r>
      <w:r>
        <w:rPr>
          <w:rFonts w:hint="eastAsia" w:ascii="宋体" w:hAnsi="宋体" w:eastAsia="宋体" w:cs="宋体"/>
          <w:sz w:val="28"/>
          <w:szCs w:val="28"/>
        </w:rPr>
        <w:t>1个30m</w:t>
      </w:r>
      <w:r>
        <w:rPr>
          <w:rFonts w:hint="eastAsia" w:ascii="宋体" w:hAnsi="宋体" w:eastAsia="宋体" w:cs="宋体"/>
          <w:sz w:val="28"/>
          <w:szCs w:val="28"/>
          <w:vertAlign w:val="superscript"/>
        </w:rPr>
        <w:t>3</w:t>
      </w:r>
      <w:r>
        <w:rPr>
          <w:rFonts w:hint="eastAsia" w:ascii="宋体" w:hAnsi="宋体" w:eastAsia="宋体" w:cs="宋体"/>
          <w:sz w:val="28"/>
          <w:szCs w:val="28"/>
        </w:rPr>
        <w:t>0#</w:t>
      </w:r>
      <w:r>
        <w:rPr>
          <w:rFonts w:hint="eastAsia" w:cs="宋体"/>
          <w:sz w:val="28"/>
          <w:szCs w:val="28"/>
        </w:rPr>
        <w:t>柴油储罐。</w:t>
      </w:r>
    </w:p>
    <w:p w14:paraId="1454FA98">
      <w:pPr>
        <w:tabs>
          <w:tab w:val="left" w:pos="3465"/>
        </w:tabs>
        <w:spacing w:line="360" w:lineRule="auto"/>
        <w:ind w:firstLine="560" w:firstLineChars="200"/>
        <w:rPr>
          <w:rFonts w:cs="Times New Roman"/>
          <w:sz w:val="28"/>
          <w:szCs w:val="28"/>
        </w:rPr>
      </w:pPr>
      <w:r>
        <w:rPr>
          <w:rFonts w:hint="eastAsia" w:cs="宋体"/>
          <w:sz w:val="28"/>
          <w:szCs w:val="28"/>
        </w:rPr>
        <w:t>通气管布置在罐区中间位置，采用密闭卸油，共设</w:t>
      </w:r>
      <w:r>
        <w:rPr>
          <w:rFonts w:hint="eastAsia" w:ascii="宋体" w:hAnsi="宋体" w:eastAsia="宋体" w:cs="宋体"/>
          <w:sz w:val="28"/>
          <w:szCs w:val="28"/>
        </w:rPr>
        <w:t>有</w:t>
      </w:r>
      <w:r>
        <w:rPr>
          <w:rFonts w:hint="eastAsia" w:ascii="宋体" w:hAnsi="宋体" w:eastAsia="宋体" w:cs="宋体"/>
          <w:sz w:val="28"/>
          <w:szCs w:val="28"/>
          <w:lang w:val="en-US" w:eastAsia="zh-CN"/>
        </w:rPr>
        <w:t>3</w:t>
      </w:r>
      <w:r>
        <w:rPr>
          <w:rFonts w:hint="eastAsia" w:ascii="宋体" w:hAnsi="宋体" w:eastAsia="宋体" w:cs="宋体"/>
          <w:sz w:val="28"/>
          <w:szCs w:val="28"/>
        </w:rPr>
        <w:t>根通</w:t>
      </w:r>
      <w:r>
        <w:rPr>
          <w:rFonts w:hint="eastAsia" w:cs="宋体"/>
          <w:sz w:val="28"/>
          <w:szCs w:val="28"/>
        </w:rPr>
        <w:t>气管和</w:t>
      </w:r>
      <w:r>
        <w:rPr>
          <w:rFonts w:hint="eastAsia" w:ascii="宋体" w:hAnsi="宋体" w:eastAsia="宋体" w:cs="宋体"/>
          <w:sz w:val="28"/>
          <w:szCs w:val="28"/>
        </w:rPr>
        <w:t>1</w:t>
      </w:r>
      <w:r>
        <w:rPr>
          <w:rFonts w:hint="eastAsia" w:cs="宋体"/>
          <w:sz w:val="28"/>
          <w:szCs w:val="28"/>
        </w:rPr>
        <w:t>根油气回收管，通气管高</w:t>
      </w:r>
      <w:r>
        <w:rPr>
          <w:rFonts w:hint="eastAsia" w:ascii="宋体" w:hAnsi="宋体" w:eastAsia="宋体" w:cs="宋体"/>
          <w:sz w:val="28"/>
          <w:szCs w:val="28"/>
        </w:rPr>
        <w:t>4m，管径为DN50</w:t>
      </w:r>
      <w:r>
        <w:rPr>
          <w:rFonts w:hint="eastAsia" w:cs="宋体"/>
          <w:sz w:val="28"/>
          <w:szCs w:val="28"/>
        </w:rPr>
        <w:t>，通气管管口设置阻火器，汽油通气管上设置呼吸阀。</w:t>
      </w:r>
    </w:p>
    <w:p w14:paraId="0152A5D1">
      <w:pPr>
        <w:tabs>
          <w:tab w:val="left" w:pos="3465"/>
        </w:tabs>
        <w:spacing w:line="360" w:lineRule="auto"/>
        <w:ind w:firstLine="560" w:firstLineChars="200"/>
        <w:rPr>
          <w:rFonts w:cs="Times New Roman"/>
          <w:sz w:val="28"/>
          <w:szCs w:val="28"/>
        </w:rPr>
      </w:pPr>
      <w:r>
        <w:rPr>
          <w:rFonts w:hint="eastAsia" w:cs="宋体"/>
          <w:sz w:val="28"/>
          <w:szCs w:val="28"/>
        </w:rPr>
        <w:t>卸油口布置在油罐区西侧，采用密闭卸油，共设置</w:t>
      </w:r>
      <w:r>
        <w:rPr>
          <w:rFonts w:hint="eastAsia" w:ascii="宋体" w:hAnsi="宋体" w:eastAsia="宋体" w:cs="宋体"/>
          <w:sz w:val="28"/>
          <w:szCs w:val="28"/>
        </w:rPr>
        <w:t>3</w:t>
      </w:r>
      <w:r>
        <w:rPr>
          <w:rFonts w:hint="eastAsia" w:cs="宋体"/>
          <w:sz w:val="28"/>
          <w:szCs w:val="28"/>
        </w:rPr>
        <w:t>个卸油口，</w:t>
      </w:r>
      <w:r>
        <w:rPr>
          <w:rFonts w:hint="eastAsia" w:ascii="宋体" w:hAnsi="宋体" w:eastAsia="宋体" w:cs="宋体"/>
          <w:sz w:val="28"/>
          <w:szCs w:val="28"/>
        </w:rPr>
        <w:t>1</w:t>
      </w:r>
      <w:r>
        <w:rPr>
          <w:rFonts w:hint="eastAsia" w:cs="宋体"/>
          <w:sz w:val="28"/>
          <w:szCs w:val="28"/>
        </w:rPr>
        <w:t>个油气回收口，卸油车从</w:t>
      </w:r>
      <w:r>
        <w:rPr>
          <w:rFonts w:hint="eastAsia" w:ascii="宋体" w:hAnsi="宋体" w:eastAsia="宋体" w:cs="宋体"/>
          <w:sz w:val="28"/>
          <w:szCs w:val="28"/>
        </w:rPr>
        <w:t>689</w:t>
      </w:r>
      <w:r>
        <w:rPr>
          <w:rFonts w:hint="eastAsia" w:cs="宋体"/>
          <w:sz w:val="28"/>
          <w:szCs w:val="28"/>
        </w:rPr>
        <w:t>县道绕至储罐西侧进行卸油。</w:t>
      </w:r>
    </w:p>
    <w:p w14:paraId="3D71D5C6">
      <w:pPr>
        <w:ind w:firstLine="560" w:firstLineChars="200"/>
        <w:jc w:val="left"/>
        <w:rPr>
          <w:rFonts w:cs="Times New Roman"/>
          <w:sz w:val="28"/>
          <w:szCs w:val="28"/>
        </w:rPr>
      </w:pPr>
      <w:r>
        <w:rPr>
          <w:rFonts w:hint="eastAsia" w:cs="宋体"/>
          <w:sz w:val="28"/>
          <w:szCs w:val="28"/>
        </w:rPr>
        <w:t>加油站站房办公室内设有视频监控系统一套，高液位报警仪一台以及防渗漏仪一台，站房</w:t>
      </w:r>
      <w:r>
        <w:rPr>
          <w:rFonts w:hint="eastAsia" w:cs="宋体"/>
          <w:sz w:val="28"/>
          <w:szCs w:val="28"/>
          <w:lang w:val="en-US" w:eastAsia="zh-CN"/>
        </w:rPr>
        <w:t>东</w:t>
      </w:r>
      <w:r>
        <w:rPr>
          <w:rFonts w:hint="eastAsia" w:cs="宋体"/>
          <w:sz w:val="28"/>
          <w:szCs w:val="28"/>
        </w:rPr>
        <w:t>侧有配电房，内有配电箱</w:t>
      </w:r>
      <w:r>
        <w:rPr>
          <w:rFonts w:hint="eastAsia" w:ascii="宋体" w:hAnsi="宋体" w:eastAsia="宋体" w:cs="宋体"/>
          <w:sz w:val="28"/>
          <w:szCs w:val="28"/>
        </w:rPr>
        <w:t>1</w:t>
      </w:r>
      <w:r>
        <w:rPr>
          <w:rFonts w:hint="eastAsia" w:cs="宋体"/>
          <w:sz w:val="28"/>
          <w:szCs w:val="28"/>
        </w:rPr>
        <w:t>个。</w:t>
      </w:r>
    </w:p>
    <w:p w14:paraId="58D78D0C">
      <w:pPr>
        <w:keepNext w:val="0"/>
        <w:keepLines w:val="0"/>
        <w:pageBreakBefore w:val="0"/>
        <w:widowControl w:val="0"/>
        <w:tabs>
          <w:tab w:val="left" w:pos="3465"/>
        </w:tabs>
        <w:kinsoku/>
        <w:wordWrap/>
        <w:overflowPunct/>
        <w:topLinePunct w:val="0"/>
        <w:autoSpaceDE/>
        <w:autoSpaceDN/>
        <w:bidi w:val="0"/>
        <w:adjustRightInd/>
        <w:snapToGrid/>
        <w:spacing w:before="313" w:beforeLines="100"/>
        <w:jc w:val="center"/>
        <w:textAlignment w:val="auto"/>
        <w:rPr>
          <w:rFonts w:hint="eastAsia" w:ascii="宋体" w:hAnsi="宋体" w:eastAsia="宋体" w:cs="宋体"/>
          <w:sz w:val="24"/>
          <w:szCs w:val="24"/>
        </w:rPr>
      </w:pPr>
      <w:r>
        <w:rPr>
          <w:rFonts w:hint="eastAsia" w:ascii="宋体" w:hAnsi="宋体" w:eastAsia="宋体" w:cs="宋体"/>
          <w:b/>
          <w:bCs/>
          <w:sz w:val="24"/>
          <w:szCs w:val="24"/>
        </w:rPr>
        <w:t xml:space="preserve">表2-3 </w:t>
      </w:r>
      <w:r>
        <w:rPr>
          <w:rFonts w:hint="eastAsia" w:ascii="宋体" w:hAnsi="宋体" w:eastAsia="宋体" w:cs="宋体"/>
          <w:b/>
          <w:bCs/>
          <w:sz w:val="24"/>
          <w:szCs w:val="24"/>
          <w:lang w:val="zh-CN"/>
        </w:rPr>
        <w:t>站内加油设施之间防火间距</w:t>
      </w:r>
      <w:r>
        <w:rPr>
          <w:rFonts w:hint="eastAsia" w:ascii="宋体" w:hAnsi="宋体" w:eastAsia="宋体" w:cs="宋体"/>
          <w:b/>
          <w:bCs/>
          <w:sz w:val="24"/>
          <w:szCs w:val="24"/>
        </w:rPr>
        <w:t>表</w:t>
      </w:r>
    </w:p>
    <w:tbl>
      <w:tblPr>
        <w:tblStyle w:val="19"/>
        <w:tblW w:w="92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081"/>
        <w:gridCol w:w="2295"/>
        <w:gridCol w:w="2037"/>
        <w:gridCol w:w="2413"/>
      </w:tblGrid>
      <w:tr w14:paraId="15897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1" w:hRule="exact"/>
          <w:tblHeader/>
          <w:jc w:val="center"/>
        </w:trPr>
        <w:tc>
          <w:tcPr>
            <w:tcW w:w="1426" w:type="dxa"/>
            <w:vAlign w:val="center"/>
          </w:tcPr>
          <w:p w14:paraId="3B572BC8">
            <w:pPr>
              <w:spacing w:line="240" w:lineRule="exact"/>
              <w:jc w:val="center"/>
              <w:rPr>
                <w:rFonts w:hint="eastAsia" w:ascii="宋体" w:hAnsi="宋体" w:eastAsia="宋体" w:cs="宋体"/>
                <w:b/>
                <w:bCs/>
              </w:rPr>
            </w:pPr>
            <w:bookmarkStart w:id="83" w:name="_Hlk69421740"/>
            <w:r>
              <w:rPr>
                <w:rFonts w:hint="eastAsia" w:ascii="宋体" w:hAnsi="宋体" w:eastAsia="宋体" w:cs="宋体"/>
                <w:b/>
                <w:bCs/>
                <w:lang w:val="zh-CN"/>
              </w:rPr>
              <w:t>设施</w:t>
            </w:r>
            <w:r>
              <w:rPr>
                <w:rFonts w:hint="eastAsia" w:ascii="宋体" w:hAnsi="宋体" w:eastAsia="宋体" w:cs="宋体"/>
                <w:b/>
                <w:bCs/>
              </w:rPr>
              <w:t>名称</w:t>
            </w:r>
          </w:p>
        </w:tc>
        <w:tc>
          <w:tcPr>
            <w:tcW w:w="1081" w:type="dxa"/>
            <w:vAlign w:val="center"/>
          </w:tcPr>
          <w:p w14:paraId="20967A3B">
            <w:pPr>
              <w:spacing w:line="240" w:lineRule="exact"/>
              <w:jc w:val="center"/>
              <w:rPr>
                <w:rFonts w:hint="eastAsia" w:ascii="宋体" w:hAnsi="宋体" w:eastAsia="宋体" w:cs="宋体"/>
                <w:b/>
                <w:bCs/>
              </w:rPr>
            </w:pPr>
            <w:r>
              <w:rPr>
                <w:rFonts w:hint="eastAsia" w:ascii="宋体" w:hAnsi="宋体" w:eastAsia="宋体" w:cs="宋体"/>
                <w:b/>
                <w:bCs/>
              </w:rPr>
              <w:t>相对位置</w:t>
            </w:r>
          </w:p>
        </w:tc>
        <w:tc>
          <w:tcPr>
            <w:tcW w:w="2295" w:type="dxa"/>
            <w:vAlign w:val="center"/>
          </w:tcPr>
          <w:p w14:paraId="2836FCF3">
            <w:pPr>
              <w:spacing w:line="240" w:lineRule="exact"/>
              <w:jc w:val="center"/>
              <w:rPr>
                <w:rFonts w:hint="eastAsia" w:ascii="宋体" w:hAnsi="宋体" w:eastAsia="宋体" w:cs="宋体"/>
                <w:b/>
                <w:bCs/>
              </w:rPr>
            </w:pPr>
            <w:r>
              <w:rPr>
                <w:rFonts w:hint="eastAsia" w:ascii="宋体" w:hAnsi="宋体" w:eastAsia="宋体" w:cs="宋体"/>
                <w:b/>
                <w:bCs/>
              </w:rPr>
              <w:t>设施名称</w:t>
            </w:r>
          </w:p>
        </w:tc>
        <w:tc>
          <w:tcPr>
            <w:tcW w:w="2037" w:type="dxa"/>
            <w:vAlign w:val="center"/>
          </w:tcPr>
          <w:p w14:paraId="209023B8">
            <w:pPr>
              <w:spacing w:line="240" w:lineRule="exact"/>
              <w:jc w:val="center"/>
              <w:rPr>
                <w:rFonts w:hint="eastAsia" w:ascii="宋体" w:hAnsi="宋体" w:eastAsia="宋体" w:cs="宋体"/>
                <w:b/>
                <w:bCs/>
              </w:rPr>
            </w:pPr>
            <w:r>
              <w:rPr>
                <w:rFonts w:hint="eastAsia" w:ascii="宋体" w:hAnsi="宋体" w:cs="宋体"/>
                <w:b/>
                <w:bCs/>
                <w:lang w:val="en-US" w:eastAsia="zh-CN"/>
              </w:rPr>
              <w:t>实测</w:t>
            </w:r>
            <w:r>
              <w:rPr>
                <w:rFonts w:hint="eastAsia" w:ascii="宋体" w:hAnsi="宋体" w:eastAsia="宋体" w:cs="宋体"/>
                <w:b/>
                <w:bCs/>
              </w:rPr>
              <w:t>间距（</w:t>
            </w:r>
            <w:r>
              <w:rPr>
                <w:rFonts w:hint="eastAsia" w:ascii="宋体" w:hAnsi="宋体" w:eastAsia="宋体" w:cs="宋体"/>
              </w:rPr>
              <w:t>m</w:t>
            </w:r>
            <w:r>
              <w:rPr>
                <w:rFonts w:hint="eastAsia" w:ascii="宋体" w:hAnsi="宋体" w:eastAsia="宋体" w:cs="宋体"/>
                <w:b/>
                <w:bCs/>
              </w:rPr>
              <w:t>）</w:t>
            </w:r>
          </w:p>
        </w:tc>
        <w:tc>
          <w:tcPr>
            <w:tcW w:w="2413" w:type="dxa"/>
            <w:vAlign w:val="center"/>
          </w:tcPr>
          <w:p w14:paraId="7669EE4F">
            <w:pPr>
              <w:spacing w:line="240" w:lineRule="exact"/>
              <w:jc w:val="center"/>
              <w:rPr>
                <w:rFonts w:hint="eastAsia" w:ascii="宋体" w:hAnsi="宋体" w:eastAsia="宋体" w:cs="宋体"/>
                <w:b/>
                <w:bCs/>
              </w:rPr>
            </w:pPr>
            <w:r>
              <w:rPr>
                <w:rFonts w:hint="eastAsia" w:ascii="宋体" w:hAnsi="宋体" w:eastAsia="宋体" w:cs="宋体"/>
                <w:b/>
                <w:bCs/>
              </w:rPr>
              <w:t>标准距离（</w:t>
            </w:r>
            <w:r>
              <w:rPr>
                <w:rFonts w:hint="eastAsia" w:ascii="宋体" w:hAnsi="宋体" w:eastAsia="宋体" w:cs="宋体"/>
              </w:rPr>
              <w:t>m</w:t>
            </w:r>
            <w:r>
              <w:rPr>
                <w:rFonts w:hint="eastAsia" w:ascii="宋体" w:hAnsi="宋体" w:eastAsia="宋体" w:cs="宋体"/>
                <w:b/>
                <w:bCs/>
              </w:rPr>
              <w:t>）（三级站）</w:t>
            </w:r>
          </w:p>
        </w:tc>
      </w:tr>
      <w:tr w14:paraId="33042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1" w:hRule="exact"/>
          <w:jc w:val="center"/>
        </w:trPr>
        <w:tc>
          <w:tcPr>
            <w:tcW w:w="1426" w:type="dxa"/>
            <w:vMerge w:val="restart"/>
            <w:vAlign w:val="center"/>
          </w:tcPr>
          <w:p w14:paraId="08CE7097">
            <w:pPr>
              <w:spacing w:line="240" w:lineRule="exact"/>
              <w:jc w:val="center"/>
              <w:rPr>
                <w:rFonts w:hint="eastAsia" w:ascii="宋体" w:hAnsi="宋体" w:eastAsia="宋体" w:cs="宋体"/>
                <w:b/>
                <w:bCs/>
                <w:lang w:val="zh-CN"/>
              </w:rPr>
            </w:pPr>
            <w:r>
              <w:rPr>
                <w:rFonts w:hint="eastAsia" w:ascii="宋体" w:hAnsi="宋体" w:eastAsia="宋体" w:cs="宋体"/>
              </w:rPr>
              <w:t>埋地油罐</w:t>
            </w:r>
          </w:p>
        </w:tc>
        <w:tc>
          <w:tcPr>
            <w:tcW w:w="1081" w:type="dxa"/>
            <w:vAlign w:val="center"/>
          </w:tcPr>
          <w:p w14:paraId="181D7FDD">
            <w:pPr>
              <w:spacing w:line="240" w:lineRule="exact"/>
              <w:jc w:val="center"/>
              <w:rPr>
                <w:rFonts w:hint="eastAsia" w:ascii="宋体" w:hAnsi="宋体" w:eastAsia="宋体" w:cs="宋体"/>
              </w:rPr>
            </w:pPr>
            <w:r>
              <w:rPr>
                <w:rFonts w:hint="eastAsia" w:ascii="宋体" w:hAnsi="宋体" w:eastAsia="宋体" w:cs="宋体"/>
              </w:rPr>
              <w:t>北面</w:t>
            </w:r>
          </w:p>
        </w:tc>
        <w:tc>
          <w:tcPr>
            <w:tcW w:w="2295" w:type="dxa"/>
            <w:vAlign w:val="center"/>
          </w:tcPr>
          <w:p w14:paraId="110E79CB">
            <w:pPr>
              <w:spacing w:line="240" w:lineRule="exact"/>
              <w:jc w:val="center"/>
              <w:rPr>
                <w:rFonts w:hint="eastAsia" w:ascii="宋体" w:hAnsi="宋体" w:eastAsia="宋体" w:cs="宋体"/>
              </w:rPr>
            </w:pPr>
            <w:r>
              <w:rPr>
                <w:rFonts w:hint="eastAsia" w:ascii="宋体" w:hAnsi="宋体" w:eastAsia="宋体" w:cs="宋体"/>
              </w:rPr>
              <w:t>围墙</w:t>
            </w:r>
          </w:p>
          <w:p w14:paraId="60B6DE36">
            <w:pPr>
              <w:pStyle w:val="23"/>
              <w:rPr>
                <w:rFonts w:hint="eastAsia"/>
              </w:rPr>
            </w:pPr>
          </w:p>
        </w:tc>
        <w:tc>
          <w:tcPr>
            <w:tcW w:w="2037" w:type="dxa"/>
            <w:vAlign w:val="center"/>
          </w:tcPr>
          <w:p w14:paraId="59C1254F">
            <w:pPr>
              <w:spacing w:line="240" w:lineRule="exact"/>
              <w:jc w:val="center"/>
              <w:rPr>
                <w:rFonts w:hint="default" w:ascii="宋体" w:hAnsi="宋体" w:eastAsia="宋体" w:cs="宋体"/>
                <w:lang w:val="en-US" w:eastAsia="zh-CN"/>
              </w:rPr>
            </w:pPr>
            <w:r>
              <w:rPr>
                <w:rFonts w:hint="eastAsia" w:ascii="宋体" w:hAnsi="宋体" w:eastAsia="宋体" w:cs="宋体"/>
              </w:rPr>
              <w:t>汽</w:t>
            </w:r>
            <w:r>
              <w:rPr>
                <w:rFonts w:hint="eastAsia" w:ascii="宋体" w:hAnsi="宋体" w:cs="宋体"/>
                <w:lang w:val="en-US" w:eastAsia="zh-CN"/>
              </w:rPr>
              <w:t>9.4</w:t>
            </w:r>
            <w:r>
              <w:rPr>
                <w:rFonts w:hint="eastAsia" w:ascii="宋体" w:hAnsi="宋体" w:eastAsia="宋体" w:cs="宋体"/>
              </w:rPr>
              <w:t>，柴</w:t>
            </w:r>
            <w:r>
              <w:rPr>
                <w:rFonts w:hint="eastAsia" w:ascii="宋体" w:hAnsi="宋体" w:cs="宋体"/>
                <w:lang w:val="en-US" w:eastAsia="zh-CN"/>
              </w:rPr>
              <w:t>4.28</w:t>
            </w:r>
          </w:p>
        </w:tc>
        <w:tc>
          <w:tcPr>
            <w:tcW w:w="2413" w:type="dxa"/>
            <w:vAlign w:val="center"/>
          </w:tcPr>
          <w:p w14:paraId="71B18387">
            <w:pPr>
              <w:spacing w:line="240" w:lineRule="exact"/>
              <w:jc w:val="center"/>
              <w:rPr>
                <w:rFonts w:hint="eastAsia" w:ascii="宋体" w:hAnsi="宋体" w:eastAsia="宋体" w:cs="宋体"/>
              </w:rPr>
            </w:pPr>
            <w:r>
              <w:rPr>
                <w:rFonts w:hint="eastAsia" w:ascii="宋体" w:hAnsi="宋体" w:eastAsia="宋体" w:cs="宋体"/>
              </w:rPr>
              <w:t>汽</w:t>
            </w:r>
            <w:r>
              <w:rPr>
                <w:rFonts w:hint="eastAsia" w:ascii="宋体" w:hAnsi="宋体" w:cs="宋体"/>
                <w:lang w:val="en-US" w:eastAsia="zh-CN"/>
              </w:rPr>
              <w:t>2</w:t>
            </w:r>
            <w:r>
              <w:rPr>
                <w:rFonts w:hint="eastAsia" w:ascii="宋体" w:hAnsi="宋体" w:eastAsia="宋体" w:cs="宋体"/>
              </w:rPr>
              <w:t>，柴2</w:t>
            </w:r>
          </w:p>
        </w:tc>
      </w:tr>
      <w:tr w14:paraId="1720A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jc w:val="center"/>
        </w:trPr>
        <w:tc>
          <w:tcPr>
            <w:tcW w:w="1426" w:type="dxa"/>
            <w:vMerge w:val="continue"/>
            <w:vAlign w:val="center"/>
          </w:tcPr>
          <w:p w14:paraId="3CB0AB33">
            <w:pPr>
              <w:spacing w:line="240" w:lineRule="exact"/>
              <w:jc w:val="center"/>
              <w:rPr>
                <w:rFonts w:hint="eastAsia" w:ascii="宋体" w:hAnsi="宋体" w:eastAsia="宋体" w:cs="宋体"/>
              </w:rPr>
            </w:pPr>
          </w:p>
        </w:tc>
        <w:tc>
          <w:tcPr>
            <w:tcW w:w="1081" w:type="dxa"/>
            <w:vMerge w:val="restart"/>
            <w:vAlign w:val="center"/>
          </w:tcPr>
          <w:p w14:paraId="33993F82">
            <w:pPr>
              <w:spacing w:line="240" w:lineRule="exact"/>
              <w:jc w:val="center"/>
              <w:rPr>
                <w:rFonts w:hint="eastAsia" w:ascii="宋体" w:hAnsi="宋体" w:eastAsia="宋体" w:cs="宋体"/>
                <w:lang w:val="en-US" w:eastAsia="zh-CN"/>
              </w:rPr>
            </w:pPr>
            <w:r>
              <w:rPr>
                <w:rFonts w:hint="eastAsia" w:ascii="宋体" w:hAnsi="宋体" w:cs="宋体"/>
                <w:lang w:val="en-US" w:eastAsia="zh-CN"/>
              </w:rPr>
              <w:t>南面</w:t>
            </w:r>
          </w:p>
        </w:tc>
        <w:tc>
          <w:tcPr>
            <w:tcW w:w="2295" w:type="dxa"/>
            <w:vAlign w:val="center"/>
          </w:tcPr>
          <w:p w14:paraId="6ACA6815">
            <w:pPr>
              <w:spacing w:line="240" w:lineRule="exact"/>
              <w:jc w:val="center"/>
              <w:rPr>
                <w:rFonts w:hint="eastAsia" w:ascii="宋体" w:hAnsi="宋体" w:eastAsia="宋体" w:cs="宋体"/>
              </w:rPr>
            </w:pPr>
            <w:r>
              <w:rPr>
                <w:rFonts w:hint="eastAsia" w:ascii="宋体" w:hAnsi="宋体" w:eastAsia="宋体" w:cs="宋体"/>
              </w:rPr>
              <w:t>站房</w:t>
            </w:r>
          </w:p>
        </w:tc>
        <w:tc>
          <w:tcPr>
            <w:tcW w:w="2037" w:type="dxa"/>
            <w:vAlign w:val="center"/>
          </w:tcPr>
          <w:p w14:paraId="7CAEBC2E">
            <w:pPr>
              <w:spacing w:line="240" w:lineRule="exact"/>
              <w:jc w:val="center"/>
              <w:rPr>
                <w:rFonts w:hint="eastAsia" w:ascii="宋体" w:hAnsi="宋体" w:eastAsia="宋体" w:cs="宋体"/>
              </w:rPr>
            </w:pPr>
            <w:r>
              <w:rPr>
                <w:rFonts w:hint="eastAsia" w:ascii="宋体" w:hAnsi="宋体" w:eastAsia="宋体" w:cs="宋体"/>
              </w:rPr>
              <w:t>汽9.</w:t>
            </w:r>
            <w:r>
              <w:rPr>
                <w:rFonts w:hint="eastAsia" w:ascii="宋体" w:hAnsi="宋体" w:cs="宋体"/>
                <w:lang w:val="en-US" w:eastAsia="zh-CN"/>
              </w:rPr>
              <w:t>80</w:t>
            </w:r>
            <w:r>
              <w:rPr>
                <w:rFonts w:hint="eastAsia" w:ascii="宋体" w:hAnsi="宋体" w:eastAsia="宋体" w:cs="宋体"/>
              </w:rPr>
              <w:t>，柴6.4</w:t>
            </w:r>
          </w:p>
        </w:tc>
        <w:tc>
          <w:tcPr>
            <w:tcW w:w="2413" w:type="dxa"/>
            <w:vAlign w:val="center"/>
          </w:tcPr>
          <w:p w14:paraId="50AEA6C5">
            <w:pPr>
              <w:spacing w:line="240" w:lineRule="exact"/>
              <w:jc w:val="center"/>
              <w:rPr>
                <w:rFonts w:hint="eastAsia" w:ascii="宋体" w:hAnsi="宋体" w:eastAsia="宋体" w:cs="宋体"/>
              </w:rPr>
            </w:pPr>
            <w:r>
              <w:rPr>
                <w:rFonts w:hint="eastAsia" w:ascii="宋体" w:hAnsi="宋体" w:eastAsia="宋体" w:cs="宋体"/>
              </w:rPr>
              <w:t>汽4，柴3</w:t>
            </w:r>
          </w:p>
        </w:tc>
      </w:tr>
      <w:tr w14:paraId="2A26C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jc w:val="center"/>
        </w:trPr>
        <w:tc>
          <w:tcPr>
            <w:tcW w:w="1426" w:type="dxa"/>
            <w:vMerge w:val="continue"/>
            <w:vAlign w:val="center"/>
          </w:tcPr>
          <w:p w14:paraId="671229A2">
            <w:pPr>
              <w:spacing w:line="240" w:lineRule="exact"/>
              <w:jc w:val="center"/>
              <w:rPr>
                <w:rFonts w:hint="eastAsia" w:ascii="宋体" w:hAnsi="宋体" w:eastAsia="宋体" w:cs="宋体"/>
              </w:rPr>
            </w:pPr>
          </w:p>
        </w:tc>
        <w:tc>
          <w:tcPr>
            <w:tcW w:w="1081" w:type="dxa"/>
            <w:vMerge w:val="continue"/>
            <w:vAlign w:val="center"/>
          </w:tcPr>
          <w:p w14:paraId="01674B26">
            <w:pPr>
              <w:spacing w:line="240" w:lineRule="exact"/>
              <w:jc w:val="center"/>
              <w:rPr>
                <w:rFonts w:hint="eastAsia" w:ascii="宋体" w:hAnsi="宋体" w:eastAsia="宋体" w:cs="宋体"/>
              </w:rPr>
            </w:pPr>
          </w:p>
        </w:tc>
        <w:tc>
          <w:tcPr>
            <w:tcW w:w="2295" w:type="dxa"/>
            <w:vAlign w:val="center"/>
          </w:tcPr>
          <w:p w14:paraId="13D2AFBE">
            <w:pPr>
              <w:spacing w:line="240" w:lineRule="exact"/>
              <w:jc w:val="center"/>
              <w:rPr>
                <w:rFonts w:hint="eastAsia" w:ascii="宋体" w:hAnsi="宋体" w:eastAsia="宋体" w:cs="宋体"/>
              </w:rPr>
            </w:pPr>
            <w:r>
              <w:rPr>
                <w:rFonts w:hint="eastAsia" w:ascii="宋体" w:hAnsi="宋体" w:eastAsia="宋体" w:cs="宋体"/>
              </w:rPr>
              <w:t>配电间</w:t>
            </w:r>
          </w:p>
        </w:tc>
        <w:tc>
          <w:tcPr>
            <w:tcW w:w="2037" w:type="dxa"/>
            <w:vAlign w:val="center"/>
          </w:tcPr>
          <w:p w14:paraId="27F0F2F6">
            <w:pPr>
              <w:spacing w:line="240" w:lineRule="exact"/>
              <w:jc w:val="center"/>
              <w:rPr>
                <w:rFonts w:hint="default" w:ascii="宋体" w:hAnsi="宋体" w:eastAsia="宋体" w:cs="宋体"/>
                <w:lang w:val="en-US" w:eastAsia="zh-CN"/>
              </w:rPr>
            </w:pPr>
            <w:r>
              <w:rPr>
                <w:rFonts w:hint="eastAsia" w:ascii="宋体" w:hAnsi="宋体" w:eastAsia="宋体" w:cs="宋体"/>
              </w:rPr>
              <w:t>汽</w:t>
            </w:r>
            <w:r>
              <w:rPr>
                <w:rFonts w:hint="eastAsia" w:ascii="宋体" w:hAnsi="宋体" w:cs="宋体"/>
                <w:lang w:val="en-US" w:eastAsia="zh-CN"/>
              </w:rPr>
              <w:t>11.34</w:t>
            </w:r>
            <w:r>
              <w:rPr>
                <w:rFonts w:hint="eastAsia" w:ascii="宋体" w:hAnsi="宋体" w:eastAsia="宋体" w:cs="宋体"/>
              </w:rPr>
              <w:t>，柴</w:t>
            </w:r>
            <w:r>
              <w:rPr>
                <w:rFonts w:hint="eastAsia" w:ascii="宋体" w:hAnsi="宋体" w:cs="宋体"/>
                <w:lang w:val="en-US" w:eastAsia="zh-CN"/>
              </w:rPr>
              <w:t>8.45</w:t>
            </w:r>
          </w:p>
        </w:tc>
        <w:tc>
          <w:tcPr>
            <w:tcW w:w="2413" w:type="dxa"/>
            <w:vAlign w:val="center"/>
          </w:tcPr>
          <w:p w14:paraId="1C06B518">
            <w:pPr>
              <w:spacing w:line="240" w:lineRule="exact"/>
              <w:jc w:val="center"/>
              <w:rPr>
                <w:rFonts w:hint="default" w:ascii="宋体" w:hAnsi="宋体" w:eastAsia="宋体" w:cs="宋体"/>
                <w:lang w:val="en-US" w:eastAsia="zh-CN"/>
              </w:rPr>
            </w:pPr>
            <w:r>
              <w:rPr>
                <w:rFonts w:hint="eastAsia" w:ascii="宋体" w:hAnsi="宋体" w:cs="宋体"/>
                <w:lang w:val="en-US" w:eastAsia="zh-CN"/>
              </w:rPr>
              <w:t>汽</w:t>
            </w:r>
            <w:r>
              <w:rPr>
                <w:rFonts w:hint="eastAsia" w:ascii="宋体" w:hAnsi="宋体" w:eastAsia="宋体" w:cs="宋体"/>
              </w:rPr>
              <w:t>4.5</w:t>
            </w:r>
            <w:r>
              <w:rPr>
                <w:rFonts w:hint="eastAsia" w:ascii="宋体" w:hAnsi="宋体" w:cs="宋体"/>
                <w:lang w:eastAsia="zh-CN"/>
              </w:rPr>
              <w:t>，</w:t>
            </w:r>
            <w:r>
              <w:rPr>
                <w:rFonts w:hint="eastAsia" w:ascii="宋体" w:hAnsi="宋体" w:cs="宋体"/>
                <w:lang w:val="en-US" w:eastAsia="zh-CN"/>
              </w:rPr>
              <w:t>柴3</w:t>
            </w:r>
          </w:p>
        </w:tc>
      </w:tr>
      <w:tr w14:paraId="0508B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426" w:type="dxa"/>
            <w:vMerge w:val="continue"/>
            <w:vAlign w:val="center"/>
          </w:tcPr>
          <w:p w14:paraId="6427164E">
            <w:pPr>
              <w:spacing w:line="240" w:lineRule="exact"/>
              <w:jc w:val="center"/>
              <w:rPr>
                <w:rFonts w:hint="eastAsia" w:ascii="宋体" w:hAnsi="宋体" w:eastAsia="宋体" w:cs="宋体"/>
              </w:rPr>
            </w:pPr>
          </w:p>
        </w:tc>
        <w:tc>
          <w:tcPr>
            <w:tcW w:w="1081" w:type="dxa"/>
            <w:vAlign w:val="center"/>
          </w:tcPr>
          <w:p w14:paraId="6C72FE4B">
            <w:pPr>
              <w:spacing w:line="240" w:lineRule="exact"/>
              <w:jc w:val="center"/>
              <w:rPr>
                <w:rFonts w:hint="eastAsia" w:ascii="宋体" w:hAnsi="宋体" w:eastAsia="宋体" w:cs="宋体"/>
              </w:rPr>
            </w:pPr>
            <w:r>
              <w:rPr>
                <w:rFonts w:hint="eastAsia" w:ascii="宋体" w:hAnsi="宋体" w:eastAsia="宋体" w:cs="宋体"/>
              </w:rPr>
              <w:t>西面</w:t>
            </w:r>
          </w:p>
        </w:tc>
        <w:tc>
          <w:tcPr>
            <w:tcW w:w="2295" w:type="dxa"/>
            <w:vAlign w:val="center"/>
          </w:tcPr>
          <w:p w14:paraId="13188C2E">
            <w:pPr>
              <w:spacing w:line="240" w:lineRule="exact"/>
              <w:jc w:val="center"/>
              <w:rPr>
                <w:rFonts w:hint="eastAsia" w:ascii="宋体" w:hAnsi="宋体" w:eastAsia="宋体" w:cs="宋体"/>
              </w:rPr>
            </w:pPr>
            <w:r>
              <w:rPr>
                <w:rFonts w:hint="eastAsia" w:ascii="宋体" w:hAnsi="宋体" w:eastAsia="宋体" w:cs="宋体"/>
              </w:rPr>
              <w:t>围墙</w:t>
            </w:r>
          </w:p>
        </w:tc>
        <w:tc>
          <w:tcPr>
            <w:tcW w:w="2037" w:type="dxa"/>
            <w:vAlign w:val="center"/>
          </w:tcPr>
          <w:p w14:paraId="7A2365DE">
            <w:pPr>
              <w:spacing w:line="240" w:lineRule="exact"/>
              <w:jc w:val="center"/>
              <w:rPr>
                <w:rFonts w:hint="default" w:ascii="宋体" w:hAnsi="宋体" w:eastAsia="宋体" w:cs="宋体"/>
                <w:lang w:val="en-US" w:eastAsia="zh-CN"/>
              </w:rPr>
            </w:pPr>
            <w:r>
              <w:rPr>
                <w:rFonts w:hint="eastAsia" w:ascii="宋体" w:hAnsi="宋体" w:eastAsia="宋体" w:cs="宋体"/>
              </w:rPr>
              <w:t>汽</w:t>
            </w:r>
            <w:r>
              <w:rPr>
                <w:rFonts w:hint="eastAsia" w:ascii="宋体" w:hAnsi="宋体" w:cs="宋体"/>
                <w:lang w:val="en-US" w:eastAsia="zh-CN"/>
              </w:rPr>
              <w:t>11.78</w:t>
            </w:r>
            <w:r>
              <w:rPr>
                <w:rFonts w:hint="eastAsia" w:ascii="宋体" w:hAnsi="宋体" w:eastAsia="宋体" w:cs="宋体"/>
              </w:rPr>
              <w:t>，柴1</w:t>
            </w:r>
            <w:r>
              <w:rPr>
                <w:rFonts w:hint="eastAsia" w:ascii="宋体" w:hAnsi="宋体" w:cs="宋体"/>
                <w:lang w:val="en-US" w:eastAsia="zh-CN"/>
              </w:rPr>
              <w:t>1.78</w:t>
            </w:r>
          </w:p>
        </w:tc>
        <w:tc>
          <w:tcPr>
            <w:tcW w:w="2413" w:type="dxa"/>
            <w:vAlign w:val="center"/>
          </w:tcPr>
          <w:p w14:paraId="4BFE5171">
            <w:pPr>
              <w:spacing w:line="240" w:lineRule="exact"/>
              <w:jc w:val="center"/>
              <w:rPr>
                <w:rFonts w:hint="eastAsia" w:ascii="宋体" w:hAnsi="宋体" w:eastAsia="宋体" w:cs="宋体"/>
              </w:rPr>
            </w:pPr>
            <w:r>
              <w:rPr>
                <w:rFonts w:hint="eastAsia" w:ascii="宋体" w:hAnsi="宋体" w:eastAsia="宋体" w:cs="宋体"/>
              </w:rPr>
              <w:t>汽</w:t>
            </w:r>
            <w:r>
              <w:rPr>
                <w:rFonts w:hint="eastAsia" w:ascii="宋体" w:hAnsi="宋体" w:cs="宋体"/>
                <w:lang w:val="en-US" w:eastAsia="zh-CN"/>
              </w:rPr>
              <w:t>2</w:t>
            </w:r>
            <w:r>
              <w:rPr>
                <w:rFonts w:hint="eastAsia" w:ascii="宋体" w:hAnsi="宋体" w:eastAsia="宋体" w:cs="宋体"/>
              </w:rPr>
              <w:t>，柴2</w:t>
            </w:r>
          </w:p>
        </w:tc>
      </w:tr>
      <w:tr w14:paraId="057EA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0" w:hRule="atLeast"/>
          <w:jc w:val="center"/>
        </w:trPr>
        <w:tc>
          <w:tcPr>
            <w:tcW w:w="1426" w:type="dxa"/>
            <w:vMerge w:val="restart"/>
            <w:vAlign w:val="center"/>
          </w:tcPr>
          <w:p w14:paraId="0DBB2800">
            <w:pPr>
              <w:spacing w:line="240" w:lineRule="exact"/>
              <w:jc w:val="center"/>
              <w:rPr>
                <w:rFonts w:hint="eastAsia" w:ascii="宋体" w:hAnsi="宋体" w:eastAsia="宋体" w:cs="宋体"/>
              </w:rPr>
            </w:pPr>
            <w:r>
              <w:rPr>
                <w:rFonts w:hint="eastAsia" w:ascii="宋体" w:hAnsi="宋体" w:eastAsia="宋体" w:cs="宋体"/>
              </w:rPr>
              <w:t>通气管管口</w:t>
            </w:r>
          </w:p>
        </w:tc>
        <w:tc>
          <w:tcPr>
            <w:tcW w:w="1081" w:type="dxa"/>
            <w:vAlign w:val="center"/>
          </w:tcPr>
          <w:p w14:paraId="54594208">
            <w:pPr>
              <w:spacing w:line="240" w:lineRule="exact"/>
              <w:jc w:val="center"/>
              <w:rPr>
                <w:rFonts w:hint="eastAsia" w:ascii="宋体" w:hAnsi="宋体" w:eastAsia="宋体" w:cs="宋体"/>
              </w:rPr>
            </w:pPr>
            <w:r>
              <w:rPr>
                <w:rFonts w:hint="eastAsia" w:ascii="宋体" w:hAnsi="宋体" w:eastAsia="宋体" w:cs="宋体"/>
              </w:rPr>
              <w:t>南面</w:t>
            </w:r>
          </w:p>
        </w:tc>
        <w:tc>
          <w:tcPr>
            <w:tcW w:w="2295" w:type="dxa"/>
            <w:vAlign w:val="center"/>
          </w:tcPr>
          <w:p w14:paraId="271033B1">
            <w:pPr>
              <w:spacing w:line="240" w:lineRule="exact"/>
              <w:jc w:val="center"/>
              <w:rPr>
                <w:rFonts w:hint="eastAsia" w:ascii="宋体" w:hAnsi="宋体" w:eastAsia="宋体" w:cs="宋体"/>
              </w:rPr>
            </w:pPr>
            <w:r>
              <w:rPr>
                <w:rFonts w:hint="eastAsia" w:ascii="宋体" w:hAnsi="宋体" w:eastAsia="宋体" w:cs="宋体"/>
              </w:rPr>
              <w:t>站房</w:t>
            </w:r>
          </w:p>
        </w:tc>
        <w:tc>
          <w:tcPr>
            <w:tcW w:w="2037" w:type="dxa"/>
            <w:vAlign w:val="center"/>
          </w:tcPr>
          <w:p w14:paraId="64AC176B">
            <w:pPr>
              <w:spacing w:line="240" w:lineRule="exact"/>
              <w:jc w:val="center"/>
              <w:rPr>
                <w:rFonts w:hint="eastAsia" w:ascii="宋体" w:hAnsi="宋体" w:eastAsia="宋体" w:cs="宋体"/>
              </w:rPr>
            </w:pPr>
            <w:r>
              <w:rPr>
                <w:rFonts w:hint="eastAsia" w:ascii="宋体" w:hAnsi="宋体" w:eastAsia="宋体" w:cs="宋体"/>
              </w:rPr>
              <w:t>汽12.</w:t>
            </w:r>
            <w:r>
              <w:rPr>
                <w:rFonts w:hint="eastAsia" w:ascii="宋体" w:hAnsi="宋体" w:cs="宋体"/>
                <w:lang w:val="en-US" w:eastAsia="zh-CN"/>
              </w:rPr>
              <w:t>3</w:t>
            </w:r>
            <w:r>
              <w:rPr>
                <w:rFonts w:hint="eastAsia" w:ascii="宋体" w:hAnsi="宋体" w:eastAsia="宋体" w:cs="宋体"/>
              </w:rPr>
              <w:t>5，柴12.</w:t>
            </w:r>
            <w:r>
              <w:rPr>
                <w:rFonts w:hint="eastAsia" w:ascii="宋体" w:hAnsi="宋体" w:cs="宋体"/>
                <w:lang w:val="en-US" w:eastAsia="zh-CN"/>
              </w:rPr>
              <w:t>3</w:t>
            </w:r>
            <w:r>
              <w:rPr>
                <w:rFonts w:hint="eastAsia" w:ascii="宋体" w:hAnsi="宋体" w:eastAsia="宋体" w:cs="宋体"/>
              </w:rPr>
              <w:t>5</w:t>
            </w:r>
          </w:p>
        </w:tc>
        <w:tc>
          <w:tcPr>
            <w:tcW w:w="2413" w:type="dxa"/>
            <w:vAlign w:val="center"/>
          </w:tcPr>
          <w:p w14:paraId="3688F0AD">
            <w:pPr>
              <w:spacing w:line="240" w:lineRule="exact"/>
              <w:jc w:val="center"/>
              <w:rPr>
                <w:rFonts w:hint="eastAsia" w:ascii="宋体" w:hAnsi="宋体" w:eastAsia="宋体" w:cs="宋体"/>
              </w:rPr>
            </w:pPr>
            <w:r>
              <w:rPr>
                <w:rFonts w:hint="eastAsia" w:ascii="宋体" w:hAnsi="宋体" w:eastAsia="宋体" w:cs="宋体"/>
              </w:rPr>
              <w:t>汽4，柴3.5</w:t>
            </w:r>
          </w:p>
        </w:tc>
      </w:tr>
      <w:tr w14:paraId="71EC3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426" w:type="dxa"/>
            <w:vMerge w:val="continue"/>
            <w:vAlign w:val="center"/>
          </w:tcPr>
          <w:p w14:paraId="1DB1DF7F">
            <w:pPr>
              <w:spacing w:line="240" w:lineRule="exact"/>
              <w:jc w:val="center"/>
              <w:rPr>
                <w:rFonts w:hint="eastAsia" w:ascii="宋体" w:hAnsi="宋体" w:eastAsia="宋体" w:cs="宋体"/>
              </w:rPr>
            </w:pPr>
          </w:p>
        </w:tc>
        <w:tc>
          <w:tcPr>
            <w:tcW w:w="1081" w:type="dxa"/>
            <w:vAlign w:val="center"/>
          </w:tcPr>
          <w:p w14:paraId="2430EA0A">
            <w:pPr>
              <w:spacing w:line="240" w:lineRule="exact"/>
              <w:jc w:val="center"/>
              <w:rPr>
                <w:rFonts w:hint="eastAsia" w:ascii="宋体" w:hAnsi="宋体" w:eastAsia="宋体" w:cs="宋体"/>
                <w:lang w:val="en-US" w:eastAsia="zh-CN"/>
              </w:rPr>
            </w:pPr>
            <w:r>
              <w:rPr>
                <w:rFonts w:hint="eastAsia" w:ascii="宋体" w:hAnsi="宋体" w:cs="宋体"/>
                <w:lang w:val="en-US" w:eastAsia="zh-CN"/>
              </w:rPr>
              <w:t>东南面</w:t>
            </w:r>
          </w:p>
        </w:tc>
        <w:tc>
          <w:tcPr>
            <w:tcW w:w="2295" w:type="dxa"/>
            <w:vAlign w:val="center"/>
          </w:tcPr>
          <w:p w14:paraId="4953D31A">
            <w:pPr>
              <w:spacing w:line="240" w:lineRule="exact"/>
              <w:jc w:val="center"/>
              <w:rPr>
                <w:rFonts w:hint="eastAsia" w:ascii="宋体" w:hAnsi="宋体" w:eastAsia="宋体" w:cs="宋体"/>
              </w:rPr>
            </w:pPr>
            <w:r>
              <w:rPr>
                <w:rFonts w:hint="eastAsia" w:ascii="宋体" w:hAnsi="宋体" w:eastAsia="宋体" w:cs="宋体"/>
              </w:rPr>
              <w:t>配电间</w:t>
            </w:r>
          </w:p>
        </w:tc>
        <w:tc>
          <w:tcPr>
            <w:tcW w:w="2037" w:type="dxa"/>
            <w:vAlign w:val="center"/>
          </w:tcPr>
          <w:p w14:paraId="2D95458B">
            <w:pPr>
              <w:spacing w:line="240" w:lineRule="exact"/>
              <w:jc w:val="center"/>
              <w:rPr>
                <w:rFonts w:hint="default" w:ascii="宋体" w:hAnsi="宋体" w:eastAsia="宋体" w:cs="宋体"/>
                <w:lang w:val="en-US" w:eastAsia="zh-CN"/>
              </w:rPr>
            </w:pPr>
            <w:r>
              <w:rPr>
                <w:rFonts w:hint="eastAsia" w:ascii="宋体" w:hAnsi="宋体" w:eastAsia="宋体" w:cs="宋体"/>
              </w:rPr>
              <w:t>12.</w:t>
            </w:r>
            <w:r>
              <w:rPr>
                <w:rFonts w:hint="eastAsia" w:ascii="宋体" w:hAnsi="宋体" w:cs="宋体"/>
                <w:lang w:val="en-US" w:eastAsia="zh-CN"/>
              </w:rPr>
              <w:t>44</w:t>
            </w:r>
          </w:p>
        </w:tc>
        <w:tc>
          <w:tcPr>
            <w:tcW w:w="2413" w:type="dxa"/>
            <w:vAlign w:val="center"/>
          </w:tcPr>
          <w:p w14:paraId="525EA938">
            <w:pPr>
              <w:spacing w:line="240" w:lineRule="exact"/>
              <w:jc w:val="center"/>
              <w:rPr>
                <w:rFonts w:hint="default" w:ascii="宋体" w:hAnsi="宋体" w:eastAsia="宋体" w:cs="宋体"/>
                <w:lang w:val="en-US" w:eastAsia="zh-CN"/>
              </w:rPr>
            </w:pPr>
            <w:r>
              <w:rPr>
                <w:rFonts w:hint="eastAsia" w:ascii="宋体" w:hAnsi="宋体" w:cs="宋体"/>
                <w:lang w:val="en-US" w:eastAsia="zh-CN"/>
              </w:rPr>
              <w:t>汽</w:t>
            </w:r>
            <w:r>
              <w:rPr>
                <w:rFonts w:hint="eastAsia" w:ascii="宋体" w:hAnsi="宋体" w:eastAsia="宋体" w:cs="宋体"/>
              </w:rPr>
              <w:t>5</w:t>
            </w:r>
            <w:r>
              <w:rPr>
                <w:rFonts w:hint="eastAsia" w:ascii="宋体" w:hAnsi="宋体" w:cs="宋体"/>
                <w:lang w:eastAsia="zh-CN"/>
              </w:rPr>
              <w:t>，</w:t>
            </w:r>
            <w:r>
              <w:rPr>
                <w:rFonts w:hint="eastAsia" w:ascii="宋体" w:hAnsi="宋体" w:cs="宋体"/>
                <w:lang w:val="en-US" w:eastAsia="zh-CN"/>
              </w:rPr>
              <w:t>柴3</w:t>
            </w:r>
          </w:p>
        </w:tc>
      </w:tr>
      <w:tr w14:paraId="3275A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426" w:type="dxa"/>
            <w:vMerge w:val="continue"/>
            <w:vAlign w:val="center"/>
          </w:tcPr>
          <w:p w14:paraId="1926DF37">
            <w:pPr>
              <w:spacing w:line="240" w:lineRule="exact"/>
              <w:jc w:val="center"/>
              <w:rPr>
                <w:rFonts w:hint="eastAsia" w:ascii="宋体" w:hAnsi="宋体" w:eastAsia="宋体" w:cs="宋体"/>
              </w:rPr>
            </w:pPr>
          </w:p>
        </w:tc>
        <w:tc>
          <w:tcPr>
            <w:tcW w:w="1081" w:type="dxa"/>
            <w:vAlign w:val="center"/>
          </w:tcPr>
          <w:p w14:paraId="4FE85D63">
            <w:pPr>
              <w:spacing w:line="240" w:lineRule="exact"/>
              <w:jc w:val="center"/>
              <w:rPr>
                <w:rFonts w:hint="eastAsia" w:ascii="宋体" w:hAnsi="宋体" w:eastAsia="宋体" w:cs="宋体"/>
              </w:rPr>
            </w:pPr>
            <w:r>
              <w:rPr>
                <w:rFonts w:hint="eastAsia" w:ascii="宋体" w:hAnsi="宋体" w:eastAsia="宋体" w:cs="宋体"/>
              </w:rPr>
              <w:t>西面</w:t>
            </w:r>
          </w:p>
        </w:tc>
        <w:tc>
          <w:tcPr>
            <w:tcW w:w="2295" w:type="dxa"/>
            <w:vAlign w:val="center"/>
          </w:tcPr>
          <w:p w14:paraId="3E2CB098">
            <w:pPr>
              <w:spacing w:line="240" w:lineRule="exact"/>
              <w:jc w:val="center"/>
              <w:rPr>
                <w:rFonts w:hint="eastAsia" w:ascii="宋体" w:hAnsi="宋体" w:eastAsia="宋体" w:cs="宋体"/>
              </w:rPr>
            </w:pPr>
            <w:r>
              <w:rPr>
                <w:rFonts w:hint="eastAsia" w:ascii="宋体" w:hAnsi="宋体" w:eastAsia="宋体" w:cs="宋体"/>
              </w:rPr>
              <w:t>围墙</w:t>
            </w:r>
          </w:p>
        </w:tc>
        <w:tc>
          <w:tcPr>
            <w:tcW w:w="2037" w:type="dxa"/>
            <w:vAlign w:val="center"/>
          </w:tcPr>
          <w:p w14:paraId="13662CB9">
            <w:pPr>
              <w:spacing w:line="240" w:lineRule="exact"/>
              <w:jc w:val="center"/>
              <w:rPr>
                <w:rFonts w:hint="default" w:ascii="宋体" w:hAnsi="宋体" w:eastAsia="宋体" w:cs="宋体"/>
                <w:lang w:val="en-US" w:eastAsia="zh-CN"/>
              </w:rPr>
            </w:pPr>
            <w:r>
              <w:rPr>
                <w:rFonts w:hint="eastAsia" w:ascii="宋体" w:hAnsi="宋体" w:eastAsia="宋体" w:cs="宋体"/>
              </w:rPr>
              <w:t>汽18.</w:t>
            </w:r>
            <w:r>
              <w:rPr>
                <w:rFonts w:hint="eastAsia" w:ascii="宋体" w:hAnsi="宋体" w:cs="宋体"/>
                <w:lang w:val="en-US" w:eastAsia="zh-CN"/>
              </w:rPr>
              <w:t>49</w:t>
            </w:r>
            <w:r>
              <w:rPr>
                <w:rFonts w:hint="eastAsia" w:ascii="宋体" w:hAnsi="宋体" w:eastAsia="宋体" w:cs="宋体"/>
              </w:rPr>
              <w:t>，柴18.</w:t>
            </w:r>
            <w:r>
              <w:rPr>
                <w:rFonts w:hint="eastAsia" w:ascii="宋体" w:hAnsi="宋体" w:cs="宋体"/>
                <w:lang w:val="en-US" w:eastAsia="zh-CN"/>
              </w:rPr>
              <w:t>49</w:t>
            </w:r>
          </w:p>
        </w:tc>
        <w:tc>
          <w:tcPr>
            <w:tcW w:w="2413" w:type="dxa"/>
            <w:vAlign w:val="center"/>
          </w:tcPr>
          <w:p w14:paraId="5962A03E">
            <w:pPr>
              <w:spacing w:line="240" w:lineRule="exact"/>
              <w:jc w:val="center"/>
              <w:rPr>
                <w:rFonts w:hint="eastAsia" w:ascii="宋体" w:hAnsi="宋体" w:eastAsia="宋体" w:cs="宋体"/>
              </w:rPr>
            </w:pPr>
            <w:r>
              <w:rPr>
                <w:rFonts w:hint="eastAsia" w:ascii="宋体" w:hAnsi="宋体" w:eastAsia="宋体" w:cs="宋体"/>
              </w:rPr>
              <w:t>汽</w:t>
            </w:r>
            <w:r>
              <w:rPr>
                <w:rFonts w:hint="eastAsia" w:ascii="宋体" w:hAnsi="宋体" w:cs="宋体"/>
                <w:lang w:val="en-US" w:eastAsia="zh-CN"/>
              </w:rPr>
              <w:t>2</w:t>
            </w:r>
            <w:r>
              <w:rPr>
                <w:rFonts w:hint="eastAsia" w:ascii="宋体" w:hAnsi="宋体" w:eastAsia="宋体" w:cs="宋体"/>
              </w:rPr>
              <w:t>，柴2</w:t>
            </w:r>
          </w:p>
        </w:tc>
      </w:tr>
      <w:tr w14:paraId="542B5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426" w:type="dxa"/>
            <w:vMerge w:val="continue"/>
            <w:vAlign w:val="center"/>
          </w:tcPr>
          <w:p w14:paraId="20123154">
            <w:pPr>
              <w:spacing w:line="240" w:lineRule="exact"/>
              <w:jc w:val="center"/>
              <w:rPr>
                <w:rFonts w:hint="eastAsia" w:ascii="宋体" w:hAnsi="宋体" w:eastAsia="宋体" w:cs="宋体"/>
              </w:rPr>
            </w:pPr>
          </w:p>
        </w:tc>
        <w:tc>
          <w:tcPr>
            <w:tcW w:w="1081" w:type="dxa"/>
            <w:vAlign w:val="center"/>
          </w:tcPr>
          <w:p w14:paraId="76EA36D2">
            <w:pPr>
              <w:spacing w:line="240" w:lineRule="exact"/>
              <w:jc w:val="center"/>
              <w:rPr>
                <w:rFonts w:hint="eastAsia" w:ascii="宋体" w:hAnsi="宋体" w:eastAsia="宋体" w:cs="宋体"/>
              </w:rPr>
            </w:pPr>
            <w:r>
              <w:rPr>
                <w:rFonts w:hint="eastAsia" w:ascii="宋体" w:hAnsi="宋体" w:eastAsia="宋体" w:cs="宋体"/>
              </w:rPr>
              <w:t>西北面</w:t>
            </w:r>
          </w:p>
        </w:tc>
        <w:tc>
          <w:tcPr>
            <w:tcW w:w="2295" w:type="dxa"/>
            <w:vAlign w:val="center"/>
          </w:tcPr>
          <w:p w14:paraId="7C9AC633">
            <w:pPr>
              <w:spacing w:line="240" w:lineRule="exact"/>
              <w:jc w:val="center"/>
              <w:rPr>
                <w:rFonts w:hint="eastAsia" w:ascii="宋体" w:hAnsi="宋体" w:eastAsia="宋体" w:cs="宋体"/>
              </w:rPr>
            </w:pPr>
            <w:r>
              <w:rPr>
                <w:rFonts w:hint="eastAsia" w:ascii="宋体" w:hAnsi="宋体" w:eastAsia="宋体" w:cs="宋体"/>
              </w:rPr>
              <w:t>围墙</w:t>
            </w:r>
          </w:p>
        </w:tc>
        <w:tc>
          <w:tcPr>
            <w:tcW w:w="2037" w:type="dxa"/>
            <w:vAlign w:val="center"/>
          </w:tcPr>
          <w:p w14:paraId="15841EE0">
            <w:pPr>
              <w:spacing w:line="240" w:lineRule="exact"/>
              <w:jc w:val="center"/>
              <w:rPr>
                <w:rFonts w:hint="default" w:ascii="宋体" w:hAnsi="宋体" w:eastAsia="宋体" w:cs="宋体"/>
                <w:lang w:val="en-US" w:eastAsia="zh-CN"/>
              </w:rPr>
            </w:pPr>
            <w:r>
              <w:rPr>
                <w:rFonts w:hint="eastAsia" w:ascii="宋体" w:hAnsi="宋体" w:eastAsia="宋体" w:cs="宋体"/>
              </w:rPr>
              <w:t>汽</w:t>
            </w:r>
            <w:r>
              <w:rPr>
                <w:rFonts w:hint="eastAsia" w:ascii="宋体" w:hAnsi="宋体" w:cs="宋体"/>
                <w:lang w:val="en-US" w:eastAsia="zh-CN"/>
              </w:rPr>
              <w:t>10.39</w:t>
            </w:r>
            <w:r>
              <w:rPr>
                <w:rFonts w:hint="eastAsia" w:ascii="宋体" w:hAnsi="宋体" w:eastAsia="宋体" w:cs="宋体"/>
              </w:rPr>
              <w:t>，柴</w:t>
            </w:r>
            <w:r>
              <w:rPr>
                <w:rFonts w:hint="eastAsia" w:ascii="宋体" w:hAnsi="宋体" w:cs="宋体"/>
                <w:lang w:val="en-US" w:eastAsia="zh-CN"/>
              </w:rPr>
              <w:t>10.39</w:t>
            </w:r>
          </w:p>
        </w:tc>
        <w:tc>
          <w:tcPr>
            <w:tcW w:w="2413" w:type="dxa"/>
            <w:vAlign w:val="center"/>
          </w:tcPr>
          <w:p w14:paraId="71510318">
            <w:pPr>
              <w:spacing w:line="240" w:lineRule="exact"/>
              <w:jc w:val="center"/>
              <w:rPr>
                <w:rFonts w:hint="eastAsia" w:ascii="宋体" w:hAnsi="宋体" w:eastAsia="宋体" w:cs="宋体"/>
              </w:rPr>
            </w:pPr>
            <w:r>
              <w:rPr>
                <w:rFonts w:hint="eastAsia" w:ascii="宋体" w:hAnsi="宋体" w:eastAsia="宋体" w:cs="宋体"/>
              </w:rPr>
              <w:t>汽</w:t>
            </w:r>
            <w:r>
              <w:rPr>
                <w:rFonts w:hint="eastAsia" w:ascii="宋体" w:hAnsi="宋体" w:cs="宋体"/>
                <w:lang w:val="en-US" w:eastAsia="zh-CN"/>
              </w:rPr>
              <w:t>2</w:t>
            </w:r>
            <w:r>
              <w:rPr>
                <w:rFonts w:hint="eastAsia" w:ascii="宋体" w:hAnsi="宋体" w:eastAsia="宋体" w:cs="宋体"/>
              </w:rPr>
              <w:t>，柴2</w:t>
            </w:r>
          </w:p>
        </w:tc>
      </w:tr>
      <w:tr w14:paraId="068F1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1426" w:type="dxa"/>
            <w:vMerge w:val="restart"/>
            <w:vAlign w:val="center"/>
          </w:tcPr>
          <w:p w14:paraId="6E95DF07">
            <w:pPr>
              <w:spacing w:line="240" w:lineRule="exact"/>
              <w:jc w:val="center"/>
              <w:rPr>
                <w:rFonts w:hint="eastAsia" w:ascii="宋体" w:hAnsi="宋体" w:eastAsia="宋体" w:cs="宋体"/>
              </w:rPr>
            </w:pPr>
            <w:r>
              <w:rPr>
                <w:rFonts w:hint="eastAsia" w:ascii="宋体" w:hAnsi="宋体" w:eastAsia="宋体" w:cs="宋体"/>
              </w:rPr>
              <w:t>加油机</w:t>
            </w:r>
          </w:p>
        </w:tc>
        <w:tc>
          <w:tcPr>
            <w:tcW w:w="1081" w:type="dxa"/>
            <w:vMerge w:val="restart"/>
            <w:vAlign w:val="center"/>
          </w:tcPr>
          <w:p w14:paraId="1A9A7BB1">
            <w:pPr>
              <w:spacing w:line="240" w:lineRule="exact"/>
              <w:jc w:val="center"/>
              <w:rPr>
                <w:rFonts w:hint="eastAsia" w:ascii="宋体" w:hAnsi="宋体" w:eastAsia="宋体" w:cs="宋体"/>
              </w:rPr>
            </w:pPr>
            <w:r>
              <w:rPr>
                <w:rFonts w:hint="eastAsia" w:ascii="宋体" w:hAnsi="宋体" w:eastAsia="宋体" w:cs="宋体"/>
              </w:rPr>
              <w:t>北</w:t>
            </w:r>
          </w:p>
        </w:tc>
        <w:tc>
          <w:tcPr>
            <w:tcW w:w="2295" w:type="dxa"/>
            <w:vAlign w:val="center"/>
          </w:tcPr>
          <w:p w14:paraId="373CF8F4">
            <w:pPr>
              <w:spacing w:line="240" w:lineRule="exact"/>
              <w:jc w:val="center"/>
              <w:rPr>
                <w:rFonts w:hint="eastAsia" w:ascii="宋体" w:hAnsi="宋体" w:eastAsia="宋体" w:cs="宋体"/>
              </w:rPr>
            </w:pPr>
            <w:r>
              <w:rPr>
                <w:rFonts w:hint="eastAsia" w:ascii="宋体" w:hAnsi="宋体" w:eastAsia="宋体" w:cs="宋体"/>
              </w:rPr>
              <w:t>站房</w:t>
            </w:r>
          </w:p>
        </w:tc>
        <w:tc>
          <w:tcPr>
            <w:tcW w:w="2037" w:type="dxa"/>
            <w:vAlign w:val="center"/>
          </w:tcPr>
          <w:p w14:paraId="754E9372">
            <w:pPr>
              <w:spacing w:line="240" w:lineRule="exact"/>
              <w:jc w:val="center"/>
              <w:rPr>
                <w:rFonts w:hint="eastAsia" w:ascii="宋体" w:hAnsi="宋体" w:eastAsia="宋体" w:cs="宋体"/>
              </w:rPr>
            </w:pPr>
            <w:r>
              <w:rPr>
                <w:rFonts w:hint="eastAsia" w:ascii="宋体" w:hAnsi="宋体" w:eastAsia="宋体" w:cs="宋体"/>
              </w:rPr>
              <w:t>8</w:t>
            </w:r>
          </w:p>
        </w:tc>
        <w:tc>
          <w:tcPr>
            <w:tcW w:w="2413" w:type="dxa"/>
            <w:vAlign w:val="center"/>
          </w:tcPr>
          <w:p w14:paraId="74D0BFBD">
            <w:pPr>
              <w:spacing w:line="240" w:lineRule="exact"/>
              <w:jc w:val="center"/>
              <w:rPr>
                <w:rFonts w:hint="default" w:ascii="宋体" w:hAnsi="宋体" w:eastAsia="宋体" w:cs="宋体"/>
                <w:lang w:val="en-US" w:eastAsia="zh-CN"/>
              </w:rPr>
            </w:pPr>
            <w:r>
              <w:rPr>
                <w:rFonts w:hint="eastAsia" w:ascii="宋体" w:hAnsi="宋体" w:cs="宋体"/>
                <w:lang w:val="en-US" w:eastAsia="zh-CN"/>
              </w:rPr>
              <w:t>汽</w:t>
            </w:r>
            <w:r>
              <w:rPr>
                <w:rFonts w:hint="eastAsia" w:ascii="宋体" w:hAnsi="宋体" w:eastAsia="宋体" w:cs="宋体"/>
              </w:rPr>
              <w:t>5</w:t>
            </w:r>
            <w:r>
              <w:rPr>
                <w:rFonts w:hint="eastAsia" w:ascii="宋体" w:hAnsi="宋体" w:cs="宋体"/>
                <w:lang w:eastAsia="zh-CN"/>
              </w:rPr>
              <w:t>，</w:t>
            </w:r>
            <w:r>
              <w:rPr>
                <w:rFonts w:hint="eastAsia" w:ascii="宋体" w:hAnsi="宋体" w:cs="宋体"/>
                <w:lang w:val="en-US" w:eastAsia="zh-CN"/>
              </w:rPr>
              <w:t>柴4</w:t>
            </w:r>
          </w:p>
        </w:tc>
      </w:tr>
      <w:tr w14:paraId="54F6F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1426" w:type="dxa"/>
            <w:vMerge w:val="continue"/>
            <w:vAlign w:val="center"/>
          </w:tcPr>
          <w:p w14:paraId="5D02CC53">
            <w:pPr>
              <w:spacing w:line="240" w:lineRule="exact"/>
              <w:jc w:val="center"/>
              <w:rPr>
                <w:rFonts w:hint="eastAsia" w:ascii="宋体" w:hAnsi="宋体" w:eastAsia="宋体" w:cs="宋体"/>
              </w:rPr>
            </w:pPr>
          </w:p>
        </w:tc>
        <w:tc>
          <w:tcPr>
            <w:tcW w:w="1081" w:type="dxa"/>
            <w:vMerge w:val="continue"/>
            <w:vAlign w:val="center"/>
          </w:tcPr>
          <w:p w14:paraId="79187F86">
            <w:pPr>
              <w:spacing w:line="240" w:lineRule="exact"/>
              <w:jc w:val="center"/>
              <w:rPr>
                <w:rFonts w:hint="eastAsia" w:ascii="宋体" w:hAnsi="宋体" w:eastAsia="宋体" w:cs="宋体"/>
              </w:rPr>
            </w:pPr>
          </w:p>
        </w:tc>
        <w:tc>
          <w:tcPr>
            <w:tcW w:w="2295" w:type="dxa"/>
            <w:vAlign w:val="center"/>
          </w:tcPr>
          <w:p w14:paraId="67344DD5">
            <w:pPr>
              <w:spacing w:line="240" w:lineRule="exact"/>
              <w:jc w:val="center"/>
              <w:rPr>
                <w:rFonts w:hint="eastAsia" w:ascii="宋体" w:hAnsi="宋体" w:eastAsia="宋体" w:cs="宋体"/>
              </w:rPr>
            </w:pPr>
            <w:r>
              <w:rPr>
                <w:rFonts w:hint="eastAsia" w:ascii="宋体" w:hAnsi="宋体" w:eastAsia="宋体" w:cs="宋体"/>
              </w:rPr>
              <w:t>配电间</w:t>
            </w:r>
          </w:p>
        </w:tc>
        <w:tc>
          <w:tcPr>
            <w:tcW w:w="2037" w:type="dxa"/>
            <w:vAlign w:val="center"/>
          </w:tcPr>
          <w:p w14:paraId="5946478C">
            <w:pPr>
              <w:spacing w:line="240" w:lineRule="exact"/>
              <w:jc w:val="center"/>
              <w:rPr>
                <w:rFonts w:hint="eastAsia" w:ascii="宋体" w:hAnsi="宋体" w:eastAsia="宋体" w:cs="宋体"/>
              </w:rPr>
            </w:pPr>
            <w:r>
              <w:rPr>
                <w:rFonts w:hint="eastAsia" w:ascii="宋体" w:hAnsi="宋体" w:eastAsia="宋体" w:cs="宋体"/>
              </w:rPr>
              <w:t>8</w:t>
            </w:r>
          </w:p>
        </w:tc>
        <w:tc>
          <w:tcPr>
            <w:tcW w:w="2413" w:type="dxa"/>
            <w:vAlign w:val="center"/>
          </w:tcPr>
          <w:p w14:paraId="4E3464E7">
            <w:pPr>
              <w:spacing w:line="240" w:lineRule="exact"/>
              <w:jc w:val="center"/>
              <w:rPr>
                <w:rFonts w:hint="default" w:ascii="宋体" w:hAnsi="宋体" w:eastAsia="宋体" w:cs="宋体"/>
                <w:lang w:val="en-US" w:eastAsia="zh-CN"/>
              </w:rPr>
            </w:pPr>
            <w:r>
              <w:rPr>
                <w:rFonts w:hint="eastAsia" w:ascii="宋体" w:hAnsi="宋体" w:cs="宋体"/>
                <w:lang w:val="en-US" w:eastAsia="zh-CN"/>
              </w:rPr>
              <w:t>汽</w:t>
            </w:r>
            <w:r>
              <w:rPr>
                <w:rFonts w:hint="eastAsia" w:ascii="宋体" w:hAnsi="宋体" w:eastAsia="宋体" w:cs="宋体"/>
              </w:rPr>
              <w:t>6</w:t>
            </w:r>
            <w:r>
              <w:rPr>
                <w:rFonts w:hint="eastAsia" w:ascii="宋体" w:hAnsi="宋体" w:cs="宋体"/>
                <w:lang w:eastAsia="zh-CN"/>
              </w:rPr>
              <w:t>，</w:t>
            </w:r>
            <w:r>
              <w:rPr>
                <w:rFonts w:hint="eastAsia" w:ascii="宋体" w:hAnsi="宋体" w:cs="宋体"/>
                <w:lang w:val="en-US" w:eastAsia="zh-CN"/>
              </w:rPr>
              <w:t>柴3</w:t>
            </w:r>
          </w:p>
        </w:tc>
      </w:tr>
      <w:tr w14:paraId="664AA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1426" w:type="dxa"/>
            <w:vMerge w:val="restart"/>
            <w:vAlign w:val="center"/>
          </w:tcPr>
          <w:p w14:paraId="52CA6676">
            <w:pPr>
              <w:spacing w:line="240" w:lineRule="exact"/>
              <w:jc w:val="center"/>
              <w:rPr>
                <w:rFonts w:hint="eastAsia" w:ascii="宋体" w:hAnsi="宋体" w:eastAsia="宋体" w:cs="宋体"/>
              </w:rPr>
            </w:pPr>
            <w:r>
              <w:rPr>
                <w:rFonts w:hint="eastAsia" w:ascii="宋体" w:hAnsi="宋体" w:eastAsia="宋体" w:cs="宋体"/>
              </w:rPr>
              <w:t>密闭卸油点</w:t>
            </w:r>
          </w:p>
        </w:tc>
        <w:tc>
          <w:tcPr>
            <w:tcW w:w="1081" w:type="dxa"/>
            <w:vAlign w:val="center"/>
          </w:tcPr>
          <w:p w14:paraId="33A50D40">
            <w:pPr>
              <w:spacing w:line="240" w:lineRule="exact"/>
              <w:jc w:val="center"/>
              <w:rPr>
                <w:rFonts w:hint="eastAsia" w:ascii="宋体" w:hAnsi="宋体" w:eastAsia="宋体" w:cs="宋体"/>
              </w:rPr>
            </w:pPr>
            <w:r>
              <w:rPr>
                <w:rFonts w:hint="eastAsia" w:ascii="宋体" w:hAnsi="宋体" w:eastAsia="宋体" w:cs="宋体"/>
              </w:rPr>
              <w:t>南面</w:t>
            </w:r>
          </w:p>
        </w:tc>
        <w:tc>
          <w:tcPr>
            <w:tcW w:w="2295" w:type="dxa"/>
            <w:vAlign w:val="center"/>
          </w:tcPr>
          <w:p w14:paraId="79F236E3">
            <w:pPr>
              <w:spacing w:line="240" w:lineRule="exact"/>
              <w:jc w:val="center"/>
              <w:rPr>
                <w:rFonts w:hint="eastAsia" w:ascii="宋体" w:hAnsi="宋体" w:eastAsia="宋体" w:cs="宋体"/>
              </w:rPr>
            </w:pPr>
            <w:r>
              <w:rPr>
                <w:rFonts w:hint="eastAsia" w:ascii="宋体" w:hAnsi="宋体" w:eastAsia="宋体" w:cs="宋体"/>
              </w:rPr>
              <w:t>站房</w:t>
            </w:r>
          </w:p>
        </w:tc>
        <w:tc>
          <w:tcPr>
            <w:tcW w:w="2037" w:type="dxa"/>
            <w:vAlign w:val="center"/>
          </w:tcPr>
          <w:p w14:paraId="1457707B">
            <w:pPr>
              <w:spacing w:line="240" w:lineRule="exact"/>
              <w:jc w:val="center"/>
              <w:rPr>
                <w:rFonts w:hint="eastAsia" w:ascii="宋体" w:hAnsi="宋体" w:eastAsia="宋体" w:cs="宋体"/>
                <w:lang w:eastAsia="zh-CN"/>
              </w:rPr>
            </w:pPr>
            <w:r>
              <w:rPr>
                <w:rFonts w:hint="eastAsia" w:ascii="宋体" w:hAnsi="宋体" w:eastAsia="宋体" w:cs="宋体"/>
              </w:rPr>
              <w:t>9.</w:t>
            </w:r>
            <w:r>
              <w:rPr>
                <w:rFonts w:hint="eastAsia" w:ascii="宋体" w:hAnsi="宋体" w:cs="宋体"/>
                <w:lang w:val="en-US" w:eastAsia="zh-CN"/>
              </w:rPr>
              <w:t>8</w:t>
            </w:r>
          </w:p>
        </w:tc>
        <w:tc>
          <w:tcPr>
            <w:tcW w:w="2413" w:type="dxa"/>
            <w:vAlign w:val="center"/>
          </w:tcPr>
          <w:p w14:paraId="6A19A4EE">
            <w:pPr>
              <w:spacing w:line="240" w:lineRule="exact"/>
              <w:jc w:val="center"/>
              <w:rPr>
                <w:rFonts w:hint="eastAsia" w:ascii="宋体" w:hAnsi="宋体" w:eastAsia="宋体" w:cs="宋体"/>
              </w:rPr>
            </w:pPr>
            <w:r>
              <w:rPr>
                <w:rFonts w:hint="eastAsia" w:ascii="宋体" w:hAnsi="宋体" w:eastAsia="宋体" w:cs="宋体"/>
              </w:rPr>
              <w:t>5</w:t>
            </w:r>
          </w:p>
        </w:tc>
      </w:tr>
      <w:tr w14:paraId="1BDFA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1426" w:type="dxa"/>
            <w:vMerge w:val="continue"/>
            <w:vAlign w:val="center"/>
          </w:tcPr>
          <w:p w14:paraId="47930243">
            <w:pPr>
              <w:spacing w:line="240" w:lineRule="exact"/>
              <w:jc w:val="center"/>
              <w:rPr>
                <w:rFonts w:hint="eastAsia" w:ascii="宋体" w:hAnsi="宋体" w:eastAsia="宋体" w:cs="宋体"/>
              </w:rPr>
            </w:pPr>
          </w:p>
        </w:tc>
        <w:tc>
          <w:tcPr>
            <w:tcW w:w="1081" w:type="dxa"/>
            <w:vAlign w:val="center"/>
          </w:tcPr>
          <w:p w14:paraId="2D571872">
            <w:pPr>
              <w:spacing w:line="240" w:lineRule="exact"/>
              <w:jc w:val="center"/>
              <w:rPr>
                <w:rFonts w:hint="default" w:ascii="宋体" w:hAnsi="宋体" w:eastAsia="宋体" w:cs="宋体"/>
                <w:lang w:val="en-US" w:eastAsia="zh-CN"/>
              </w:rPr>
            </w:pPr>
            <w:r>
              <w:rPr>
                <w:rFonts w:hint="eastAsia" w:ascii="宋体" w:hAnsi="宋体" w:cs="宋体"/>
                <w:lang w:val="en-US" w:eastAsia="zh-CN"/>
              </w:rPr>
              <w:t>东南面</w:t>
            </w:r>
          </w:p>
        </w:tc>
        <w:tc>
          <w:tcPr>
            <w:tcW w:w="2295" w:type="dxa"/>
            <w:vAlign w:val="center"/>
          </w:tcPr>
          <w:p w14:paraId="509E27F4">
            <w:pPr>
              <w:spacing w:line="240" w:lineRule="exact"/>
              <w:jc w:val="center"/>
              <w:rPr>
                <w:rFonts w:hint="eastAsia" w:ascii="宋体" w:hAnsi="宋体" w:eastAsia="宋体" w:cs="宋体"/>
              </w:rPr>
            </w:pPr>
            <w:r>
              <w:rPr>
                <w:rFonts w:hint="eastAsia" w:ascii="宋体" w:hAnsi="宋体" w:eastAsia="宋体" w:cs="宋体"/>
              </w:rPr>
              <w:t>配电间</w:t>
            </w:r>
          </w:p>
        </w:tc>
        <w:tc>
          <w:tcPr>
            <w:tcW w:w="2037" w:type="dxa"/>
            <w:vAlign w:val="center"/>
          </w:tcPr>
          <w:p w14:paraId="0957DEA9">
            <w:pPr>
              <w:spacing w:line="240" w:lineRule="exact"/>
              <w:jc w:val="center"/>
              <w:rPr>
                <w:rFonts w:hint="default" w:ascii="宋体" w:hAnsi="宋体" w:eastAsia="宋体" w:cs="宋体"/>
                <w:lang w:val="en-US" w:eastAsia="zh-CN"/>
              </w:rPr>
            </w:pPr>
            <w:r>
              <w:rPr>
                <w:rFonts w:hint="eastAsia" w:ascii="宋体" w:hAnsi="宋体" w:eastAsia="宋体" w:cs="宋体"/>
              </w:rPr>
              <w:t>1</w:t>
            </w:r>
            <w:r>
              <w:rPr>
                <w:rFonts w:hint="eastAsia" w:ascii="宋体" w:hAnsi="宋体" w:cs="宋体"/>
                <w:lang w:val="en-US" w:eastAsia="zh-CN"/>
              </w:rPr>
              <w:t>5.59</w:t>
            </w:r>
          </w:p>
        </w:tc>
        <w:tc>
          <w:tcPr>
            <w:tcW w:w="2413" w:type="dxa"/>
            <w:vAlign w:val="center"/>
          </w:tcPr>
          <w:p w14:paraId="0AAF7E41">
            <w:pPr>
              <w:spacing w:line="240" w:lineRule="exact"/>
              <w:jc w:val="center"/>
              <w:rPr>
                <w:rFonts w:hint="eastAsia" w:ascii="宋体" w:hAnsi="宋体" w:eastAsia="宋体" w:cs="宋体"/>
              </w:rPr>
            </w:pPr>
            <w:r>
              <w:rPr>
                <w:rFonts w:hint="eastAsia" w:ascii="宋体" w:hAnsi="宋体" w:eastAsia="宋体" w:cs="宋体"/>
              </w:rPr>
              <w:t>4.5</w:t>
            </w:r>
          </w:p>
        </w:tc>
      </w:tr>
      <w:bookmarkEnd w:id="83"/>
    </w:tbl>
    <w:p w14:paraId="6171A9AB">
      <w:pPr>
        <w:keepNext w:val="0"/>
        <w:keepLines w:val="0"/>
        <w:pageBreakBefore w:val="0"/>
        <w:widowControl w:val="0"/>
        <w:tabs>
          <w:tab w:val="left" w:pos="7425"/>
        </w:tabs>
        <w:kinsoku/>
        <w:wordWrap/>
        <w:overflowPunct/>
        <w:topLinePunct w:val="0"/>
        <w:autoSpaceDE/>
        <w:autoSpaceDN/>
        <w:bidi w:val="0"/>
        <w:adjustRightInd/>
        <w:snapToGrid/>
        <w:ind w:firstLine="422" w:firstLineChars="200"/>
        <w:jc w:val="center"/>
        <w:textAlignment w:val="auto"/>
        <w:rPr>
          <w:rFonts w:hint="default" w:ascii="Times New Roman" w:hAnsi="Times New Roman" w:cs="宋体"/>
          <w:b/>
          <w:bCs/>
          <w:lang w:val="en-US"/>
        </w:rPr>
      </w:pPr>
      <w:bookmarkStart w:id="84" w:name="_Toc20120"/>
      <w:bookmarkStart w:id="85" w:name="_Toc2782"/>
      <w:r>
        <w:rPr>
          <w:rFonts w:hint="eastAsia" w:ascii="Times New Roman" w:hAnsi="Times New Roman" w:cs="宋体"/>
          <w:b/>
          <w:bCs/>
        </w:rPr>
        <w:t>注：本表选自《汽车加油加气加氢站技术标准》GB50156-2021的数据</w:t>
      </w:r>
    </w:p>
    <w:p w14:paraId="7CC3F9BC">
      <w:pPr>
        <w:pStyle w:val="5"/>
        <w:bidi w:val="0"/>
        <w:rPr>
          <w:rFonts w:hint="eastAsia" w:ascii="楷体" w:hAnsi="楷体" w:eastAsia="楷体" w:cs="楷体"/>
          <w:sz w:val="32"/>
          <w:szCs w:val="32"/>
        </w:rPr>
      </w:pPr>
      <w:bookmarkStart w:id="86" w:name="_Toc32247"/>
      <w:r>
        <w:rPr>
          <w:rFonts w:hint="eastAsia" w:ascii="楷体" w:hAnsi="楷体" w:eastAsia="楷体" w:cs="楷体"/>
          <w:sz w:val="32"/>
          <w:szCs w:val="32"/>
        </w:rPr>
        <w:t>2.3主要设备、建筑物及工艺</w:t>
      </w:r>
      <w:bookmarkEnd w:id="86"/>
    </w:p>
    <w:p w14:paraId="7E979005">
      <w:pPr>
        <w:pStyle w:val="6"/>
        <w:bidi w:val="0"/>
        <w:rPr>
          <w:rFonts w:hint="eastAsia" w:ascii="楷体" w:hAnsi="楷体" w:eastAsia="楷体" w:cs="楷体"/>
          <w:sz w:val="32"/>
          <w:szCs w:val="32"/>
        </w:rPr>
      </w:pPr>
      <w:bookmarkStart w:id="87" w:name="_Toc26833"/>
      <w:r>
        <w:rPr>
          <w:rFonts w:hint="eastAsia" w:ascii="楷体" w:hAnsi="楷体" w:eastAsia="楷体" w:cs="楷体"/>
          <w:sz w:val="32"/>
          <w:szCs w:val="32"/>
        </w:rPr>
        <w:t>2.3.1主要设备、建筑物</w:t>
      </w:r>
      <w:bookmarkEnd w:id="84"/>
      <w:bookmarkEnd w:id="85"/>
      <w:bookmarkEnd w:id="87"/>
    </w:p>
    <w:p w14:paraId="015444E4">
      <w:pPr>
        <w:keepNext w:val="0"/>
        <w:keepLines w:val="0"/>
        <w:pageBreakBefore w:val="0"/>
        <w:widowControl w:val="0"/>
        <w:tabs>
          <w:tab w:val="left" w:pos="3465"/>
        </w:tabs>
        <w:kinsoku/>
        <w:wordWrap/>
        <w:overflowPunct/>
        <w:topLinePunct w:val="0"/>
        <w:autoSpaceDE/>
        <w:autoSpaceDN/>
        <w:bidi w:val="0"/>
        <w:adjustRightInd/>
        <w:snapToGrid/>
        <w:spacing w:before="313" w:beforeLines="10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表2-4主要设备表</w:t>
      </w:r>
    </w:p>
    <w:tbl>
      <w:tblPr>
        <w:tblStyle w:val="19"/>
        <w:tblW w:w="9316"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768"/>
        <w:gridCol w:w="1476"/>
        <w:gridCol w:w="1050"/>
        <w:gridCol w:w="750"/>
        <w:gridCol w:w="2069"/>
        <w:gridCol w:w="1531"/>
      </w:tblGrid>
      <w:tr w14:paraId="3B5CA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trPr>
        <w:tc>
          <w:tcPr>
            <w:tcW w:w="672" w:type="dxa"/>
            <w:vAlign w:val="center"/>
          </w:tcPr>
          <w:p w14:paraId="71F1DAD7">
            <w:pPr>
              <w:spacing w:line="240" w:lineRule="exact"/>
              <w:jc w:val="center"/>
              <w:rPr>
                <w:rFonts w:cs="Times New Roman"/>
              </w:rPr>
            </w:pPr>
            <w:r>
              <w:rPr>
                <w:rFonts w:hint="eastAsia" w:cs="宋体"/>
              </w:rPr>
              <w:t>序号</w:t>
            </w:r>
          </w:p>
        </w:tc>
        <w:tc>
          <w:tcPr>
            <w:tcW w:w="1768" w:type="dxa"/>
            <w:vAlign w:val="center"/>
          </w:tcPr>
          <w:p w14:paraId="7CAC9D63">
            <w:pPr>
              <w:spacing w:line="240" w:lineRule="exact"/>
              <w:jc w:val="center"/>
              <w:rPr>
                <w:rFonts w:cs="Times New Roman"/>
              </w:rPr>
            </w:pPr>
            <w:r>
              <w:rPr>
                <w:rFonts w:hint="eastAsia" w:cs="宋体"/>
              </w:rPr>
              <w:t>设备名称</w:t>
            </w:r>
          </w:p>
        </w:tc>
        <w:tc>
          <w:tcPr>
            <w:tcW w:w="1476" w:type="dxa"/>
            <w:vAlign w:val="center"/>
          </w:tcPr>
          <w:p w14:paraId="22AF65A3">
            <w:pPr>
              <w:spacing w:line="240" w:lineRule="exact"/>
              <w:jc w:val="center"/>
              <w:rPr>
                <w:rFonts w:cs="Times New Roman"/>
              </w:rPr>
            </w:pPr>
            <w:r>
              <w:rPr>
                <w:rFonts w:hint="eastAsia" w:cs="宋体"/>
              </w:rPr>
              <w:t>规格型号</w:t>
            </w:r>
          </w:p>
        </w:tc>
        <w:tc>
          <w:tcPr>
            <w:tcW w:w="1050" w:type="dxa"/>
            <w:vAlign w:val="center"/>
          </w:tcPr>
          <w:p w14:paraId="36DD6F63">
            <w:pPr>
              <w:spacing w:line="240" w:lineRule="exact"/>
              <w:jc w:val="center"/>
              <w:rPr>
                <w:rFonts w:cs="Times New Roman"/>
              </w:rPr>
            </w:pPr>
            <w:r>
              <w:rPr>
                <w:rFonts w:hint="eastAsia" w:cs="宋体"/>
              </w:rPr>
              <w:t>数量</w:t>
            </w:r>
          </w:p>
        </w:tc>
        <w:tc>
          <w:tcPr>
            <w:tcW w:w="750" w:type="dxa"/>
            <w:vAlign w:val="center"/>
          </w:tcPr>
          <w:p w14:paraId="681D2408">
            <w:pPr>
              <w:spacing w:line="240" w:lineRule="exact"/>
              <w:jc w:val="center"/>
              <w:rPr>
                <w:rFonts w:cs="Times New Roman"/>
              </w:rPr>
            </w:pPr>
            <w:r>
              <w:rPr>
                <w:rFonts w:hint="eastAsia" w:cs="宋体"/>
              </w:rPr>
              <w:t>单位</w:t>
            </w:r>
          </w:p>
        </w:tc>
        <w:tc>
          <w:tcPr>
            <w:tcW w:w="2069" w:type="dxa"/>
            <w:vAlign w:val="center"/>
          </w:tcPr>
          <w:p w14:paraId="79F9E88A">
            <w:pPr>
              <w:spacing w:line="240" w:lineRule="exact"/>
              <w:jc w:val="center"/>
              <w:rPr>
                <w:rFonts w:cs="Times New Roman"/>
              </w:rPr>
            </w:pPr>
            <w:r>
              <w:rPr>
                <w:rFonts w:hint="eastAsia" w:cs="宋体"/>
              </w:rPr>
              <w:t>生产厂家</w:t>
            </w:r>
          </w:p>
        </w:tc>
        <w:tc>
          <w:tcPr>
            <w:tcW w:w="1531" w:type="dxa"/>
            <w:vAlign w:val="center"/>
          </w:tcPr>
          <w:p w14:paraId="2D8CA53D">
            <w:pPr>
              <w:spacing w:line="240" w:lineRule="exact"/>
              <w:jc w:val="center"/>
              <w:rPr>
                <w:rFonts w:cs="Times New Roman"/>
              </w:rPr>
            </w:pPr>
            <w:r>
              <w:rPr>
                <w:rFonts w:hint="eastAsia" w:cs="宋体"/>
              </w:rPr>
              <w:t>备</w:t>
            </w:r>
            <w:r>
              <w:t xml:space="preserve">  </w:t>
            </w:r>
            <w:r>
              <w:rPr>
                <w:rFonts w:hint="eastAsia" w:cs="宋体"/>
              </w:rPr>
              <w:t>注</w:t>
            </w:r>
          </w:p>
        </w:tc>
      </w:tr>
      <w:tr w14:paraId="6C6A5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exact"/>
        </w:trPr>
        <w:tc>
          <w:tcPr>
            <w:tcW w:w="672" w:type="dxa"/>
            <w:vAlign w:val="center"/>
          </w:tcPr>
          <w:p w14:paraId="69E471C5">
            <w:pPr>
              <w:spacing w:line="240" w:lineRule="exact"/>
              <w:jc w:val="center"/>
              <w:rPr>
                <w:rFonts w:hint="eastAsia" w:ascii="宋体" w:hAnsi="宋体" w:eastAsia="宋体" w:cs="宋体"/>
                <w:b w:val="0"/>
                <w:bCs w:val="0"/>
              </w:rPr>
            </w:pPr>
            <w:r>
              <w:rPr>
                <w:rFonts w:hint="eastAsia" w:ascii="宋体" w:hAnsi="宋体" w:eastAsia="宋体" w:cs="宋体"/>
                <w:b w:val="0"/>
                <w:bCs w:val="0"/>
              </w:rPr>
              <w:t>1</w:t>
            </w:r>
          </w:p>
        </w:tc>
        <w:tc>
          <w:tcPr>
            <w:tcW w:w="1768" w:type="dxa"/>
            <w:vAlign w:val="center"/>
          </w:tcPr>
          <w:p w14:paraId="35ACC4C4">
            <w:pPr>
              <w:spacing w:line="240" w:lineRule="exact"/>
              <w:jc w:val="center"/>
              <w:rPr>
                <w:rFonts w:hint="eastAsia" w:ascii="宋体" w:hAnsi="宋体" w:eastAsia="宋体" w:cs="宋体"/>
                <w:b w:val="0"/>
                <w:bCs w:val="0"/>
              </w:rPr>
            </w:pPr>
            <w:r>
              <w:rPr>
                <w:rFonts w:hint="eastAsia" w:ascii="宋体" w:hAnsi="宋体" w:eastAsia="宋体" w:cs="宋体"/>
                <w:b w:val="0"/>
                <w:bCs w:val="0"/>
              </w:rPr>
              <w:t>加油机</w:t>
            </w:r>
          </w:p>
        </w:tc>
        <w:tc>
          <w:tcPr>
            <w:tcW w:w="1476" w:type="dxa"/>
            <w:vAlign w:val="center"/>
          </w:tcPr>
          <w:p w14:paraId="5B0333F9">
            <w:pPr>
              <w:spacing w:line="240" w:lineRule="exact"/>
              <w:jc w:val="center"/>
              <w:rPr>
                <w:rFonts w:hint="eastAsia" w:ascii="宋体" w:hAnsi="宋体" w:eastAsia="宋体" w:cs="宋体"/>
                <w:b w:val="0"/>
                <w:bCs w:val="0"/>
              </w:rPr>
            </w:pPr>
            <w:r>
              <w:rPr>
                <w:rFonts w:hint="eastAsia" w:ascii="宋体" w:hAnsi="宋体" w:eastAsia="宋体" w:cs="宋体"/>
                <w:b w:val="0"/>
                <w:bCs w:val="0"/>
              </w:rPr>
              <w:t>CS30J1112N</w:t>
            </w:r>
          </w:p>
        </w:tc>
        <w:tc>
          <w:tcPr>
            <w:tcW w:w="1050" w:type="dxa"/>
            <w:vAlign w:val="center"/>
          </w:tcPr>
          <w:p w14:paraId="6C736295">
            <w:pPr>
              <w:spacing w:line="240" w:lineRule="exact"/>
              <w:jc w:val="center"/>
              <w:rPr>
                <w:rFonts w:hint="eastAsia" w:ascii="宋体" w:hAnsi="宋体" w:eastAsia="宋体" w:cs="宋体"/>
                <w:b w:val="0"/>
                <w:bCs w:val="0"/>
                <w:lang w:eastAsia="zh-CN"/>
              </w:rPr>
            </w:pPr>
            <w:r>
              <w:rPr>
                <w:rFonts w:hint="eastAsia" w:ascii="宋体" w:hAnsi="宋体" w:eastAsia="宋体" w:cs="宋体"/>
                <w:b w:val="0"/>
                <w:bCs w:val="0"/>
              </w:rPr>
              <w:t>2</w:t>
            </w:r>
            <w:r>
              <w:rPr>
                <w:rFonts w:hint="eastAsia" w:ascii="宋体" w:hAnsi="宋体" w:cs="宋体"/>
                <w:b w:val="0"/>
                <w:bCs w:val="0"/>
                <w:lang w:eastAsia="zh-CN"/>
              </w:rPr>
              <w:t>（</w:t>
            </w:r>
            <w:r>
              <w:rPr>
                <w:rFonts w:hint="eastAsia" w:ascii="宋体" w:hAnsi="宋体" w:eastAsia="宋体" w:cs="宋体"/>
                <w:b w:val="0"/>
                <w:bCs w:val="0"/>
              </w:rPr>
              <w:t>单枪</w:t>
            </w:r>
            <w:r>
              <w:rPr>
                <w:rFonts w:hint="eastAsia" w:ascii="宋体" w:hAnsi="宋体" w:cs="宋体"/>
                <w:b w:val="0"/>
                <w:bCs w:val="0"/>
                <w:lang w:eastAsia="zh-CN"/>
              </w:rPr>
              <w:t>）</w:t>
            </w:r>
          </w:p>
        </w:tc>
        <w:tc>
          <w:tcPr>
            <w:tcW w:w="750" w:type="dxa"/>
            <w:vAlign w:val="center"/>
          </w:tcPr>
          <w:p w14:paraId="1589EAF0">
            <w:pPr>
              <w:spacing w:line="240" w:lineRule="exact"/>
              <w:jc w:val="center"/>
              <w:rPr>
                <w:rFonts w:hint="eastAsia" w:ascii="宋体" w:hAnsi="宋体" w:eastAsia="宋体" w:cs="宋体"/>
                <w:b w:val="0"/>
                <w:bCs w:val="0"/>
              </w:rPr>
            </w:pPr>
            <w:r>
              <w:rPr>
                <w:rFonts w:hint="eastAsia" w:ascii="宋体" w:hAnsi="宋体" w:eastAsia="宋体" w:cs="宋体"/>
                <w:b w:val="0"/>
                <w:bCs w:val="0"/>
              </w:rPr>
              <w:t>台</w:t>
            </w:r>
          </w:p>
        </w:tc>
        <w:tc>
          <w:tcPr>
            <w:tcW w:w="2069" w:type="dxa"/>
            <w:vAlign w:val="center"/>
          </w:tcPr>
          <w:p w14:paraId="32411969">
            <w:pPr>
              <w:spacing w:line="240" w:lineRule="exact"/>
              <w:jc w:val="center"/>
              <w:rPr>
                <w:rFonts w:hint="eastAsia" w:ascii="宋体" w:hAnsi="宋体" w:eastAsia="宋体" w:cs="宋体"/>
                <w:b w:val="0"/>
                <w:bCs w:val="0"/>
              </w:rPr>
            </w:pPr>
            <w:r>
              <w:rPr>
                <w:rFonts w:hint="eastAsia" w:ascii="宋体" w:hAnsi="宋体" w:eastAsia="宋体" w:cs="宋体"/>
                <w:b w:val="0"/>
                <w:bCs w:val="0"/>
              </w:rPr>
              <w:t>郑州正星股份有限公司</w:t>
            </w:r>
          </w:p>
        </w:tc>
        <w:tc>
          <w:tcPr>
            <w:tcW w:w="1531" w:type="dxa"/>
            <w:vAlign w:val="center"/>
          </w:tcPr>
          <w:p w14:paraId="3E787C79">
            <w:pPr>
              <w:spacing w:line="240" w:lineRule="exact"/>
              <w:jc w:val="center"/>
              <w:rPr>
                <w:rFonts w:hint="eastAsia" w:ascii="宋体" w:hAnsi="宋体" w:eastAsia="宋体" w:cs="宋体"/>
                <w:b w:val="0"/>
                <w:bCs w:val="0"/>
              </w:rPr>
            </w:pPr>
            <w:r>
              <w:rPr>
                <w:rFonts w:hint="eastAsia" w:ascii="宋体" w:hAnsi="宋体" w:eastAsia="宋体" w:cs="宋体"/>
                <w:b w:val="0"/>
                <w:bCs w:val="0"/>
              </w:rPr>
              <w:t>防爆标志：Ex d ib mb ⅡA T3 Gb</w:t>
            </w:r>
          </w:p>
        </w:tc>
      </w:tr>
      <w:tr w14:paraId="4BBD6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exact"/>
        </w:trPr>
        <w:tc>
          <w:tcPr>
            <w:tcW w:w="672" w:type="dxa"/>
            <w:vAlign w:val="center"/>
          </w:tcPr>
          <w:p w14:paraId="7179BFAB">
            <w:pPr>
              <w:spacing w:line="240" w:lineRule="exact"/>
              <w:jc w:val="center"/>
              <w:rPr>
                <w:rFonts w:hint="eastAsia" w:ascii="宋体" w:hAnsi="宋体" w:eastAsia="宋体" w:cs="宋体"/>
                <w:b w:val="0"/>
                <w:bCs w:val="0"/>
              </w:rPr>
            </w:pPr>
            <w:r>
              <w:rPr>
                <w:rFonts w:hint="eastAsia" w:ascii="宋体" w:hAnsi="宋体" w:eastAsia="宋体" w:cs="宋体"/>
                <w:b w:val="0"/>
                <w:bCs w:val="0"/>
              </w:rPr>
              <w:t>2</w:t>
            </w:r>
          </w:p>
        </w:tc>
        <w:tc>
          <w:tcPr>
            <w:tcW w:w="1768" w:type="dxa"/>
            <w:vAlign w:val="center"/>
          </w:tcPr>
          <w:p w14:paraId="2B154A1B">
            <w:pPr>
              <w:spacing w:line="240" w:lineRule="exact"/>
              <w:jc w:val="center"/>
              <w:rPr>
                <w:rFonts w:hint="eastAsia" w:ascii="宋体" w:hAnsi="宋体" w:eastAsia="宋体" w:cs="宋体"/>
                <w:b w:val="0"/>
                <w:bCs w:val="0"/>
              </w:rPr>
            </w:pPr>
            <w:r>
              <w:rPr>
                <w:rFonts w:hint="eastAsia" w:ascii="宋体" w:hAnsi="宋体" w:eastAsia="宋体" w:cs="宋体"/>
                <w:b w:val="0"/>
                <w:bCs w:val="0"/>
              </w:rPr>
              <w:t>加油机</w:t>
            </w:r>
          </w:p>
        </w:tc>
        <w:tc>
          <w:tcPr>
            <w:tcW w:w="1476" w:type="dxa"/>
            <w:vAlign w:val="center"/>
          </w:tcPr>
          <w:p w14:paraId="4587277E">
            <w:pPr>
              <w:spacing w:line="240" w:lineRule="exact"/>
              <w:jc w:val="center"/>
              <w:rPr>
                <w:rFonts w:hint="eastAsia" w:ascii="宋体" w:hAnsi="宋体" w:eastAsia="宋体" w:cs="宋体"/>
                <w:b w:val="0"/>
                <w:bCs w:val="0"/>
              </w:rPr>
            </w:pPr>
            <w:r>
              <w:rPr>
                <w:rFonts w:hint="eastAsia" w:ascii="宋体" w:hAnsi="宋体" w:eastAsia="宋体" w:cs="宋体"/>
                <w:b w:val="0"/>
                <w:bCs w:val="0"/>
              </w:rPr>
              <w:t>CS30J2122N</w:t>
            </w:r>
          </w:p>
        </w:tc>
        <w:tc>
          <w:tcPr>
            <w:tcW w:w="1050" w:type="dxa"/>
            <w:vAlign w:val="center"/>
          </w:tcPr>
          <w:p w14:paraId="79E228BC">
            <w:pPr>
              <w:spacing w:line="240" w:lineRule="exact"/>
              <w:jc w:val="center"/>
              <w:rPr>
                <w:rFonts w:hint="eastAsia" w:ascii="宋体" w:hAnsi="宋体" w:eastAsia="宋体" w:cs="宋体"/>
                <w:b w:val="0"/>
                <w:bCs w:val="0"/>
                <w:lang w:eastAsia="zh-CN"/>
              </w:rPr>
            </w:pPr>
            <w:r>
              <w:rPr>
                <w:rFonts w:hint="eastAsia" w:ascii="宋体" w:hAnsi="宋体" w:eastAsia="宋体" w:cs="宋体"/>
                <w:b w:val="0"/>
                <w:bCs w:val="0"/>
              </w:rPr>
              <w:t>1</w:t>
            </w:r>
            <w:r>
              <w:rPr>
                <w:rFonts w:hint="eastAsia" w:ascii="宋体" w:hAnsi="宋体" w:cs="宋体"/>
                <w:b w:val="0"/>
                <w:bCs w:val="0"/>
                <w:lang w:eastAsia="zh-CN"/>
              </w:rPr>
              <w:t>（</w:t>
            </w:r>
            <w:r>
              <w:rPr>
                <w:rFonts w:hint="eastAsia" w:ascii="宋体" w:hAnsi="宋体" w:eastAsia="宋体" w:cs="宋体"/>
                <w:b w:val="0"/>
                <w:bCs w:val="0"/>
              </w:rPr>
              <w:t>双枪</w:t>
            </w:r>
            <w:r>
              <w:rPr>
                <w:rFonts w:hint="eastAsia" w:ascii="宋体" w:hAnsi="宋体" w:cs="宋体"/>
                <w:b w:val="0"/>
                <w:bCs w:val="0"/>
                <w:lang w:eastAsia="zh-CN"/>
              </w:rPr>
              <w:t>）</w:t>
            </w:r>
          </w:p>
        </w:tc>
        <w:tc>
          <w:tcPr>
            <w:tcW w:w="750" w:type="dxa"/>
            <w:vAlign w:val="center"/>
          </w:tcPr>
          <w:p w14:paraId="1FA84780">
            <w:pPr>
              <w:spacing w:line="240" w:lineRule="exact"/>
              <w:jc w:val="center"/>
              <w:rPr>
                <w:rFonts w:hint="eastAsia" w:ascii="宋体" w:hAnsi="宋体" w:eastAsia="宋体" w:cs="宋体"/>
                <w:b w:val="0"/>
                <w:bCs w:val="0"/>
              </w:rPr>
            </w:pPr>
            <w:r>
              <w:rPr>
                <w:rFonts w:hint="eastAsia" w:ascii="宋体" w:hAnsi="宋体" w:eastAsia="宋体" w:cs="宋体"/>
                <w:b w:val="0"/>
                <w:bCs w:val="0"/>
              </w:rPr>
              <w:t>台</w:t>
            </w:r>
          </w:p>
        </w:tc>
        <w:tc>
          <w:tcPr>
            <w:tcW w:w="2069" w:type="dxa"/>
            <w:vAlign w:val="center"/>
          </w:tcPr>
          <w:p w14:paraId="60A26DB6">
            <w:pPr>
              <w:spacing w:line="240" w:lineRule="exact"/>
              <w:jc w:val="center"/>
              <w:rPr>
                <w:rFonts w:hint="eastAsia" w:ascii="宋体" w:hAnsi="宋体" w:eastAsia="宋体" w:cs="宋体"/>
                <w:b w:val="0"/>
                <w:bCs w:val="0"/>
              </w:rPr>
            </w:pPr>
            <w:r>
              <w:rPr>
                <w:rFonts w:hint="eastAsia" w:ascii="宋体" w:hAnsi="宋体" w:eastAsia="宋体" w:cs="宋体"/>
                <w:b w:val="0"/>
                <w:bCs w:val="0"/>
              </w:rPr>
              <w:t>郑州正星股份有限公司</w:t>
            </w:r>
          </w:p>
        </w:tc>
        <w:tc>
          <w:tcPr>
            <w:tcW w:w="1531" w:type="dxa"/>
            <w:vAlign w:val="center"/>
          </w:tcPr>
          <w:p w14:paraId="31BEEFEA">
            <w:pPr>
              <w:spacing w:line="240" w:lineRule="exact"/>
              <w:jc w:val="center"/>
              <w:rPr>
                <w:rFonts w:hint="eastAsia" w:ascii="宋体" w:hAnsi="宋体" w:eastAsia="宋体" w:cs="宋体"/>
                <w:b w:val="0"/>
                <w:bCs w:val="0"/>
              </w:rPr>
            </w:pPr>
            <w:r>
              <w:rPr>
                <w:rFonts w:hint="eastAsia" w:ascii="宋体" w:hAnsi="宋体" w:eastAsia="宋体" w:cs="宋体"/>
                <w:b w:val="0"/>
                <w:bCs w:val="0"/>
              </w:rPr>
              <w:t>防爆标志：Ex d ib mb ⅡA T3 Gb</w:t>
            </w:r>
          </w:p>
        </w:tc>
      </w:tr>
      <w:tr w14:paraId="4C207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exact"/>
        </w:trPr>
        <w:tc>
          <w:tcPr>
            <w:tcW w:w="672" w:type="dxa"/>
            <w:vAlign w:val="center"/>
          </w:tcPr>
          <w:p w14:paraId="5505FE6B">
            <w:pPr>
              <w:spacing w:line="240" w:lineRule="exact"/>
              <w:jc w:val="center"/>
              <w:rPr>
                <w:rFonts w:hint="eastAsia" w:ascii="宋体" w:hAnsi="宋体" w:eastAsia="宋体" w:cs="宋体"/>
                <w:b w:val="0"/>
                <w:bCs w:val="0"/>
              </w:rPr>
            </w:pPr>
            <w:r>
              <w:rPr>
                <w:rFonts w:hint="eastAsia" w:ascii="宋体" w:hAnsi="宋体" w:eastAsia="宋体" w:cs="宋体"/>
                <w:b w:val="0"/>
                <w:bCs w:val="0"/>
              </w:rPr>
              <w:t>3</w:t>
            </w:r>
          </w:p>
        </w:tc>
        <w:tc>
          <w:tcPr>
            <w:tcW w:w="1768" w:type="dxa"/>
            <w:vAlign w:val="center"/>
          </w:tcPr>
          <w:p w14:paraId="43761C4C">
            <w:pPr>
              <w:spacing w:line="240" w:lineRule="exact"/>
              <w:jc w:val="center"/>
              <w:rPr>
                <w:rFonts w:hint="eastAsia" w:ascii="宋体" w:hAnsi="宋体" w:eastAsia="宋体" w:cs="宋体"/>
                <w:b w:val="0"/>
                <w:bCs w:val="0"/>
              </w:rPr>
            </w:pPr>
            <w:r>
              <w:rPr>
                <w:rFonts w:hint="eastAsia" w:ascii="宋体" w:hAnsi="宋体" w:eastAsia="宋体" w:cs="宋体"/>
                <w:b w:val="0"/>
                <w:bCs w:val="0"/>
              </w:rPr>
              <w:t>双层油罐</w:t>
            </w:r>
          </w:p>
        </w:tc>
        <w:tc>
          <w:tcPr>
            <w:tcW w:w="1476" w:type="dxa"/>
            <w:vAlign w:val="center"/>
          </w:tcPr>
          <w:p w14:paraId="42159C8D">
            <w:pPr>
              <w:spacing w:line="240" w:lineRule="exact"/>
              <w:jc w:val="center"/>
              <w:rPr>
                <w:rFonts w:hint="eastAsia" w:ascii="宋体" w:hAnsi="宋体" w:eastAsia="宋体" w:cs="宋体"/>
                <w:b w:val="0"/>
                <w:bCs w:val="0"/>
              </w:rPr>
            </w:pPr>
            <w:r>
              <w:rPr>
                <w:rFonts w:hint="eastAsia" w:ascii="宋体" w:hAnsi="宋体" w:eastAsia="宋体" w:cs="宋体"/>
                <w:b w:val="0"/>
                <w:bCs w:val="0"/>
              </w:rPr>
              <w:t>SF-30KL</w:t>
            </w:r>
          </w:p>
        </w:tc>
        <w:tc>
          <w:tcPr>
            <w:tcW w:w="1050" w:type="dxa"/>
            <w:vAlign w:val="center"/>
          </w:tcPr>
          <w:p w14:paraId="777AECC4">
            <w:pPr>
              <w:spacing w:line="240" w:lineRule="exact"/>
              <w:jc w:val="center"/>
              <w:rPr>
                <w:rFonts w:hint="eastAsia" w:ascii="宋体" w:hAnsi="宋体" w:eastAsia="宋体" w:cs="宋体"/>
                <w:b w:val="0"/>
                <w:bCs w:val="0"/>
              </w:rPr>
            </w:pPr>
            <w:r>
              <w:rPr>
                <w:rFonts w:hint="eastAsia" w:ascii="宋体" w:hAnsi="宋体" w:eastAsia="宋体" w:cs="宋体"/>
                <w:b w:val="0"/>
                <w:bCs w:val="0"/>
              </w:rPr>
              <w:t>3</w:t>
            </w:r>
          </w:p>
        </w:tc>
        <w:tc>
          <w:tcPr>
            <w:tcW w:w="750" w:type="dxa"/>
            <w:vAlign w:val="center"/>
          </w:tcPr>
          <w:p w14:paraId="175B01E7">
            <w:pPr>
              <w:spacing w:line="240" w:lineRule="exact"/>
              <w:jc w:val="center"/>
              <w:rPr>
                <w:rFonts w:hint="eastAsia" w:ascii="宋体" w:hAnsi="宋体" w:eastAsia="宋体" w:cs="宋体"/>
                <w:b w:val="0"/>
                <w:bCs w:val="0"/>
              </w:rPr>
            </w:pPr>
            <w:r>
              <w:rPr>
                <w:rFonts w:hint="eastAsia" w:ascii="宋体" w:hAnsi="宋体" w:eastAsia="宋体" w:cs="宋体"/>
                <w:b w:val="0"/>
                <w:bCs w:val="0"/>
              </w:rPr>
              <w:t>个</w:t>
            </w:r>
          </w:p>
        </w:tc>
        <w:tc>
          <w:tcPr>
            <w:tcW w:w="2069" w:type="dxa"/>
            <w:vAlign w:val="center"/>
          </w:tcPr>
          <w:p w14:paraId="2F3CFAE9">
            <w:pPr>
              <w:spacing w:line="240" w:lineRule="exact"/>
              <w:jc w:val="center"/>
              <w:rPr>
                <w:rFonts w:hint="eastAsia" w:ascii="宋体" w:hAnsi="宋体" w:eastAsia="宋体" w:cs="宋体"/>
                <w:b w:val="0"/>
                <w:bCs w:val="0"/>
              </w:rPr>
            </w:pPr>
            <w:r>
              <w:rPr>
                <w:rFonts w:hint="eastAsia" w:ascii="宋体" w:hAnsi="宋体" w:eastAsia="宋体" w:cs="宋体"/>
                <w:b w:val="0"/>
                <w:bCs w:val="0"/>
              </w:rPr>
              <w:t>江阴市富仁高科股份有限公司</w:t>
            </w:r>
          </w:p>
        </w:tc>
        <w:tc>
          <w:tcPr>
            <w:tcW w:w="1531" w:type="dxa"/>
            <w:vAlign w:val="center"/>
          </w:tcPr>
          <w:p w14:paraId="62BA6C7C">
            <w:pPr>
              <w:spacing w:line="240" w:lineRule="exact"/>
              <w:jc w:val="center"/>
              <w:rPr>
                <w:rFonts w:hint="default" w:ascii="宋体" w:hAnsi="宋体" w:eastAsia="宋体" w:cs="宋体"/>
                <w:b w:val="0"/>
                <w:bCs w:val="0"/>
                <w:lang w:val="en-US" w:eastAsia="zh-CN"/>
              </w:rPr>
            </w:pPr>
            <w:r>
              <w:rPr>
                <w:rFonts w:hint="eastAsia" w:ascii="宋体" w:hAnsi="宋体" w:cs="宋体"/>
                <w:b w:val="0"/>
                <w:bCs w:val="0"/>
                <w:lang w:val="en-US" w:eastAsia="zh-CN"/>
              </w:rPr>
              <w:t>/</w:t>
            </w:r>
          </w:p>
        </w:tc>
      </w:tr>
      <w:tr w14:paraId="2FFB9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trPr>
        <w:tc>
          <w:tcPr>
            <w:tcW w:w="672" w:type="dxa"/>
            <w:vAlign w:val="center"/>
          </w:tcPr>
          <w:p w14:paraId="63F30FDD">
            <w:pPr>
              <w:spacing w:line="240" w:lineRule="exact"/>
              <w:jc w:val="center"/>
              <w:rPr>
                <w:rFonts w:hint="eastAsia" w:ascii="宋体" w:hAnsi="宋体" w:eastAsia="宋体" w:cs="宋体"/>
                <w:b w:val="0"/>
                <w:bCs w:val="0"/>
              </w:rPr>
            </w:pPr>
            <w:r>
              <w:rPr>
                <w:rFonts w:hint="eastAsia" w:ascii="宋体" w:hAnsi="宋体" w:eastAsia="宋体" w:cs="宋体"/>
                <w:b w:val="0"/>
                <w:bCs w:val="0"/>
              </w:rPr>
              <w:t>4</w:t>
            </w:r>
          </w:p>
        </w:tc>
        <w:tc>
          <w:tcPr>
            <w:tcW w:w="1768" w:type="dxa"/>
            <w:vAlign w:val="center"/>
          </w:tcPr>
          <w:p w14:paraId="3605C11F">
            <w:pPr>
              <w:spacing w:line="240" w:lineRule="exact"/>
              <w:jc w:val="center"/>
              <w:rPr>
                <w:rFonts w:hint="eastAsia" w:ascii="宋体" w:hAnsi="宋体" w:eastAsia="宋体" w:cs="宋体"/>
                <w:b w:val="0"/>
                <w:bCs w:val="0"/>
              </w:rPr>
            </w:pPr>
            <w:r>
              <w:rPr>
                <w:rFonts w:hint="eastAsia" w:ascii="宋体" w:hAnsi="宋体" w:eastAsia="宋体" w:cs="宋体"/>
                <w:b w:val="0"/>
                <w:bCs w:val="0"/>
              </w:rPr>
              <w:t>高液位报警仪</w:t>
            </w:r>
          </w:p>
        </w:tc>
        <w:tc>
          <w:tcPr>
            <w:tcW w:w="1476" w:type="dxa"/>
            <w:vAlign w:val="center"/>
          </w:tcPr>
          <w:p w14:paraId="18C5741B">
            <w:pPr>
              <w:spacing w:line="240" w:lineRule="exact"/>
              <w:jc w:val="center"/>
              <w:rPr>
                <w:rFonts w:hint="eastAsia" w:ascii="宋体" w:hAnsi="宋体" w:eastAsia="宋体" w:cs="宋体"/>
                <w:b w:val="0"/>
                <w:bCs w:val="0"/>
              </w:rPr>
            </w:pPr>
            <w:r>
              <w:rPr>
                <w:rFonts w:hint="eastAsia" w:ascii="宋体" w:hAnsi="宋体" w:eastAsia="宋体" w:cs="宋体"/>
                <w:b w:val="0"/>
                <w:bCs w:val="0"/>
              </w:rPr>
              <w:t>PD-SPI</w:t>
            </w:r>
          </w:p>
        </w:tc>
        <w:tc>
          <w:tcPr>
            <w:tcW w:w="1050" w:type="dxa"/>
            <w:vAlign w:val="center"/>
          </w:tcPr>
          <w:p w14:paraId="63D3B0AC">
            <w:pPr>
              <w:spacing w:line="240" w:lineRule="exact"/>
              <w:jc w:val="center"/>
              <w:rPr>
                <w:rFonts w:hint="eastAsia" w:ascii="宋体" w:hAnsi="宋体" w:eastAsia="宋体" w:cs="宋体"/>
                <w:b w:val="0"/>
                <w:bCs w:val="0"/>
              </w:rPr>
            </w:pPr>
            <w:r>
              <w:rPr>
                <w:rFonts w:hint="eastAsia" w:ascii="宋体" w:hAnsi="宋体" w:eastAsia="宋体" w:cs="宋体"/>
                <w:b w:val="0"/>
                <w:bCs w:val="0"/>
              </w:rPr>
              <w:t>1</w:t>
            </w:r>
          </w:p>
        </w:tc>
        <w:tc>
          <w:tcPr>
            <w:tcW w:w="750" w:type="dxa"/>
            <w:vAlign w:val="center"/>
          </w:tcPr>
          <w:p w14:paraId="4DA10AA9">
            <w:pPr>
              <w:spacing w:line="240" w:lineRule="exact"/>
              <w:jc w:val="center"/>
              <w:rPr>
                <w:rFonts w:hint="eastAsia" w:ascii="宋体" w:hAnsi="宋体" w:eastAsia="宋体" w:cs="宋体"/>
                <w:b w:val="0"/>
                <w:bCs w:val="0"/>
              </w:rPr>
            </w:pPr>
            <w:r>
              <w:rPr>
                <w:rFonts w:hint="eastAsia" w:ascii="宋体" w:hAnsi="宋体" w:eastAsia="宋体" w:cs="宋体"/>
                <w:b w:val="0"/>
                <w:bCs w:val="0"/>
              </w:rPr>
              <w:t>台</w:t>
            </w:r>
          </w:p>
        </w:tc>
        <w:tc>
          <w:tcPr>
            <w:tcW w:w="2069" w:type="dxa"/>
            <w:vAlign w:val="center"/>
          </w:tcPr>
          <w:p w14:paraId="148EDF60">
            <w:pPr>
              <w:spacing w:line="240" w:lineRule="exact"/>
              <w:jc w:val="center"/>
              <w:rPr>
                <w:rFonts w:hint="eastAsia" w:ascii="宋体" w:hAnsi="宋体" w:eastAsia="宋体" w:cs="宋体"/>
                <w:b w:val="0"/>
                <w:bCs w:val="0"/>
              </w:rPr>
            </w:pPr>
            <w:r>
              <w:rPr>
                <w:rFonts w:hint="eastAsia" w:ascii="宋体" w:hAnsi="宋体" w:eastAsia="宋体" w:cs="宋体"/>
                <w:b w:val="0"/>
                <w:bCs w:val="0"/>
              </w:rPr>
              <w:t>青岛澳科</w:t>
            </w:r>
          </w:p>
        </w:tc>
        <w:tc>
          <w:tcPr>
            <w:tcW w:w="1531" w:type="dxa"/>
            <w:vAlign w:val="center"/>
          </w:tcPr>
          <w:p w14:paraId="7F43E19F">
            <w:pPr>
              <w:spacing w:line="240" w:lineRule="exact"/>
              <w:jc w:val="center"/>
              <w:rPr>
                <w:rFonts w:hint="eastAsia" w:ascii="宋体" w:hAnsi="宋体" w:eastAsia="宋体" w:cs="宋体"/>
                <w:b w:val="0"/>
                <w:bCs w:val="0"/>
                <w:lang w:eastAsia="zh-CN"/>
              </w:rPr>
            </w:pPr>
            <w:r>
              <w:rPr>
                <w:rFonts w:hint="eastAsia" w:ascii="宋体" w:hAnsi="宋体" w:cs="宋体"/>
                <w:b w:val="0"/>
                <w:bCs w:val="0"/>
                <w:lang w:val="en-US" w:eastAsia="zh-CN"/>
              </w:rPr>
              <w:t>/</w:t>
            </w:r>
          </w:p>
        </w:tc>
      </w:tr>
      <w:tr w14:paraId="5395E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exact"/>
        </w:trPr>
        <w:tc>
          <w:tcPr>
            <w:tcW w:w="672" w:type="dxa"/>
            <w:vAlign w:val="center"/>
          </w:tcPr>
          <w:p w14:paraId="743B5973">
            <w:pPr>
              <w:spacing w:line="240" w:lineRule="exact"/>
              <w:jc w:val="center"/>
              <w:rPr>
                <w:rFonts w:hint="eastAsia" w:ascii="宋体" w:hAnsi="宋体" w:eastAsia="宋体" w:cs="宋体"/>
                <w:b w:val="0"/>
                <w:bCs w:val="0"/>
              </w:rPr>
            </w:pPr>
            <w:r>
              <w:rPr>
                <w:rFonts w:hint="eastAsia" w:ascii="宋体" w:hAnsi="宋体" w:eastAsia="宋体" w:cs="宋体"/>
                <w:b w:val="0"/>
                <w:bCs w:val="0"/>
              </w:rPr>
              <w:t>5</w:t>
            </w:r>
          </w:p>
        </w:tc>
        <w:tc>
          <w:tcPr>
            <w:tcW w:w="1768" w:type="dxa"/>
            <w:vAlign w:val="center"/>
          </w:tcPr>
          <w:p w14:paraId="635979D4">
            <w:pPr>
              <w:spacing w:line="240" w:lineRule="exact"/>
              <w:jc w:val="center"/>
              <w:rPr>
                <w:rFonts w:hint="eastAsia" w:ascii="宋体" w:hAnsi="宋体" w:eastAsia="宋体" w:cs="宋体"/>
                <w:b w:val="0"/>
                <w:bCs w:val="0"/>
              </w:rPr>
            </w:pPr>
            <w:r>
              <w:rPr>
                <w:rFonts w:hint="eastAsia" w:ascii="宋体" w:hAnsi="宋体" w:eastAsia="宋体" w:cs="宋体"/>
                <w:b w:val="0"/>
                <w:bCs w:val="0"/>
              </w:rPr>
              <w:t>防静电报警仪</w:t>
            </w:r>
          </w:p>
        </w:tc>
        <w:tc>
          <w:tcPr>
            <w:tcW w:w="1476" w:type="dxa"/>
            <w:vAlign w:val="center"/>
          </w:tcPr>
          <w:p w14:paraId="4D641878">
            <w:pPr>
              <w:spacing w:line="240" w:lineRule="exact"/>
              <w:jc w:val="center"/>
              <w:rPr>
                <w:rFonts w:hint="eastAsia" w:ascii="宋体" w:hAnsi="宋体" w:eastAsia="宋体" w:cs="宋体"/>
                <w:b w:val="0"/>
                <w:bCs w:val="0"/>
              </w:rPr>
            </w:pPr>
            <w:r>
              <w:rPr>
                <w:rFonts w:hint="eastAsia" w:ascii="宋体" w:hAnsi="宋体" w:eastAsia="宋体" w:cs="宋体"/>
                <w:b w:val="0"/>
                <w:bCs w:val="0"/>
              </w:rPr>
              <w:t>JDB-2</w:t>
            </w:r>
          </w:p>
        </w:tc>
        <w:tc>
          <w:tcPr>
            <w:tcW w:w="1050" w:type="dxa"/>
            <w:vAlign w:val="center"/>
          </w:tcPr>
          <w:p w14:paraId="46065603">
            <w:pPr>
              <w:spacing w:line="240" w:lineRule="exact"/>
              <w:jc w:val="center"/>
              <w:rPr>
                <w:rFonts w:hint="eastAsia" w:ascii="宋体" w:hAnsi="宋体" w:eastAsia="宋体" w:cs="宋体"/>
                <w:b w:val="0"/>
                <w:bCs w:val="0"/>
              </w:rPr>
            </w:pPr>
            <w:r>
              <w:rPr>
                <w:rFonts w:hint="eastAsia" w:ascii="宋体" w:hAnsi="宋体" w:eastAsia="宋体" w:cs="宋体"/>
                <w:b w:val="0"/>
                <w:bCs w:val="0"/>
              </w:rPr>
              <w:t>1</w:t>
            </w:r>
          </w:p>
        </w:tc>
        <w:tc>
          <w:tcPr>
            <w:tcW w:w="750" w:type="dxa"/>
            <w:vAlign w:val="center"/>
          </w:tcPr>
          <w:p w14:paraId="36CDCA87">
            <w:pPr>
              <w:spacing w:line="240" w:lineRule="exact"/>
              <w:jc w:val="center"/>
              <w:rPr>
                <w:rFonts w:hint="eastAsia" w:ascii="宋体" w:hAnsi="宋体" w:eastAsia="宋体" w:cs="宋体"/>
                <w:b w:val="0"/>
                <w:bCs w:val="0"/>
              </w:rPr>
            </w:pPr>
            <w:r>
              <w:rPr>
                <w:rFonts w:hint="eastAsia" w:ascii="宋体" w:hAnsi="宋体" w:eastAsia="宋体" w:cs="宋体"/>
                <w:b w:val="0"/>
                <w:bCs w:val="0"/>
              </w:rPr>
              <w:t>台</w:t>
            </w:r>
          </w:p>
        </w:tc>
        <w:tc>
          <w:tcPr>
            <w:tcW w:w="2069" w:type="dxa"/>
            <w:vAlign w:val="center"/>
          </w:tcPr>
          <w:p w14:paraId="01A8C647">
            <w:pPr>
              <w:spacing w:line="240" w:lineRule="exact"/>
              <w:jc w:val="center"/>
              <w:rPr>
                <w:rFonts w:hint="eastAsia" w:ascii="宋体" w:hAnsi="宋体" w:eastAsia="宋体" w:cs="宋体"/>
                <w:b w:val="0"/>
                <w:bCs w:val="0"/>
              </w:rPr>
            </w:pPr>
            <w:r>
              <w:rPr>
                <w:rFonts w:hint="eastAsia" w:ascii="宋体" w:hAnsi="宋体" w:eastAsia="宋体" w:cs="宋体"/>
                <w:b w:val="0"/>
                <w:bCs w:val="0"/>
              </w:rPr>
              <w:t>青县燕河仪器仪表有限公司</w:t>
            </w:r>
          </w:p>
        </w:tc>
        <w:tc>
          <w:tcPr>
            <w:tcW w:w="1531" w:type="dxa"/>
            <w:vAlign w:val="center"/>
          </w:tcPr>
          <w:p w14:paraId="502FA19B">
            <w:pPr>
              <w:spacing w:line="240" w:lineRule="exact"/>
              <w:jc w:val="center"/>
              <w:rPr>
                <w:rFonts w:hint="eastAsia" w:ascii="宋体" w:hAnsi="宋体" w:eastAsia="宋体" w:cs="宋体"/>
                <w:b w:val="0"/>
                <w:bCs w:val="0"/>
                <w:lang w:eastAsia="zh-CN"/>
              </w:rPr>
            </w:pPr>
            <w:r>
              <w:rPr>
                <w:rFonts w:hint="eastAsia" w:ascii="宋体" w:hAnsi="宋体" w:cs="宋体"/>
                <w:b w:val="0"/>
                <w:bCs w:val="0"/>
                <w:lang w:val="en-US" w:eastAsia="zh-CN"/>
              </w:rPr>
              <w:t>/</w:t>
            </w:r>
          </w:p>
        </w:tc>
      </w:tr>
      <w:tr w14:paraId="2C609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exact"/>
        </w:trPr>
        <w:tc>
          <w:tcPr>
            <w:tcW w:w="672" w:type="dxa"/>
            <w:vAlign w:val="center"/>
          </w:tcPr>
          <w:p w14:paraId="668D779B">
            <w:pPr>
              <w:spacing w:line="240" w:lineRule="exact"/>
              <w:jc w:val="center"/>
              <w:rPr>
                <w:rFonts w:hint="eastAsia" w:ascii="宋体" w:hAnsi="宋体" w:eastAsia="宋体" w:cs="宋体"/>
                <w:b w:val="0"/>
                <w:bCs w:val="0"/>
              </w:rPr>
            </w:pPr>
            <w:r>
              <w:rPr>
                <w:rFonts w:hint="eastAsia" w:ascii="宋体" w:hAnsi="宋体" w:eastAsia="宋体" w:cs="宋体"/>
                <w:b w:val="0"/>
                <w:bCs w:val="0"/>
              </w:rPr>
              <w:t>6</w:t>
            </w:r>
          </w:p>
        </w:tc>
        <w:tc>
          <w:tcPr>
            <w:tcW w:w="1768" w:type="dxa"/>
            <w:vAlign w:val="center"/>
          </w:tcPr>
          <w:p w14:paraId="7E31FF84">
            <w:pPr>
              <w:spacing w:line="240" w:lineRule="exact"/>
              <w:jc w:val="center"/>
              <w:rPr>
                <w:rFonts w:hint="eastAsia" w:ascii="宋体" w:hAnsi="宋体" w:eastAsia="宋体" w:cs="宋体"/>
                <w:b w:val="0"/>
                <w:bCs w:val="0"/>
              </w:rPr>
            </w:pPr>
            <w:r>
              <w:rPr>
                <w:rFonts w:hint="eastAsia" w:ascii="宋体" w:hAnsi="宋体" w:eastAsia="宋体" w:cs="宋体"/>
                <w:b w:val="0"/>
                <w:bCs w:val="0"/>
              </w:rPr>
              <w:t>配电柜</w:t>
            </w:r>
          </w:p>
        </w:tc>
        <w:tc>
          <w:tcPr>
            <w:tcW w:w="1476" w:type="dxa"/>
            <w:vAlign w:val="center"/>
          </w:tcPr>
          <w:p w14:paraId="74273274">
            <w:pPr>
              <w:spacing w:line="240" w:lineRule="exact"/>
              <w:jc w:val="center"/>
              <w:rPr>
                <w:rFonts w:hint="eastAsia" w:ascii="宋体" w:hAnsi="宋体" w:eastAsia="宋体" w:cs="宋体"/>
                <w:b w:val="0"/>
                <w:bCs w:val="0"/>
              </w:rPr>
            </w:pPr>
            <w:r>
              <w:rPr>
                <w:rFonts w:hint="eastAsia" w:ascii="宋体" w:hAnsi="宋体" w:eastAsia="宋体" w:cs="宋体"/>
                <w:b w:val="0"/>
                <w:bCs w:val="0"/>
              </w:rPr>
              <w:t>800*450*1800</w:t>
            </w:r>
          </w:p>
        </w:tc>
        <w:tc>
          <w:tcPr>
            <w:tcW w:w="1050" w:type="dxa"/>
            <w:vAlign w:val="center"/>
          </w:tcPr>
          <w:p w14:paraId="5675EFC1">
            <w:pPr>
              <w:spacing w:line="240" w:lineRule="exact"/>
              <w:jc w:val="center"/>
              <w:rPr>
                <w:rFonts w:hint="eastAsia" w:ascii="宋体" w:hAnsi="宋体" w:eastAsia="宋体" w:cs="宋体"/>
                <w:b w:val="0"/>
                <w:bCs w:val="0"/>
              </w:rPr>
            </w:pPr>
            <w:r>
              <w:rPr>
                <w:rFonts w:hint="eastAsia" w:ascii="宋体" w:hAnsi="宋体" w:eastAsia="宋体" w:cs="宋体"/>
                <w:b w:val="0"/>
                <w:bCs w:val="0"/>
              </w:rPr>
              <w:t>1</w:t>
            </w:r>
          </w:p>
        </w:tc>
        <w:tc>
          <w:tcPr>
            <w:tcW w:w="750" w:type="dxa"/>
            <w:vAlign w:val="center"/>
          </w:tcPr>
          <w:p w14:paraId="56A9FCA6">
            <w:pPr>
              <w:spacing w:line="240" w:lineRule="exact"/>
              <w:jc w:val="center"/>
              <w:rPr>
                <w:rFonts w:hint="eastAsia" w:ascii="宋体" w:hAnsi="宋体" w:eastAsia="宋体" w:cs="宋体"/>
                <w:b w:val="0"/>
                <w:bCs w:val="0"/>
              </w:rPr>
            </w:pPr>
            <w:r>
              <w:rPr>
                <w:rFonts w:hint="eastAsia" w:ascii="宋体" w:hAnsi="宋体" w:eastAsia="宋体" w:cs="宋体"/>
                <w:b w:val="0"/>
                <w:bCs w:val="0"/>
              </w:rPr>
              <w:t>台</w:t>
            </w:r>
          </w:p>
        </w:tc>
        <w:tc>
          <w:tcPr>
            <w:tcW w:w="2069" w:type="dxa"/>
            <w:vAlign w:val="center"/>
          </w:tcPr>
          <w:p w14:paraId="2B97241C">
            <w:pPr>
              <w:spacing w:line="240" w:lineRule="exact"/>
              <w:jc w:val="center"/>
              <w:rPr>
                <w:rFonts w:hint="eastAsia" w:ascii="宋体" w:hAnsi="宋体" w:eastAsia="宋体" w:cs="宋体"/>
                <w:b w:val="0"/>
                <w:bCs w:val="0"/>
              </w:rPr>
            </w:pPr>
            <w:r>
              <w:rPr>
                <w:rFonts w:hint="eastAsia" w:ascii="宋体" w:hAnsi="宋体" w:eastAsia="宋体" w:cs="宋体"/>
                <w:b w:val="0"/>
                <w:bCs w:val="0"/>
              </w:rPr>
              <w:t>长沙华坤智能电气设备有限公司</w:t>
            </w:r>
          </w:p>
        </w:tc>
        <w:tc>
          <w:tcPr>
            <w:tcW w:w="1531" w:type="dxa"/>
            <w:vAlign w:val="center"/>
          </w:tcPr>
          <w:p w14:paraId="3CDF5566">
            <w:pPr>
              <w:spacing w:line="240" w:lineRule="exact"/>
              <w:jc w:val="center"/>
              <w:rPr>
                <w:rFonts w:hint="eastAsia" w:ascii="宋体" w:hAnsi="宋体" w:eastAsia="宋体" w:cs="宋体"/>
                <w:b w:val="0"/>
                <w:bCs w:val="0"/>
                <w:lang w:eastAsia="zh-CN"/>
              </w:rPr>
            </w:pPr>
            <w:r>
              <w:rPr>
                <w:rFonts w:hint="eastAsia" w:ascii="宋体" w:hAnsi="宋体" w:cs="宋体"/>
                <w:b w:val="0"/>
                <w:bCs w:val="0"/>
                <w:lang w:val="en-US" w:eastAsia="zh-CN"/>
              </w:rPr>
              <w:t>/</w:t>
            </w:r>
          </w:p>
        </w:tc>
      </w:tr>
      <w:tr w14:paraId="22972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672" w:type="dxa"/>
            <w:vAlign w:val="center"/>
          </w:tcPr>
          <w:p w14:paraId="77130013">
            <w:pPr>
              <w:spacing w:line="240" w:lineRule="exact"/>
              <w:jc w:val="center"/>
              <w:rPr>
                <w:rFonts w:hint="eastAsia" w:ascii="宋体" w:hAnsi="宋体" w:eastAsia="宋体" w:cs="宋体"/>
                <w:b w:val="0"/>
                <w:bCs w:val="0"/>
              </w:rPr>
            </w:pPr>
            <w:r>
              <w:rPr>
                <w:rFonts w:hint="eastAsia" w:ascii="宋体" w:hAnsi="宋体" w:eastAsia="宋体" w:cs="宋体"/>
                <w:b w:val="0"/>
                <w:bCs w:val="0"/>
              </w:rPr>
              <w:t>7</w:t>
            </w:r>
          </w:p>
        </w:tc>
        <w:tc>
          <w:tcPr>
            <w:tcW w:w="1768" w:type="dxa"/>
            <w:vAlign w:val="center"/>
          </w:tcPr>
          <w:p w14:paraId="6843AF11">
            <w:pPr>
              <w:spacing w:line="240" w:lineRule="exact"/>
              <w:jc w:val="center"/>
              <w:rPr>
                <w:rFonts w:hint="eastAsia" w:ascii="宋体" w:hAnsi="宋体" w:eastAsia="宋体" w:cs="宋体"/>
                <w:b w:val="0"/>
                <w:bCs w:val="0"/>
              </w:rPr>
            </w:pPr>
            <w:r>
              <w:rPr>
                <w:rFonts w:hint="eastAsia" w:ascii="宋体" w:hAnsi="宋体" w:eastAsia="宋体" w:cs="宋体"/>
                <w:b w:val="0"/>
                <w:bCs w:val="0"/>
              </w:rPr>
              <w:t>测漏仪</w:t>
            </w:r>
          </w:p>
        </w:tc>
        <w:tc>
          <w:tcPr>
            <w:tcW w:w="1476" w:type="dxa"/>
            <w:vAlign w:val="center"/>
          </w:tcPr>
          <w:p w14:paraId="5D4F4250">
            <w:pPr>
              <w:spacing w:line="240" w:lineRule="exact"/>
              <w:jc w:val="center"/>
              <w:rPr>
                <w:rFonts w:hint="eastAsia" w:ascii="宋体" w:hAnsi="宋体" w:eastAsia="宋体" w:cs="宋体"/>
                <w:b w:val="0"/>
                <w:bCs w:val="0"/>
              </w:rPr>
            </w:pPr>
            <w:r>
              <w:rPr>
                <w:rFonts w:hint="eastAsia" w:ascii="宋体" w:hAnsi="宋体" w:eastAsia="宋体" w:cs="宋体"/>
                <w:b w:val="0"/>
                <w:bCs w:val="0"/>
              </w:rPr>
              <w:t>CLY-100</w:t>
            </w:r>
          </w:p>
        </w:tc>
        <w:tc>
          <w:tcPr>
            <w:tcW w:w="1050" w:type="dxa"/>
            <w:vAlign w:val="center"/>
          </w:tcPr>
          <w:p w14:paraId="568F603B">
            <w:pPr>
              <w:spacing w:line="240" w:lineRule="exact"/>
              <w:jc w:val="center"/>
              <w:rPr>
                <w:rFonts w:hint="eastAsia" w:ascii="宋体" w:hAnsi="宋体" w:eastAsia="宋体" w:cs="宋体"/>
                <w:b w:val="0"/>
                <w:bCs w:val="0"/>
              </w:rPr>
            </w:pPr>
            <w:r>
              <w:rPr>
                <w:rFonts w:hint="eastAsia" w:ascii="宋体" w:hAnsi="宋体" w:eastAsia="宋体" w:cs="宋体"/>
                <w:b w:val="0"/>
                <w:bCs w:val="0"/>
              </w:rPr>
              <w:t>1</w:t>
            </w:r>
          </w:p>
        </w:tc>
        <w:tc>
          <w:tcPr>
            <w:tcW w:w="750" w:type="dxa"/>
            <w:vAlign w:val="center"/>
          </w:tcPr>
          <w:p w14:paraId="43F53DF5">
            <w:pPr>
              <w:spacing w:line="240" w:lineRule="exact"/>
              <w:jc w:val="center"/>
              <w:rPr>
                <w:rFonts w:hint="eastAsia" w:ascii="宋体" w:hAnsi="宋体" w:eastAsia="宋体" w:cs="宋体"/>
                <w:b w:val="0"/>
                <w:bCs w:val="0"/>
              </w:rPr>
            </w:pPr>
            <w:r>
              <w:rPr>
                <w:rFonts w:hint="eastAsia" w:ascii="宋体" w:hAnsi="宋体" w:eastAsia="宋体" w:cs="宋体"/>
                <w:b w:val="0"/>
                <w:bCs w:val="0"/>
              </w:rPr>
              <w:t>台</w:t>
            </w:r>
          </w:p>
        </w:tc>
        <w:tc>
          <w:tcPr>
            <w:tcW w:w="2069" w:type="dxa"/>
            <w:vAlign w:val="center"/>
          </w:tcPr>
          <w:p w14:paraId="7BD05285">
            <w:pPr>
              <w:spacing w:line="240" w:lineRule="exact"/>
              <w:jc w:val="center"/>
              <w:rPr>
                <w:rFonts w:hint="eastAsia" w:ascii="宋体" w:hAnsi="宋体" w:eastAsia="宋体" w:cs="宋体"/>
                <w:b w:val="0"/>
                <w:bCs w:val="0"/>
              </w:rPr>
            </w:pPr>
            <w:r>
              <w:rPr>
                <w:rFonts w:hint="eastAsia" w:ascii="宋体" w:hAnsi="宋体" w:eastAsia="宋体" w:cs="宋体"/>
                <w:b w:val="0"/>
                <w:bCs w:val="0"/>
              </w:rPr>
              <w:t>江阴市富仁高科股份有限公司</w:t>
            </w:r>
          </w:p>
        </w:tc>
        <w:tc>
          <w:tcPr>
            <w:tcW w:w="1531" w:type="dxa"/>
            <w:vAlign w:val="center"/>
          </w:tcPr>
          <w:p w14:paraId="09A56354">
            <w:pPr>
              <w:spacing w:line="240" w:lineRule="exact"/>
              <w:jc w:val="center"/>
              <w:rPr>
                <w:rFonts w:hint="eastAsia" w:ascii="宋体" w:hAnsi="宋体" w:eastAsia="宋体" w:cs="宋体"/>
                <w:b w:val="0"/>
                <w:bCs w:val="0"/>
                <w:lang w:eastAsia="zh-CN"/>
              </w:rPr>
            </w:pPr>
            <w:r>
              <w:rPr>
                <w:rFonts w:hint="eastAsia" w:ascii="宋体" w:hAnsi="宋体" w:cs="宋体"/>
                <w:b w:val="0"/>
                <w:bCs w:val="0"/>
                <w:lang w:val="en-US" w:eastAsia="zh-CN"/>
              </w:rPr>
              <w:t>/</w:t>
            </w:r>
          </w:p>
        </w:tc>
      </w:tr>
      <w:tr w14:paraId="51D56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trPr>
        <w:tc>
          <w:tcPr>
            <w:tcW w:w="672" w:type="dxa"/>
            <w:vAlign w:val="center"/>
          </w:tcPr>
          <w:p w14:paraId="564EB340">
            <w:pPr>
              <w:spacing w:line="240" w:lineRule="exact"/>
              <w:jc w:val="center"/>
              <w:rPr>
                <w:rFonts w:hint="eastAsia" w:ascii="宋体" w:hAnsi="宋体" w:eastAsia="宋体" w:cs="宋体"/>
              </w:rPr>
            </w:pPr>
            <w:r>
              <w:rPr>
                <w:rFonts w:hint="eastAsia" w:ascii="宋体" w:hAnsi="宋体" w:eastAsia="宋体" w:cs="宋体"/>
              </w:rPr>
              <w:t>8</w:t>
            </w:r>
          </w:p>
        </w:tc>
        <w:tc>
          <w:tcPr>
            <w:tcW w:w="1768" w:type="dxa"/>
            <w:vAlign w:val="center"/>
          </w:tcPr>
          <w:p w14:paraId="1F355C4D">
            <w:pPr>
              <w:spacing w:line="240" w:lineRule="exact"/>
              <w:jc w:val="center"/>
              <w:rPr>
                <w:rFonts w:hint="eastAsia" w:ascii="宋体" w:hAnsi="宋体" w:eastAsia="宋体" w:cs="宋体"/>
              </w:rPr>
            </w:pPr>
            <w:r>
              <w:rPr>
                <w:rFonts w:hint="eastAsia" w:ascii="宋体" w:hAnsi="宋体" w:eastAsia="宋体" w:cs="宋体"/>
              </w:rPr>
              <w:t>视频监控系统</w:t>
            </w:r>
          </w:p>
        </w:tc>
        <w:tc>
          <w:tcPr>
            <w:tcW w:w="1476" w:type="dxa"/>
            <w:vAlign w:val="center"/>
          </w:tcPr>
          <w:p w14:paraId="0EB5D603">
            <w:pPr>
              <w:spacing w:line="240" w:lineRule="exact"/>
              <w:jc w:val="center"/>
              <w:rPr>
                <w:rFonts w:hint="eastAsia" w:ascii="宋体" w:hAnsi="宋体" w:eastAsia="宋体" w:cs="宋体"/>
              </w:rPr>
            </w:pPr>
            <w:r>
              <w:rPr>
                <w:rFonts w:hint="eastAsia" w:ascii="宋体" w:hAnsi="宋体" w:eastAsia="宋体" w:cs="宋体"/>
              </w:rPr>
              <w:t>HIKVISION</w:t>
            </w:r>
          </w:p>
        </w:tc>
        <w:tc>
          <w:tcPr>
            <w:tcW w:w="1050" w:type="dxa"/>
            <w:vAlign w:val="center"/>
          </w:tcPr>
          <w:p w14:paraId="2A880CA0">
            <w:pPr>
              <w:spacing w:line="240" w:lineRule="exact"/>
              <w:jc w:val="center"/>
              <w:rPr>
                <w:rFonts w:hint="eastAsia" w:ascii="宋体" w:hAnsi="宋体" w:eastAsia="宋体" w:cs="宋体"/>
              </w:rPr>
            </w:pPr>
            <w:r>
              <w:rPr>
                <w:rFonts w:hint="eastAsia" w:ascii="宋体" w:hAnsi="宋体" w:eastAsia="宋体" w:cs="宋体"/>
              </w:rPr>
              <w:t>1</w:t>
            </w:r>
          </w:p>
        </w:tc>
        <w:tc>
          <w:tcPr>
            <w:tcW w:w="750" w:type="dxa"/>
            <w:vAlign w:val="center"/>
          </w:tcPr>
          <w:p w14:paraId="4E5F53AA">
            <w:pPr>
              <w:spacing w:line="240" w:lineRule="exact"/>
              <w:jc w:val="center"/>
              <w:rPr>
                <w:rFonts w:hint="eastAsia" w:ascii="宋体" w:hAnsi="宋体" w:eastAsia="宋体" w:cs="宋体"/>
              </w:rPr>
            </w:pPr>
            <w:r>
              <w:rPr>
                <w:rFonts w:hint="eastAsia" w:ascii="宋体" w:hAnsi="宋体" w:eastAsia="宋体" w:cs="宋体"/>
              </w:rPr>
              <w:t>套</w:t>
            </w:r>
          </w:p>
        </w:tc>
        <w:tc>
          <w:tcPr>
            <w:tcW w:w="2069" w:type="dxa"/>
            <w:vAlign w:val="center"/>
          </w:tcPr>
          <w:p w14:paraId="77D30625">
            <w:pPr>
              <w:spacing w:line="240" w:lineRule="exact"/>
              <w:jc w:val="center"/>
              <w:rPr>
                <w:rFonts w:hint="eastAsia" w:ascii="宋体" w:hAnsi="宋体" w:eastAsia="宋体" w:cs="宋体"/>
              </w:rPr>
            </w:pPr>
            <w:r>
              <w:rPr>
                <w:rFonts w:hint="eastAsia" w:ascii="宋体" w:hAnsi="宋体" w:eastAsia="宋体" w:cs="宋体"/>
              </w:rPr>
              <w:t>海康威视</w:t>
            </w:r>
          </w:p>
        </w:tc>
        <w:tc>
          <w:tcPr>
            <w:tcW w:w="1531" w:type="dxa"/>
            <w:vAlign w:val="center"/>
          </w:tcPr>
          <w:p w14:paraId="4BC0B2C5">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r>
      <w:tr w14:paraId="04103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trPr>
        <w:tc>
          <w:tcPr>
            <w:tcW w:w="672" w:type="dxa"/>
            <w:vAlign w:val="center"/>
          </w:tcPr>
          <w:p w14:paraId="1DE2AC05">
            <w:pPr>
              <w:spacing w:line="240" w:lineRule="exact"/>
              <w:jc w:val="center"/>
              <w:rPr>
                <w:rFonts w:hint="eastAsia" w:ascii="宋体" w:hAnsi="宋体" w:eastAsia="宋体" w:cs="宋体"/>
              </w:rPr>
            </w:pPr>
            <w:r>
              <w:rPr>
                <w:rFonts w:hint="eastAsia" w:ascii="宋体" w:hAnsi="宋体" w:eastAsia="宋体" w:cs="宋体"/>
              </w:rPr>
              <w:t>9</w:t>
            </w:r>
          </w:p>
        </w:tc>
        <w:tc>
          <w:tcPr>
            <w:tcW w:w="1768" w:type="dxa"/>
            <w:vAlign w:val="center"/>
          </w:tcPr>
          <w:p w14:paraId="218952B7">
            <w:pPr>
              <w:spacing w:line="240" w:lineRule="exact"/>
              <w:jc w:val="center"/>
              <w:rPr>
                <w:rFonts w:hint="eastAsia" w:ascii="宋体" w:hAnsi="宋体" w:eastAsia="宋体" w:cs="宋体"/>
              </w:rPr>
            </w:pPr>
            <w:r>
              <w:rPr>
                <w:rFonts w:hint="eastAsia" w:ascii="宋体" w:hAnsi="宋体" w:eastAsia="宋体" w:cs="宋体"/>
              </w:rPr>
              <w:t>IC卡管控</w:t>
            </w:r>
          </w:p>
        </w:tc>
        <w:tc>
          <w:tcPr>
            <w:tcW w:w="1476" w:type="dxa"/>
            <w:vAlign w:val="center"/>
          </w:tcPr>
          <w:p w14:paraId="7C3FD24D">
            <w:pPr>
              <w:spacing w:line="240" w:lineRule="exact"/>
              <w:jc w:val="center"/>
              <w:rPr>
                <w:rFonts w:hint="eastAsia" w:ascii="宋体" w:hAnsi="宋体" w:eastAsia="宋体" w:cs="宋体"/>
              </w:rPr>
            </w:pPr>
            <w:r>
              <w:rPr>
                <w:rFonts w:hint="eastAsia" w:ascii="宋体" w:hAnsi="宋体" w:eastAsia="宋体" w:cs="宋体"/>
              </w:rPr>
              <w:t>61400</w:t>
            </w:r>
          </w:p>
        </w:tc>
        <w:tc>
          <w:tcPr>
            <w:tcW w:w="1050" w:type="dxa"/>
            <w:vAlign w:val="center"/>
          </w:tcPr>
          <w:p w14:paraId="32DE14BF">
            <w:pPr>
              <w:spacing w:line="240" w:lineRule="exact"/>
              <w:jc w:val="center"/>
              <w:rPr>
                <w:rFonts w:hint="eastAsia" w:ascii="宋体" w:hAnsi="宋体" w:eastAsia="宋体" w:cs="宋体"/>
              </w:rPr>
            </w:pPr>
            <w:r>
              <w:rPr>
                <w:rFonts w:hint="eastAsia" w:ascii="宋体" w:hAnsi="宋体" w:eastAsia="宋体" w:cs="宋体"/>
              </w:rPr>
              <w:t>1</w:t>
            </w:r>
          </w:p>
        </w:tc>
        <w:tc>
          <w:tcPr>
            <w:tcW w:w="750" w:type="dxa"/>
            <w:vAlign w:val="center"/>
          </w:tcPr>
          <w:p w14:paraId="105C630D">
            <w:pPr>
              <w:spacing w:line="240" w:lineRule="exact"/>
              <w:jc w:val="center"/>
              <w:rPr>
                <w:rFonts w:hint="eastAsia" w:ascii="宋体" w:hAnsi="宋体" w:eastAsia="宋体" w:cs="宋体"/>
              </w:rPr>
            </w:pPr>
            <w:r>
              <w:rPr>
                <w:rFonts w:hint="eastAsia" w:ascii="宋体" w:hAnsi="宋体" w:eastAsia="宋体" w:cs="宋体"/>
              </w:rPr>
              <w:t>套</w:t>
            </w:r>
          </w:p>
        </w:tc>
        <w:tc>
          <w:tcPr>
            <w:tcW w:w="2069" w:type="dxa"/>
            <w:vAlign w:val="center"/>
          </w:tcPr>
          <w:p w14:paraId="336B362E">
            <w:pPr>
              <w:spacing w:line="240" w:lineRule="exact"/>
              <w:jc w:val="center"/>
              <w:rPr>
                <w:rFonts w:hint="eastAsia" w:ascii="宋体" w:hAnsi="宋体" w:eastAsia="宋体" w:cs="宋体"/>
              </w:rPr>
            </w:pPr>
            <w:r>
              <w:rPr>
                <w:rFonts w:hint="eastAsia" w:ascii="宋体" w:hAnsi="宋体" w:eastAsia="宋体" w:cs="宋体"/>
              </w:rPr>
              <w:t>硕华科技</w:t>
            </w:r>
          </w:p>
        </w:tc>
        <w:tc>
          <w:tcPr>
            <w:tcW w:w="1531" w:type="dxa"/>
            <w:vAlign w:val="center"/>
          </w:tcPr>
          <w:p w14:paraId="7893EFD5">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r>
      <w:tr w14:paraId="6B841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exact"/>
        </w:trPr>
        <w:tc>
          <w:tcPr>
            <w:tcW w:w="672" w:type="dxa"/>
            <w:vAlign w:val="center"/>
          </w:tcPr>
          <w:p w14:paraId="215DDB2A">
            <w:pPr>
              <w:spacing w:line="240" w:lineRule="exact"/>
              <w:jc w:val="center"/>
              <w:rPr>
                <w:rFonts w:hint="eastAsia" w:ascii="宋体" w:hAnsi="宋体" w:eastAsia="宋体" w:cs="宋体"/>
              </w:rPr>
            </w:pPr>
            <w:r>
              <w:rPr>
                <w:rFonts w:hint="eastAsia" w:ascii="宋体" w:hAnsi="宋体" w:eastAsia="宋体" w:cs="宋体"/>
              </w:rPr>
              <w:t>10</w:t>
            </w:r>
          </w:p>
        </w:tc>
        <w:tc>
          <w:tcPr>
            <w:tcW w:w="1768" w:type="dxa"/>
            <w:vAlign w:val="center"/>
          </w:tcPr>
          <w:p w14:paraId="4A00AD4A">
            <w:pPr>
              <w:spacing w:line="240" w:lineRule="exact"/>
              <w:jc w:val="center"/>
              <w:rPr>
                <w:rFonts w:hint="eastAsia" w:ascii="宋体" w:hAnsi="宋体" w:eastAsia="宋体" w:cs="宋体"/>
              </w:rPr>
            </w:pPr>
            <w:r>
              <w:rPr>
                <w:rFonts w:hint="eastAsia" w:ascii="宋体" w:hAnsi="宋体" w:eastAsia="宋体" w:cs="宋体"/>
              </w:rPr>
              <w:t>油气回收系统</w:t>
            </w:r>
          </w:p>
        </w:tc>
        <w:tc>
          <w:tcPr>
            <w:tcW w:w="1476" w:type="dxa"/>
            <w:vAlign w:val="center"/>
          </w:tcPr>
          <w:p w14:paraId="3756CA79">
            <w:pPr>
              <w:spacing w:line="240" w:lineRule="exact"/>
              <w:jc w:val="center"/>
              <w:rPr>
                <w:rFonts w:hint="eastAsia" w:ascii="宋体" w:hAnsi="宋体" w:eastAsia="宋体" w:cs="宋体"/>
              </w:rPr>
            </w:pPr>
            <w:r>
              <w:rPr>
                <w:rFonts w:hint="eastAsia" w:ascii="宋体" w:hAnsi="宋体" w:eastAsia="宋体" w:cs="宋体"/>
              </w:rPr>
              <w:t>一、二次油气回收</w:t>
            </w:r>
          </w:p>
        </w:tc>
        <w:tc>
          <w:tcPr>
            <w:tcW w:w="1050" w:type="dxa"/>
            <w:vAlign w:val="center"/>
          </w:tcPr>
          <w:p w14:paraId="49913327">
            <w:pPr>
              <w:spacing w:line="240" w:lineRule="exact"/>
              <w:jc w:val="center"/>
              <w:rPr>
                <w:rFonts w:hint="eastAsia" w:ascii="宋体" w:hAnsi="宋体" w:eastAsia="宋体" w:cs="宋体"/>
              </w:rPr>
            </w:pPr>
            <w:r>
              <w:rPr>
                <w:rFonts w:hint="eastAsia" w:ascii="宋体" w:hAnsi="宋体" w:eastAsia="宋体" w:cs="宋体"/>
              </w:rPr>
              <w:t>1</w:t>
            </w:r>
          </w:p>
        </w:tc>
        <w:tc>
          <w:tcPr>
            <w:tcW w:w="750" w:type="dxa"/>
            <w:vAlign w:val="center"/>
          </w:tcPr>
          <w:p w14:paraId="56B51E8D">
            <w:pPr>
              <w:spacing w:line="240" w:lineRule="exact"/>
              <w:jc w:val="center"/>
              <w:rPr>
                <w:rFonts w:hint="eastAsia" w:ascii="宋体" w:hAnsi="宋体" w:eastAsia="宋体" w:cs="宋体"/>
              </w:rPr>
            </w:pPr>
            <w:r>
              <w:rPr>
                <w:rFonts w:hint="eastAsia" w:ascii="宋体" w:hAnsi="宋体" w:eastAsia="宋体" w:cs="宋体"/>
              </w:rPr>
              <w:t>套</w:t>
            </w:r>
          </w:p>
        </w:tc>
        <w:tc>
          <w:tcPr>
            <w:tcW w:w="2069" w:type="dxa"/>
            <w:vAlign w:val="center"/>
          </w:tcPr>
          <w:p w14:paraId="0D14BA4B">
            <w:pPr>
              <w:spacing w:line="240" w:lineRule="exact"/>
              <w:jc w:val="center"/>
              <w:rPr>
                <w:rFonts w:hint="eastAsia" w:ascii="宋体" w:hAnsi="宋体" w:eastAsia="宋体" w:cs="宋体"/>
              </w:rPr>
            </w:pPr>
            <w:r>
              <w:rPr>
                <w:rFonts w:hint="eastAsia" w:ascii="宋体" w:hAnsi="宋体" w:eastAsia="宋体" w:cs="宋体"/>
              </w:rPr>
              <w:t>郑州正星股份有限公司</w:t>
            </w:r>
          </w:p>
        </w:tc>
        <w:tc>
          <w:tcPr>
            <w:tcW w:w="1531" w:type="dxa"/>
            <w:vAlign w:val="center"/>
          </w:tcPr>
          <w:p w14:paraId="07487A49">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r>
      <w:tr w14:paraId="5A4EE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trPr>
        <w:tc>
          <w:tcPr>
            <w:tcW w:w="672" w:type="dxa"/>
            <w:vAlign w:val="center"/>
          </w:tcPr>
          <w:p w14:paraId="62254A03">
            <w:pPr>
              <w:spacing w:line="240" w:lineRule="exact"/>
              <w:jc w:val="center"/>
              <w:rPr>
                <w:rFonts w:hint="eastAsia" w:ascii="宋体" w:hAnsi="宋体" w:eastAsia="宋体" w:cs="宋体"/>
              </w:rPr>
            </w:pPr>
            <w:r>
              <w:rPr>
                <w:rFonts w:hint="eastAsia" w:ascii="宋体" w:hAnsi="宋体" w:eastAsia="宋体" w:cs="宋体"/>
              </w:rPr>
              <w:t>11</w:t>
            </w:r>
          </w:p>
        </w:tc>
        <w:tc>
          <w:tcPr>
            <w:tcW w:w="1768" w:type="dxa"/>
            <w:vAlign w:val="center"/>
          </w:tcPr>
          <w:p w14:paraId="0FA3CA20">
            <w:pPr>
              <w:spacing w:line="240" w:lineRule="exact"/>
              <w:jc w:val="center"/>
              <w:rPr>
                <w:rFonts w:hint="eastAsia" w:ascii="宋体" w:hAnsi="宋体" w:eastAsia="宋体" w:cs="宋体"/>
              </w:rPr>
            </w:pPr>
            <w:r>
              <w:rPr>
                <w:rFonts w:hint="eastAsia" w:ascii="宋体" w:hAnsi="宋体" w:eastAsia="宋体" w:cs="宋体"/>
              </w:rPr>
              <w:t>潜油泵</w:t>
            </w:r>
          </w:p>
        </w:tc>
        <w:tc>
          <w:tcPr>
            <w:tcW w:w="1476" w:type="dxa"/>
            <w:vAlign w:val="center"/>
          </w:tcPr>
          <w:p w14:paraId="66DDCCDB">
            <w:pPr>
              <w:spacing w:line="240" w:lineRule="exact"/>
              <w:jc w:val="center"/>
              <w:rPr>
                <w:rFonts w:hint="eastAsia" w:ascii="宋体" w:hAnsi="宋体" w:eastAsia="宋体" w:cs="宋体"/>
              </w:rPr>
            </w:pPr>
            <w:r>
              <w:rPr>
                <w:rFonts w:hint="eastAsia" w:ascii="宋体" w:hAnsi="宋体" w:eastAsia="宋体" w:cs="宋体"/>
              </w:rPr>
              <w:t>/</w:t>
            </w:r>
          </w:p>
        </w:tc>
        <w:tc>
          <w:tcPr>
            <w:tcW w:w="1050" w:type="dxa"/>
            <w:vAlign w:val="center"/>
          </w:tcPr>
          <w:p w14:paraId="22CCA2BF">
            <w:pPr>
              <w:spacing w:line="240" w:lineRule="exact"/>
              <w:jc w:val="center"/>
              <w:rPr>
                <w:rFonts w:hint="eastAsia" w:ascii="宋体" w:hAnsi="宋体" w:eastAsia="宋体" w:cs="宋体"/>
                <w:lang w:eastAsia="zh-CN"/>
              </w:rPr>
            </w:pPr>
            <w:r>
              <w:rPr>
                <w:rFonts w:hint="eastAsia" w:ascii="宋体" w:hAnsi="宋体" w:cs="宋体"/>
                <w:lang w:val="en-US" w:eastAsia="zh-CN"/>
              </w:rPr>
              <w:t>1</w:t>
            </w:r>
          </w:p>
        </w:tc>
        <w:tc>
          <w:tcPr>
            <w:tcW w:w="750" w:type="dxa"/>
            <w:vAlign w:val="center"/>
          </w:tcPr>
          <w:p w14:paraId="03605A9C">
            <w:pPr>
              <w:spacing w:line="240" w:lineRule="exact"/>
              <w:jc w:val="center"/>
              <w:rPr>
                <w:rFonts w:hint="eastAsia" w:ascii="宋体" w:hAnsi="宋体" w:eastAsia="宋体" w:cs="宋体"/>
                <w:lang w:eastAsia="zh-CN"/>
              </w:rPr>
            </w:pPr>
            <w:r>
              <w:rPr>
                <w:rFonts w:hint="eastAsia" w:ascii="宋体" w:hAnsi="宋体" w:cs="宋体"/>
                <w:lang w:val="en-US" w:eastAsia="zh-CN"/>
              </w:rPr>
              <w:t>台</w:t>
            </w:r>
          </w:p>
        </w:tc>
        <w:tc>
          <w:tcPr>
            <w:tcW w:w="2069" w:type="dxa"/>
            <w:vAlign w:val="center"/>
          </w:tcPr>
          <w:p w14:paraId="03A7226F">
            <w:pPr>
              <w:spacing w:line="240" w:lineRule="exact"/>
              <w:jc w:val="center"/>
              <w:rPr>
                <w:rFonts w:hint="eastAsia" w:ascii="宋体" w:hAnsi="宋体" w:eastAsia="宋体" w:cs="宋体"/>
              </w:rPr>
            </w:pPr>
            <w:r>
              <w:rPr>
                <w:rFonts w:hint="eastAsia" w:ascii="宋体" w:hAnsi="宋体" w:eastAsia="宋体" w:cs="宋体"/>
              </w:rPr>
              <w:t>/</w:t>
            </w:r>
          </w:p>
        </w:tc>
        <w:tc>
          <w:tcPr>
            <w:tcW w:w="1531" w:type="dxa"/>
            <w:vAlign w:val="center"/>
          </w:tcPr>
          <w:p w14:paraId="2015F6B2">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r>
      <w:tr w14:paraId="25EE6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trPr>
        <w:tc>
          <w:tcPr>
            <w:tcW w:w="672" w:type="dxa"/>
            <w:vAlign w:val="center"/>
          </w:tcPr>
          <w:p w14:paraId="19458FEE">
            <w:pPr>
              <w:spacing w:line="240" w:lineRule="exact"/>
              <w:jc w:val="center"/>
              <w:rPr>
                <w:rFonts w:hint="default" w:ascii="宋体" w:hAnsi="宋体" w:eastAsia="宋体" w:cs="宋体"/>
                <w:lang w:val="en-US" w:eastAsia="zh-CN"/>
              </w:rPr>
            </w:pPr>
            <w:r>
              <w:rPr>
                <w:rFonts w:hint="eastAsia" w:ascii="宋体" w:hAnsi="宋体" w:cs="宋体"/>
                <w:lang w:val="en-US" w:eastAsia="zh-CN"/>
              </w:rPr>
              <w:t>12</w:t>
            </w:r>
          </w:p>
        </w:tc>
        <w:tc>
          <w:tcPr>
            <w:tcW w:w="1768" w:type="dxa"/>
            <w:vAlign w:val="center"/>
          </w:tcPr>
          <w:p w14:paraId="54252159">
            <w:pPr>
              <w:spacing w:line="240" w:lineRule="exact"/>
              <w:jc w:val="center"/>
              <w:rPr>
                <w:rFonts w:hint="default" w:ascii="宋体" w:hAnsi="宋体" w:eastAsia="宋体" w:cs="宋体"/>
                <w:lang w:val="en-US" w:eastAsia="zh-CN"/>
              </w:rPr>
            </w:pPr>
            <w:r>
              <w:rPr>
                <w:rFonts w:hint="eastAsia" w:ascii="宋体" w:hAnsi="宋体" w:cs="宋体"/>
                <w:lang w:val="en-US" w:eastAsia="zh-CN"/>
              </w:rPr>
              <w:t>人体静电导出仪</w:t>
            </w:r>
          </w:p>
        </w:tc>
        <w:tc>
          <w:tcPr>
            <w:tcW w:w="1476" w:type="dxa"/>
            <w:vAlign w:val="center"/>
          </w:tcPr>
          <w:p w14:paraId="5C82E62E">
            <w:pPr>
              <w:spacing w:line="240" w:lineRule="exact"/>
              <w:jc w:val="center"/>
              <w:rPr>
                <w:rFonts w:hint="default" w:ascii="宋体" w:hAnsi="宋体" w:eastAsia="宋体" w:cs="宋体"/>
                <w:lang w:val="en-US" w:eastAsia="zh-CN"/>
              </w:rPr>
            </w:pPr>
            <w:r>
              <w:rPr>
                <w:rFonts w:hint="eastAsia" w:ascii="宋体" w:hAnsi="宋体" w:cs="宋体"/>
                <w:lang w:val="en-US" w:eastAsia="zh-CN"/>
              </w:rPr>
              <w:t>/</w:t>
            </w:r>
          </w:p>
        </w:tc>
        <w:tc>
          <w:tcPr>
            <w:tcW w:w="1050" w:type="dxa"/>
            <w:vAlign w:val="center"/>
          </w:tcPr>
          <w:p w14:paraId="2950EBF0">
            <w:pPr>
              <w:spacing w:line="240" w:lineRule="exact"/>
              <w:jc w:val="center"/>
              <w:rPr>
                <w:rFonts w:hint="eastAsia" w:ascii="宋体" w:hAnsi="宋体" w:eastAsia="宋体" w:cs="宋体"/>
                <w:lang w:val="en-US" w:eastAsia="zh-CN"/>
              </w:rPr>
            </w:pPr>
            <w:r>
              <w:rPr>
                <w:rFonts w:hint="eastAsia" w:ascii="宋体" w:hAnsi="宋体" w:cs="宋体"/>
                <w:lang w:val="en-US" w:eastAsia="zh-CN"/>
              </w:rPr>
              <w:t>1</w:t>
            </w:r>
          </w:p>
        </w:tc>
        <w:tc>
          <w:tcPr>
            <w:tcW w:w="750" w:type="dxa"/>
            <w:vAlign w:val="center"/>
          </w:tcPr>
          <w:p w14:paraId="0CADE2D4">
            <w:pPr>
              <w:spacing w:line="240" w:lineRule="exact"/>
              <w:jc w:val="center"/>
              <w:rPr>
                <w:rFonts w:hint="default" w:ascii="宋体" w:hAnsi="宋体" w:eastAsia="宋体" w:cs="宋体"/>
                <w:lang w:val="en-US" w:eastAsia="zh-CN"/>
              </w:rPr>
            </w:pPr>
            <w:r>
              <w:rPr>
                <w:rFonts w:hint="eastAsia" w:ascii="宋体" w:hAnsi="宋体" w:cs="宋体"/>
                <w:lang w:val="en-US" w:eastAsia="zh-CN"/>
              </w:rPr>
              <w:t>个</w:t>
            </w:r>
          </w:p>
        </w:tc>
        <w:tc>
          <w:tcPr>
            <w:tcW w:w="2069" w:type="dxa"/>
            <w:vAlign w:val="center"/>
          </w:tcPr>
          <w:p w14:paraId="70C88F29">
            <w:pPr>
              <w:spacing w:line="240" w:lineRule="exact"/>
              <w:jc w:val="center"/>
              <w:rPr>
                <w:rFonts w:hint="default" w:ascii="宋体" w:hAnsi="宋体" w:eastAsia="宋体" w:cs="宋体"/>
                <w:lang w:val="en-US" w:eastAsia="zh-CN"/>
              </w:rPr>
            </w:pPr>
            <w:r>
              <w:rPr>
                <w:rFonts w:hint="eastAsia" w:ascii="宋体" w:hAnsi="宋体" w:cs="宋体"/>
                <w:lang w:val="en-US" w:eastAsia="zh-CN"/>
              </w:rPr>
              <w:t>/</w:t>
            </w:r>
          </w:p>
        </w:tc>
        <w:tc>
          <w:tcPr>
            <w:tcW w:w="1531" w:type="dxa"/>
            <w:vAlign w:val="center"/>
          </w:tcPr>
          <w:p w14:paraId="59D8D0B9">
            <w:pPr>
              <w:spacing w:line="24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7010D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trPr>
        <w:tc>
          <w:tcPr>
            <w:tcW w:w="672" w:type="dxa"/>
            <w:vAlign w:val="center"/>
          </w:tcPr>
          <w:p w14:paraId="54DD401F">
            <w:pPr>
              <w:spacing w:line="240" w:lineRule="exact"/>
              <w:jc w:val="center"/>
              <w:rPr>
                <w:rFonts w:hint="default" w:ascii="宋体" w:hAnsi="宋体" w:eastAsia="宋体" w:cs="宋体"/>
                <w:lang w:val="en-US" w:eastAsia="zh-CN"/>
              </w:rPr>
            </w:pPr>
            <w:r>
              <w:rPr>
                <w:rFonts w:hint="eastAsia" w:ascii="宋体" w:hAnsi="宋体" w:cs="宋体"/>
                <w:lang w:val="en-US" w:eastAsia="zh-CN"/>
              </w:rPr>
              <w:t>13</w:t>
            </w:r>
          </w:p>
        </w:tc>
        <w:tc>
          <w:tcPr>
            <w:tcW w:w="1768" w:type="dxa"/>
            <w:vAlign w:val="center"/>
          </w:tcPr>
          <w:p w14:paraId="316CC02D">
            <w:pPr>
              <w:spacing w:line="240" w:lineRule="exact"/>
              <w:jc w:val="center"/>
              <w:rPr>
                <w:rFonts w:hint="default" w:ascii="宋体" w:hAnsi="宋体" w:eastAsia="宋体" w:cs="宋体"/>
                <w:lang w:val="en-US" w:eastAsia="zh-CN"/>
              </w:rPr>
            </w:pPr>
            <w:r>
              <w:rPr>
                <w:rFonts w:hint="eastAsia" w:ascii="宋体" w:hAnsi="宋体" w:cs="宋体"/>
                <w:lang w:val="en-US" w:eastAsia="zh-CN"/>
              </w:rPr>
              <w:t>卸油静电夹</w:t>
            </w:r>
          </w:p>
        </w:tc>
        <w:tc>
          <w:tcPr>
            <w:tcW w:w="1476" w:type="dxa"/>
            <w:vAlign w:val="center"/>
          </w:tcPr>
          <w:p w14:paraId="6B2BA6BD">
            <w:pPr>
              <w:spacing w:line="24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1050" w:type="dxa"/>
            <w:vAlign w:val="center"/>
          </w:tcPr>
          <w:p w14:paraId="11939943">
            <w:pPr>
              <w:spacing w:line="240" w:lineRule="exact"/>
              <w:jc w:val="center"/>
              <w:rPr>
                <w:rFonts w:hint="eastAsia" w:ascii="宋体" w:hAnsi="宋体" w:eastAsia="宋体" w:cs="宋体"/>
                <w:lang w:val="en-US" w:eastAsia="zh-CN"/>
              </w:rPr>
            </w:pPr>
            <w:r>
              <w:rPr>
                <w:rFonts w:hint="eastAsia" w:ascii="宋体" w:hAnsi="宋体" w:cs="宋体"/>
                <w:lang w:val="en-US" w:eastAsia="zh-CN"/>
              </w:rPr>
              <w:t>1</w:t>
            </w:r>
          </w:p>
        </w:tc>
        <w:tc>
          <w:tcPr>
            <w:tcW w:w="750" w:type="dxa"/>
            <w:vAlign w:val="center"/>
          </w:tcPr>
          <w:p w14:paraId="2F636EED">
            <w:pPr>
              <w:spacing w:line="240" w:lineRule="exact"/>
              <w:jc w:val="center"/>
              <w:rPr>
                <w:rFonts w:hint="eastAsia" w:ascii="宋体" w:hAnsi="宋体" w:eastAsia="宋体" w:cs="宋体"/>
                <w:lang w:val="en-US" w:eastAsia="zh-CN"/>
              </w:rPr>
            </w:pPr>
            <w:r>
              <w:rPr>
                <w:rFonts w:hint="eastAsia" w:ascii="宋体" w:hAnsi="宋体" w:cs="宋体"/>
                <w:lang w:val="en-US" w:eastAsia="zh-CN"/>
              </w:rPr>
              <w:t>个</w:t>
            </w:r>
          </w:p>
        </w:tc>
        <w:tc>
          <w:tcPr>
            <w:tcW w:w="2069" w:type="dxa"/>
            <w:vAlign w:val="center"/>
          </w:tcPr>
          <w:p w14:paraId="7771CB29">
            <w:pPr>
              <w:spacing w:line="240" w:lineRule="exact"/>
              <w:jc w:val="center"/>
              <w:rPr>
                <w:rFonts w:hint="eastAsia" w:ascii="宋体" w:hAnsi="宋体" w:eastAsia="宋体" w:cs="宋体"/>
                <w:lang w:val="en-US" w:eastAsia="zh-CN"/>
              </w:rPr>
            </w:pPr>
            <w:r>
              <w:rPr>
                <w:rFonts w:hint="eastAsia" w:ascii="宋体" w:hAnsi="宋体" w:cs="宋体"/>
                <w:lang w:val="en-US" w:eastAsia="zh-CN"/>
              </w:rPr>
              <w:t>/</w:t>
            </w:r>
          </w:p>
        </w:tc>
        <w:tc>
          <w:tcPr>
            <w:tcW w:w="1531" w:type="dxa"/>
            <w:vAlign w:val="center"/>
          </w:tcPr>
          <w:p w14:paraId="1761F74B">
            <w:pPr>
              <w:spacing w:line="240" w:lineRule="exact"/>
              <w:jc w:val="center"/>
              <w:rPr>
                <w:rFonts w:hint="eastAsia" w:ascii="宋体" w:hAnsi="宋体" w:eastAsia="宋体" w:cs="宋体"/>
                <w:lang w:val="en-US" w:eastAsia="zh-CN"/>
              </w:rPr>
            </w:pPr>
            <w:r>
              <w:rPr>
                <w:rFonts w:hint="eastAsia" w:ascii="宋体" w:hAnsi="宋体" w:cs="宋体"/>
                <w:lang w:val="en-US" w:eastAsia="zh-CN"/>
              </w:rPr>
              <w:t>/</w:t>
            </w:r>
          </w:p>
        </w:tc>
      </w:tr>
      <w:tr w14:paraId="3EAD1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exact"/>
        </w:trPr>
        <w:tc>
          <w:tcPr>
            <w:tcW w:w="672" w:type="dxa"/>
            <w:vAlign w:val="center"/>
          </w:tcPr>
          <w:p w14:paraId="4800DF2E">
            <w:pPr>
              <w:spacing w:line="240" w:lineRule="exact"/>
              <w:jc w:val="center"/>
              <w:rPr>
                <w:rFonts w:hint="default" w:ascii="宋体" w:hAnsi="宋体" w:cs="宋体"/>
                <w:lang w:val="en-US" w:eastAsia="zh-CN"/>
              </w:rPr>
            </w:pPr>
            <w:r>
              <w:rPr>
                <w:rFonts w:hint="eastAsia" w:ascii="宋体" w:hAnsi="宋体" w:cs="宋体"/>
                <w:lang w:val="en-US" w:eastAsia="zh-CN"/>
              </w:rPr>
              <w:t>14</w:t>
            </w:r>
          </w:p>
        </w:tc>
        <w:tc>
          <w:tcPr>
            <w:tcW w:w="1768" w:type="dxa"/>
            <w:vAlign w:val="center"/>
          </w:tcPr>
          <w:p w14:paraId="25CD020E">
            <w:pPr>
              <w:spacing w:line="240" w:lineRule="exact"/>
              <w:jc w:val="center"/>
              <w:rPr>
                <w:rFonts w:hint="default" w:ascii="宋体" w:hAnsi="宋体" w:cs="宋体"/>
                <w:lang w:val="en-US" w:eastAsia="zh-CN"/>
              </w:rPr>
            </w:pPr>
            <w:r>
              <w:rPr>
                <w:rFonts w:hint="eastAsia" w:ascii="宋体" w:hAnsi="宋体" w:cs="宋体"/>
                <w:lang w:val="en-US" w:eastAsia="zh-CN"/>
              </w:rPr>
              <w:t>紧急停车按钮</w:t>
            </w:r>
          </w:p>
        </w:tc>
        <w:tc>
          <w:tcPr>
            <w:tcW w:w="1476" w:type="dxa"/>
            <w:vAlign w:val="center"/>
          </w:tcPr>
          <w:p w14:paraId="4A59B5EA">
            <w:pPr>
              <w:spacing w:line="240" w:lineRule="exact"/>
              <w:jc w:val="center"/>
              <w:rPr>
                <w:rFonts w:hint="default" w:ascii="宋体" w:hAnsi="宋体" w:cs="宋体"/>
                <w:lang w:val="en-US" w:eastAsia="zh-CN"/>
              </w:rPr>
            </w:pPr>
            <w:r>
              <w:rPr>
                <w:rFonts w:hint="eastAsia" w:ascii="宋体" w:hAnsi="宋体" w:cs="宋体"/>
                <w:lang w:val="en-US" w:eastAsia="zh-CN"/>
              </w:rPr>
              <w:t>/</w:t>
            </w:r>
          </w:p>
        </w:tc>
        <w:tc>
          <w:tcPr>
            <w:tcW w:w="1050" w:type="dxa"/>
            <w:vAlign w:val="center"/>
          </w:tcPr>
          <w:p w14:paraId="6D2439C2">
            <w:pPr>
              <w:spacing w:line="240" w:lineRule="exact"/>
              <w:jc w:val="center"/>
              <w:rPr>
                <w:rFonts w:hint="default" w:ascii="宋体" w:hAnsi="宋体" w:cs="宋体"/>
                <w:lang w:val="en-US" w:eastAsia="zh-CN"/>
              </w:rPr>
            </w:pPr>
            <w:r>
              <w:rPr>
                <w:rFonts w:hint="eastAsia" w:ascii="宋体" w:hAnsi="宋体" w:cs="宋体"/>
                <w:lang w:val="en-US" w:eastAsia="zh-CN"/>
              </w:rPr>
              <w:t>2</w:t>
            </w:r>
          </w:p>
        </w:tc>
        <w:tc>
          <w:tcPr>
            <w:tcW w:w="750" w:type="dxa"/>
            <w:vAlign w:val="center"/>
          </w:tcPr>
          <w:p w14:paraId="56F319F9">
            <w:pPr>
              <w:spacing w:line="240" w:lineRule="exact"/>
              <w:jc w:val="center"/>
              <w:rPr>
                <w:rFonts w:hint="default" w:ascii="宋体" w:hAnsi="宋体" w:cs="宋体"/>
                <w:lang w:val="en-US" w:eastAsia="zh-CN"/>
              </w:rPr>
            </w:pPr>
            <w:r>
              <w:rPr>
                <w:rFonts w:hint="eastAsia" w:ascii="宋体" w:hAnsi="宋体" w:cs="宋体"/>
                <w:lang w:val="en-US" w:eastAsia="zh-CN"/>
              </w:rPr>
              <w:t>个</w:t>
            </w:r>
          </w:p>
        </w:tc>
        <w:tc>
          <w:tcPr>
            <w:tcW w:w="2069" w:type="dxa"/>
            <w:vAlign w:val="center"/>
          </w:tcPr>
          <w:p w14:paraId="1F8E219C">
            <w:pPr>
              <w:spacing w:line="240" w:lineRule="exact"/>
              <w:jc w:val="center"/>
              <w:rPr>
                <w:rFonts w:hint="default" w:ascii="宋体" w:hAnsi="宋体" w:cs="宋体"/>
                <w:lang w:val="en-US" w:eastAsia="zh-CN"/>
              </w:rPr>
            </w:pPr>
            <w:r>
              <w:rPr>
                <w:rFonts w:hint="eastAsia" w:ascii="宋体" w:hAnsi="宋体" w:cs="宋体"/>
                <w:lang w:val="en-US" w:eastAsia="zh-CN"/>
              </w:rPr>
              <w:t>/</w:t>
            </w:r>
          </w:p>
        </w:tc>
        <w:tc>
          <w:tcPr>
            <w:tcW w:w="1531" w:type="dxa"/>
            <w:vAlign w:val="center"/>
          </w:tcPr>
          <w:p w14:paraId="4C8E10DE">
            <w:pPr>
              <w:spacing w:line="240" w:lineRule="exact"/>
              <w:jc w:val="center"/>
              <w:rPr>
                <w:rFonts w:hint="default" w:ascii="宋体" w:hAnsi="宋体" w:cs="宋体"/>
                <w:lang w:val="en-US" w:eastAsia="zh-CN"/>
              </w:rPr>
            </w:pPr>
            <w:r>
              <w:rPr>
                <w:rFonts w:hint="eastAsia" w:ascii="宋体" w:hAnsi="宋体" w:cs="宋体"/>
                <w:lang w:val="en-US" w:eastAsia="zh-CN"/>
              </w:rPr>
              <w:t>/</w:t>
            </w:r>
          </w:p>
        </w:tc>
      </w:tr>
      <w:tr w14:paraId="45269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exact"/>
        </w:trPr>
        <w:tc>
          <w:tcPr>
            <w:tcW w:w="672" w:type="dxa"/>
            <w:vAlign w:val="center"/>
          </w:tcPr>
          <w:p w14:paraId="4CA18024">
            <w:pPr>
              <w:spacing w:line="240" w:lineRule="exact"/>
              <w:jc w:val="center"/>
              <w:rPr>
                <w:rFonts w:hint="eastAsia" w:ascii="宋体" w:hAnsi="宋体" w:cs="宋体"/>
                <w:b w:val="0"/>
                <w:bCs w:val="0"/>
                <w:sz w:val="21"/>
                <w:szCs w:val="21"/>
                <w:lang w:val="en-US" w:eastAsia="zh-CN"/>
              </w:rPr>
            </w:pPr>
            <w:r>
              <w:rPr>
                <w:rFonts w:hint="eastAsia" w:cs="Times New Roman"/>
                <w:b w:val="0"/>
                <w:bCs w:val="0"/>
                <w:sz w:val="21"/>
                <w:szCs w:val="21"/>
                <w:lang w:val="en-US" w:eastAsia="zh-CN"/>
              </w:rPr>
              <w:t>注：</w:t>
            </w:r>
          </w:p>
        </w:tc>
        <w:tc>
          <w:tcPr>
            <w:tcW w:w="8644" w:type="dxa"/>
            <w:gridSpan w:val="6"/>
            <w:vAlign w:val="center"/>
          </w:tcPr>
          <w:p w14:paraId="39CF56E0">
            <w:pPr>
              <w:tabs>
                <w:tab w:val="left" w:pos="3465"/>
              </w:tabs>
              <w:jc w:val="center"/>
              <w:rPr>
                <w:rFonts w:hint="eastAsia" w:cs="Times New Roman"/>
                <w:b w:val="0"/>
                <w:bCs w:val="0"/>
                <w:sz w:val="21"/>
                <w:szCs w:val="21"/>
                <w:lang w:val="en-US" w:eastAsia="zh-CN"/>
              </w:rPr>
            </w:pPr>
            <w:r>
              <w:rPr>
                <w:rFonts w:hint="eastAsia" w:cs="Times New Roman"/>
                <w:b w:val="0"/>
                <w:bCs w:val="0"/>
                <w:sz w:val="21"/>
                <w:szCs w:val="21"/>
                <w:lang w:val="en-US" w:eastAsia="zh-CN"/>
              </w:rPr>
              <w:t>部分设备图片见附图</w:t>
            </w:r>
          </w:p>
          <w:p w14:paraId="1453CFDD">
            <w:pPr>
              <w:spacing w:line="240" w:lineRule="exact"/>
              <w:jc w:val="center"/>
              <w:rPr>
                <w:rFonts w:hint="eastAsia" w:ascii="宋体" w:hAnsi="宋体" w:cs="宋体"/>
                <w:b w:val="0"/>
                <w:bCs w:val="0"/>
                <w:sz w:val="21"/>
                <w:szCs w:val="21"/>
                <w:lang w:val="en-US" w:eastAsia="zh-CN"/>
              </w:rPr>
            </w:pPr>
          </w:p>
        </w:tc>
      </w:tr>
    </w:tbl>
    <w:p w14:paraId="7A0C42EC">
      <w:pPr>
        <w:tabs>
          <w:tab w:val="left" w:pos="3465"/>
        </w:tabs>
        <w:jc w:val="center"/>
        <w:rPr>
          <w:rFonts w:hint="eastAsia" w:cs="Times New Roman"/>
          <w:b/>
          <w:bCs/>
          <w:sz w:val="24"/>
          <w:szCs w:val="24"/>
          <w:lang w:val="en-US" w:eastAsia="zh-CN"/>
        </w:rPr>
      </w:pPr>
    </w:p>
    <w:p w14:paraId="295515ED">
      <w:pPr>
        <w:tabs>
          <w:tab w:val="left" w:pos="3465"/>
        </w:tabs>
        <w:jc w:val="center"/>
        <w:rPr>
          <w:rFonts w:hint="eastAsia" w:ascii="宋体" w:hAnsi="宋体" w:eastAsia="宋体" w:cs="宋体"/>
          <w:b/>
          <w:bCs/>
          <w:sz w:val="24"/>
          <w:szCs w:val="24"/>
        </w:rPr>
      </w:pPr>
      <w:r>
        <w:rPr>
          <w:rFonts w:hint="eastAsia" w:ascii="宋体" w:hAnsi="宋体" w:eastAsia="宋体" w:cs="宋体"/>
          <w:b/>
          <w:bCs/>
          <w:sz w:val="24"/>
          <w:szCs w:val="24"/>
        </w:rPr>
        <w:t>表2-5主要建（构）筑物</w:t>
      </w:r>
    </w:p>
    <w:tbl>
      <w:tblPr>
        <w:tblStyle w:val="19"/>
        <w:tblW w:w="93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129"/>
        <w:gridCol w:w="1413"/>
        <w:gridCol w:w="1533"/>
        <w:gridCol w:w="1717"/>
        <w:gridCol w:w="3081"/>
      </w:tblGrid>
      <w:tr w14:paraId="65E0A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1" w:hRule="atLeast"/>
          <w:jc w:val="center"/>
        </w:trPr>
        <w:tc>
          <w:tcPr>
            <w:tcW w:w="477" w:type="dxa"/>
            <w:vAlign w:val="center"/>
          </w:tcPr>
          <w:p w14:paraId="48740AF1">
            <w:pPr>
              <w:spacing w:line="240" w:lineRule="exact"/>
              <w:jc w:val="center"/>
              <w:rPr>
                <w:rFonts w:cs="Times New Roman"/>
              </w:rPr>
            </w:pPr>
            <w:r>
              <w:rPr>
                <w:rFonts w:hint="eastAsia" w:cs="宋体"/>
              </w:rPr>
              <w:t>序号</w:t>
            </w:r>
          </w:p>
        </w:tc>
        <w:tc>
          <w:tcPr>
            <w:tcW w:w="1129" w:type="dxa"/>
            <w:vAlign w:val="center"/>
          </w:tcPr>
          <w:p w14:paraId="6426C580">
            <w:pPr>
              <w:spacing w:line="240" w:lineRule="exact"/>
              <w:jc w:val="center"/>
              <w:rPr>
                <w:rFonts w:cs="Times New Roman"/>
              </w:rPr>
            </w:pPr>
            <w:r>
              <w:rPr>
                <w:rFonts w:hint="eastAsia" w:cs="宋体"/>
              </w:rPr>
              <w:t>项目名称</w:t>
            </w:r>
          </w:p>
        </w:tc>
        <w:tc>
          <w:tcPr>
            <w:tcW w:w="1413" w:type="dxa"/>
            <w:vAlign w:val="center"/>
          </w:tcPr>
          <w:p w14:paraId="1B7AF1DD">
            <w:pPr>
              <w:spacing w:line="240" w:lineRule="exact"/>
              <w:jc w:val="center"/>
              <w:rPr>
                <w:rFonts w:cs="Times New Roman"/>
              </w:rPr>
            </w:pPr>
            <w:r>
              <w:rPr>
                <w:rFonts w:hint="eastAsia" w:cs="宋体"/>
              </w:rPr>
              <w:t>面积、数量</w:t>
            </w:r>
          </w:p>
        </w:tc>
        <w:tc>
          <w:tcPr>
            <w:tcW w:w="1533" w:type="dxa"/>
            <w:vAlign w:val="center"/>
          </w:tcPr>
          <w:p w14:paraId="1D564CDE">
            <w:pPr>
              <w:spacing w:line="240" w:lineRule="exact"/>
              <w:jc w:val="center"/>
              <w:rPr>
                <w:rFonts w:cs="Times New Roman"/>
              </w:rPr>
            </w:pPr>
            <w:r>
              <w:rPr>
                <w:rFonts w:hint="eastAsia" w:cs="宋体"/>
              </w:rPr>
              <w:t>耐火等级</w:t>
            </w:r>
          </w:p>
        </w:tc>
        <w:tc>
          <w:tcPr>
            <w:tcW w:w="1717" w:type="dxa"/>
            <w:vAlign w:val="center"/>
          </w:tcPr>
          <w:p w14:paraId="6C2F3DBF">
            <w:pPr>
              <w:spacing w:line="240" w:lineRule="exact"/>
              <w:jc w:val="center"/>
              <w:rPr>
                <w:rFonts w:cs="Times New Roman"/>
              </w:rPr>
            </w:pPr>
            <w:r>
              <w:rPr>
                <w:rFonts w:hint="eastAsia" w:cs="宋体"/>
              </w:rPr>
              <w:t>结构</w:t>
            </w:r>
          </w:p>
        </w:tc>
        <w:tc>
          <w:tcPr>
            <w:tcW w:w="3081" w:type="dxa"/>
            <w:vAlign w:val="center"/>
          </w:tcPr>
          <w:p w14:paraId="785D1091">
            <w:pPr>
              <w:spacing w:line="240" w:lineRule="exact"/>
              <w:jc w:val="center"/>
              <w:rPr>
                <w:rFonts w:cs="Times New Roman"/>
              </w:rPr>
            </w:pPr>
            <w:r>
              <w:rPr>
                <w:rFonts w:hint="eastAsia" w:cs="宋体"/>
              </w:rPr>
              <w:t>备注</w:t>
            </w:r>
          </w:p>
        </w:tc>
      </w:tr>
      <w:tr w14:paraId="514E5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jc w:val="center"/>
        </w:trPr>
        <w:tc>
          <w:tcPr>
            <w:tcW w:w="477" w:type="dxa"/>
            <w:vAlign w:val="center"/>
          </w:tcPr>
          <w:p w14:paraId="5AA317DA">
            <w:pPr>
              <w:spacing w:line="240" w:lineRule="exact"/>
              <w:jc w:val="center"/>
              <w:rPr>
                <w:rFonts w:hint="eastAsia" w:ascii="宋体" w:hAnsi="宋体" w:eastAsia="宋体" w:cs="宋体"/>
              </w:rPr>
            </w:pPr>
            <w:r>
              <w:rPr>
                <w:rFonts w:hint="eastAsia" w:ascii="宋体" w:hAnsi="宋体" w:eastAsia="宋体" w:cs="宋体"/>
              </w:rPr>
              <w:t>1</w:t>
            </w:r>
          </w:p>
        </w:tc>
        <w:tc>
          <w:tcPr>
            <w:tcW w:w="1129" w:type="dxa"/>
            <w:vAlign w:val="center"/>
          </w:tcPr>
          <w:p w14:paraId="48F1C8DA">
            <w:pPr>
              <w:spacing w:line="240" w:lineRule="exact"/>
              <w:jc w:val="center"/>
              <w:rPr>
                <w:rFonts w:hint="eastAsia" w:ascii="宋体" w:hAnsi="宋体" w:eastAsia="宋体" w:cs="宋体"/>
              </w:rPr>
            </w:pPr>
            <w:r>
              <w:rPr>
                <w:rFonts w:hint="eastAsia" w:ascii="宋体" w:hAnsi="宋体" w:eastAsia="宋体" w:cs="宋体"/>
              </w:rPr>
              <w:t>油罐区</w:t>
            </w:r>
          </w:p>
        </w:tc>
        <w:tc>
          <w:tcPr>
            <w:tcW w:w="1413" w:type="dxa"/>
            <w:vAlign w:val="center"/>
          </w:tcPr>
          <w:p w14:paraId="5BF5B540">
            <w:pPr>
              <w:spacing w:line="240" w:lineRule="exact"/>
              <w:jc w:val="center"/>
              <w:rPr>
                <w:rFonts w:hint="default" w:ascii="宋体" w:hAnsi="宋体" w:eastAsia="宋体" w:cs="宋体"/>
                <w:lang w:val="en-US" w:eastAsia="zh-CN"/>
              </w:rPr>
            </w:pPr>
            <w:r>
              <w:rPr>
                <w:rFonts w:hint="eastAsia" w:ascii="宋体" w:hAnsi="宋体" w:cs="宋体"/>
                <w:lang w:val="en-US" w:eastAsia="zh-CN"/>
              </w:rPr>
              <w:t>/</w:t>
            </w:r>
          </w:p>
        </w:tc>
        <w:tc>
          <w:tcPr>
            <w:tcW w:w="1533" w:type="dxa"/>
            <w:vAlign w:val="center"/>
          </w:tcPr>
          <w:p w14:paraId="3EB8D72D">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c>
          <w:tcPr>
            <w:tcW w:w="1717" w:type="dxa"/>
            <w:vAlign w:val="center"/>
          </w:tcPr>
          <w:p w14:paraId="3D280C82">
            <w:pPr>
              <w:spacing w:line="240" w:lineRule="exact"/>
              <w:jc w:val="center"/>
              <w:rPr>
                <w:rFonts w:hint="eastAsia" w:ascii="宋体" w:hAnsi="宋体" w:eastAsia="宋体" w:cs="宋体"/>
              </w:rPr>
            </w:pPr>
            <w:r>
              <w:rPr>
                <w:rFonts w:hint="eastAsia" w:ascii="宋体" w:hAnsi="宋体" w:eastAsia="宋体" w:cs="宋体"/>
              </w:rPr>
              <w:t>混凝土</w:t>
            </w:r>
          </w:p>
        </w:tc>
        <w:tc>
          <w:tcPr>
            <w:tcW w:w="3081" w:type="dxa"/>
            <w:vAlign w:val="center"/>
          </w:tcPr>
          <w:p w14:paraId="6947C17A">
            <w:pPr>
              <w:spacing w:line="240" w:lineRule="exact"/>
              <w:jc w:val="center"/>
              <w:rPr>
                <w:rFonts w:hint="eastAsia" w:ascii="宋体" w:hAnsi="宋体" w:eastAsia="宋体" w:cs="宋体"/>
              </w:rPr>
            </w:pPr>
            <w:r>
              <w:rPr>
                <w:rFonts w:hint="eastAsia" w:ascii="宋体" w:hAnsi="宋体" w:eastAsia="宋体" w:cs="宋体"/>
              </w:rPr>
              <w:t>地下，折算成汽油贮量</w:t>
            </w:r>
          </w:p>
        </w:tc>
      </w:tr>
      <w:tr w14:paraId="11D80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0" w:hRule="atLeast"/>
          <w:jc w:val="center"/>
        </w:trPr>
        <w:tc>
          <w:tcPr>
            <w:tcW w:w="477" w:type="dxa"/>
            <w:vAlign w:val="center"/>
          </w:tcPr>
          <w:p w14:paraId="4064171C">
            <w:pPr>
              <w:spacing w:line="240" w:lineRule="exact"/>
              <w:jc w:val="center"/>
              <w:rPr>
                <w:rFonts w:hint="eastAsia" w:ascii="宋体" w:hAnsi="宋体" w:eastAsia="宋体" w:cs="宋体"/>
              </w:rPr>
            </w:pPr>
            <w:r>
              <w:rPr>
                <w:rFonts w:hint="eastAsia" w:ascii="宋体" w:hAnsi="宋体" w:eastAsia="宋体" w:cs="宋体"/>
              </w:rPr>
              <w:t>2</w:t>
            </w:r>
          </w:p>
        </w:tc>
        <w:tc>
          <w:tcPr>
            <w:tcW w:w="1129" w:type="dxa"/>
            <w:vAlign w:val="center"/>
          </w:tcPr>
          <w:p w14:paraId="4BF24145">
            <w:pPr>
              <w:spacing w:line="240" w:lineRule="exact"/>
              <w:jc w:val="center"/>
              <w:rPr>
                <w:rFonts w:hint="eastAsia" w:ascii="宋体" w:hAnsi="宋体" w:eastAsia="宋体" w:cs="宋体"/>
              </w:rPr>
            </w:pPr>
            <w:r>
              <w:rPr>
                <w:rFonts w:hint="eastAsia" w:ascii="宋体" w:hAnsi="宋体" w:eastAsia="宋体" w:cs="宋体"/>
              </w:rPr>
              <w:t>加油区</w:t>
            </w:r>
          </w:p>
        </w:tc>
        <w:tc>
          <w:tcPr>
            <w:tcW w:w="1413" w:type="dxa"/>
            <w:vAlign w:val="center"/>
          </w:tcPr>
          <w:p w14:paraId="03938B52">
            <w:pPr>
              <w:spacing w:line="240" w:lineRule="exact"/>
              <w:jc w:val="center"/>
              <w:rPr>
                <w:rFonts w:hint="eastAsia" w:ascii="宋体" w:hAnsi="宋体" w:eastAsia="宋体" w:cs="宋体"/>
              </w:rPr>
            </w:pPr>
            <w:r>
              <w:rPr>
                <w:rFonts w:hint="eastAsia" w:ascii="宋体" w:hAnsi="宋体" w:eastAsia="宋体" w:cs="宋体"/>
              </w:rPr>
              <w:t>加油机3台</w:t>
            </w:r>
          </w:p>
        </w:tc>
        <w:tc>
          <w:tcPr>
            <w:tcW w:w="1533" w:type="dxa"/>
            <w:vAlign w:val="center"/>
          </w:tcPr>
          <w:p w14:paraId="3E86B471">
            <w:pPr>
              <w:spacing w:line="240" w:lineRule="exact"/>
              <w:jc w:val="center"/>
              <w:rPr>
                <w:rFonts w:hint="eastAsia" w:ascii="宋体" w:hAnsi="宋体" w:eastAsia="宋体" w:cs="宋体"/>
              </w:rPr>
            </w:pPr>
            <w:r>
              <w:rPr>
                <w:rFonts w:hint="eastAsia" w:ascii="宋体" w:hAnsi="宋体" w:eastAsia="宋体" w:cs="宋体"/>
              </w:rPr>
              <w:t>不低于0.25h</w:t>
            </w:r>
          </w:p>
        </w:tc>
        <w:tc>
          <w:tcPr>
            <w:tcW w:w="1717" w:type="dxa"/>
            <w:vAlign w:val="center"/>
          </w:tcPr>
          <w:p w14:paraId="0F4278CD">
            <w:pPr>
              <w:spacing w:line="240" w:lineRule="exact"/>
              <w:jc w:val="center"/>
              <w:rPr>
                <w:rFonts w:hint="eastAsia" w:ascii="宋体" w:hAnsi="宋体" w:eastAsia="宋体" w:cs="宋体"/>
              </w:rPr>
            </w:pPr>
            <w:r>
              <w:rPr>
                <w:rFonts w:hint="eastAsia" w:ascii="宋体" w:hAnsi="宋体" w:eastAsia="宋体" w:cs="宋体"/>
              </w:rPr>
              <w:t>网架结构</w:t>
            </w:r>
          </w:p>
        </w:tc>
        <w:tc>
          <w:tcPr>
            <w:tcW w:w="3081" w:type="dxa"/>
            <w:vAlign w:val="center"/>
          </w:tcPr>
          <w:p w14:paraId="630CD541">
            <w:pPr>
              <w:spacing w:line="240" w:lineRule="exact"/>
              <w:jc w:val="center"/>
              <w:rPr>
                <w:rFonts w:hint="eastAsia" w:ascii="宋体" w:hAnsi="宋体" w:eastAsia="宋体" w:cs="宋体"/>
              </w:rPr>
            </w:pPr>
            <w:r>
              <w:rPr>
                <w:rFonts w:hint="eastAsia" w:ascii="宋体" w:hAnsi="宋体" w:eastAsia="宋体" w:cs="宋体"/>
              </w:rPr>
              <w:t>网架罩棚面积1</w:t>
            </w:r>
            <w:r>
              <w:rPr>
                <w:rFonts w:hint="eastAsia" w:ascii="宋体" w:hAnsi="宋体" w:cs="宋体"/>
                <w:lang w:val="en-US" w:eastAsia="zh-CN"/>
              </w:rPr>
              <w:t>69.47</w:t>
            </w:r>
            <w:r>
              <w:rPr>
                <w:rFonts w:hint="eastAsia" w:ascii="宋体" w:hAnsi="宋体" w:eastAsia="宋体" w:cs="宋体"/>
              </w:rPr>
              <w:t>㎡</w:t>
            </w:r>
          </w:p>
        </w:tc>
      </w:tr>
      <w:tr w14:paraId="14A93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1" w:hRule="atLeast"/>
          <w:jc w:val="center"/>
        </w:trPr>
        <w:tc>
          <w:tcPr>
            <w:tcW w:w="477" w:type="dxa"/>
            <w:vAlign w:val="center"/>
          </w:tcPr>
          <w:p w14:paraId="3588E708">
            <w:pPr>
              <w:spacing w:line="240" w:lineRule="exact"/>
              <w:jc w:val="center"/>
              <w:rPr>
                <w:rFonts w:hint="eastAsia" w:ascii="宋体" w:hAnsi="宋体" w:eastAsia="宋体" w:cs="宋体"/>
              </w:rPr>
            </w:pPr>
            <w:r>
              <w:rPr>
                <w:rFonts w:hint="eastAsia" w:ascii="宋体" w:hAnsi="宋体" w:eastAsia="宋体" w:cs="宋体"/>
              </w:rPr>
              <w:t>3</w:t>
            </w:r>
          </w:p>
        </w:tc>
        <w:tc>
          <w:tcPr>
            <w:tcW w:w="1129" w:type="dxa"/>
            <w:vAlign w:val="center"/>
          </w:tcPr>
          <w:p w14:paraId="7FC502A4">
            <w:pPr>
              <w:spacing w:line="240" w:lineRule="exact"/>
              <w:jc w:val="center"/>
              <w:rPr>
                <w:rFonts w:hint="eastAsia" w:ascii="宋体" w:hAnsi="宋体" w:eastAsia="宋体" w:cs="宋体"/>
              </w:rPr>
            </w:pPr>
            <w:r>
              <w:rPr>
                <w:rFonts w:hint="eastAsia" w:ascii="宋体" w:hAnsi="宋体" w:eastAsia="宋体" w:cs="宋体"/>
              </w:rPr>
              <w:t>站房</w:t>
            </w:r>
          </w:p>
        </w:tc>
        <w:tc>
          <w:tcPr>
            <w:tcW w:w="1413" w:type="dxa"/>
            <w:vAlign w:val="center"/>
          </w:tcPr>
          <w:p w14:paraId="3E5D2AC1">
            <w:pPr>
              <w:spacing w:line="240" w:lineRule="exact"/>
              <w:jc w:val="center"/>
              <w:rPr>
                <w:rFonts w:hint="eastAsia" w:ascii="宋体" w:hAnsi="宋体" w:eastAsia="宋体" w:cs="宋体"/>
              </w:rPr>
            </w:pPr>
            <w:r>
              <w:rPr>
                <w:rFonts w:hint="eastAsia" w:ascii="宋体" w:hAnsi="宋体" w:eastAsia="宋体" w:cs="宋体"/>
              </w:rPr>
              <w:t>108.5m</w:t>
            </w:r>
            <w:r>
              <w:rPr>
                <w:rFonts w:hint="eastAsia" w:ascii="宋体" w:hAnsi="宋体" w:eastAsia="宋体" w:cs="宋体"/>
                <w:vertAlign w:val="superscript"/>
              </w:rPr>
              <w:t>2</w:t>
            </w:r>
          </w:p>
        </w:tc>
        <w:tc>
          <w:tcPr>
            <w:tcW w:w="1533" w:type="dxa"/>
            <w:vAlign w:val="center"/>
          </w:tcPr>
          <w:p w14:paraId="208A022B">
            <w:pPr>
              <w:spacing w:line="240" w:lineRule="exact"/>
              <w:jc w:val="center"/>
              <w:rPr>
                <w:rFonts w:hint="eastAsia" w:ascii="宋体" w:hAnsi="宋体" w:eastAsia="宋体" w:cs="宋体"/>
              </w:rPr>
            </w:pPr>
            <w:r>
              <w:rPr>
                <w:rFonts w:hint="eastAsia" w:ascii="宋体" w:hAnsi="宋体" w:eastAsia="宋体" w:cs="宋体"/>
              </w:rPr>
              <w:t>二级耐火等级</w:t>
            </w:r>
          </w:p>
        </w:tc>
        <w:tc>
          <w:tcPr>
            <w:tcW w:w="1717" w:type="dxa"/>
            <w:vAlign w:val="center"/>
          </w:tcPr>
          <w:p w14:paraId="1115CDD0">
            <w:pPr>
              <w:spacing w:line="240" w:lineRule="exact"/>
              <w:jc w:val="center"/>
              <w:rPr>
                <w:rFonts w:hint="eastAsia" w:ascii="宋体" w:hAnsi="宋体" w:eastAsia="宋体" w:cs="宋体"/>
              </w:rPr>
            </w:pPr>
            <w:r>
              <w:rPr>
                <w:rFonts w:hint="eastAsia" w:ascii="宋体" w:hAnsi="宋体" w:eastAsia="宋体" w:cs="宋体"/>
              </w:rPr>
              <w:t>砖混结构</w:t>
            </w:r>
          </w:p>
        </w:tc>
        <w:tc>
          <w:tcPr>
            <w:tcW w:w="3081" w:type="dxa"/>
            <w:vAlign w:val="center"/>
          </w:tcPr>
          <w:p w14:paraId="68D41062">
            <w:pPr>
              <w:spacing w:line="240" w:lineRule="exact"/>
              <w:jc w:val="center"/>
              <w:rPr>
                <w:rFonts w:hint="eastAsia" w:ascii="宋体" w:hAnsi="宋体" w:eastAsia="宋体" w:cs="宋体"/>
              </w:rPr>
            </w:pPr>
            <w:r>
              <w:rPr>
                <w:rFonts w:hint="eastAsia" w:ascii="宋体" w:hAnsi="宋体" w:eastAsia="宋体" w:cs="宋体"/>
              </w:rPr>
              <w:t>一层</w:t>
            </w:r>
          </w:p>
        </w:tc>
      </w:tr>
      <w:tr w14:paraId="4C388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1" w:hRule="atLeast"/>
          <w:jc w:val="center"/>
        </w:trPr>
        <w:tc>
          <w:tcPr>
            <w:tcW w:w="477" w:type="dxa"/>
            <w:vAlign w:val="center"/>
          </w:tcPr>
          <w:p w14:paraId="1DC4F218">
            <w:pPr>
              <w:spacing w:line="240" w:lineRule="exact"/>
              <w:jc w:val="center"/>
              <w:rPr>
                <w:rFonts w:hint="eastAsia" w:ascii="宋体" w:hAnsi="宋体" w:eastAsia="宋体" w:cs="宋体"/>
              </w:rPr>
            </w:pPr>
            <w:r>
              <w:rPr>
                <w:rFonts w:hint="eastAsia" w:ascii="宋体" w:hAnsi="宋体" w:eastAsia="宋体" w:cs="宋体"/>
              </w:rPr>
              <w:t>4</w:t>
            </w:r>
          </w:p>
        </w:tc>
        <w:tc>
          <w:tcPr>
            <w:tcW w:w="1129" w:type="dxa"/>
            <w:vAlign w:val="center"/>
          </w:tcPr>
          <w:p w14:paraId="19F0E405">
            <w:pPr>
              <w:spacing w:line="240" w:lineRule="exact"/>
              <w:jc w:val="center"/>
              <w:rPr>
                <w:rFonts w:hint="eastAsia" w:ascii="宋体" w:hAnsi="宋体" w:eastAsia="宋体" w:cs="宋体"/>
                <w:lang w:eastAsia="zh-CN"/>
              </w:rPr>
            </w:pPr>
            <w:r>
              <w:rPr>
                <w:rFonts w:hint="eastAsia" w:ascii="宋体" w:hAnsi="宋体" w:cs="宋体"/>
                <w:lang w:val="en-US" w:eastAsia="zh-CN"/>
              </w:rPr>
              <w:t>辅助房</w:t>
            </w:r>
          </w:p>
        </w:tc>
        <w:tc>
          <w:tcPr>
            <w:tcW w:w="1413" w:type="dxa"/>
            <w:vAlign w:val="center"/>
          </w:tcPr>
          <w:p w14:paraId="4CA95CD6">
            <w:pPr>
              <w:spacing w:line="240" w:lineRule="exact"/>
              <w:jc w:val="center"/>
              <w:rPr>
                <w:rFonts w:hint="eastAsia" w:ascii="宋体" w:hAnsi="宋体" w:eastAsia="宋体" w:cs="宋体"/>
              </w:rPr>
            </w:pPr>
            <w:r>
              <w:rPr>
                <w:rFonts w:hint="eastAsia" w:ascii="宋体" w:hAnsi="宋体" w:eastAsia="宋体" w:cs="宋体"/>
              </w:rPr>
              <w:t>33.75m</w:t>
            </w:r>
            <w:r>
              <w:rPr>
                <w:rFonts w:hint="eastAsia" w:ascii="宋体" w:hAnsi="宋体" w:eastAsia="宋体" w:cs="宋体"/>
                <w:vertAlign w:val="superscript"/>
              </w:rPr>
              <w:t>2</w:t>
            </w:r>
          </w:p>
        </w:tc>
        <w:tc>
          <w:tcPr>
            <w:tcW w:w="1533" w:type="dxa"/>
            <w:vAlign w:val="center"/>
          </w:tcPr>
          <w:p w14:paraId="69DA50FF">
            <w:pPr>
              <w:spacing w:line="240" w:lineRule="exact"/>
              <w:jc w:val="center"/>
              <w:rPr>
                <w:rFonts w:hint="eastAsia" w:ascii="宋体" w:hAnsi="宋体" w:eastAsia="宋体" w:cs="宋体"/>
              </w:rPr>
            </w:pPr>
            <w:r>
              <w:rPr>
                <w:rFonts w:hint="eastAsia" w:ascii="宋体" w:hAnsi="宋体" w:eastAsia="宋体" w:cs="宋体"/>
              </w:rPr>
              <w:t>二级耐火等级</w:t>
            </w:r>
          </w:p>
        </w:tc>
        <w:tc>
          <w:tcPr>
            <w:tcW w:w="1717" w:type="dxa"/>
            <w:vAlign w:val="center"/>
          </w:tcPr>
          <w:p w14:paraId="3692B74D">
            <w:pPr>
              <w:spacing w:line="240" w:lineRule="exact"/>
              <w:jc w:val="center"/>
              <w:rPr>
                <w:rFonts w:hint="eastAsia" w:ascii="宋体" w:hAnsi="宋体" w:eastAsia="宋体" w:cs="宋体"/>
              </w:rPr>
            </w:pPr>
            <w:r>
              <w:rPr>
                <w:rFonts w:hint="eastAsia" w:ascii="宋体" w:hAnsi="宋体" w:eastAsia="宋体" w:cs="宋体"/>
              </w:rPr>
              <w:t>砖混结构</w:t>
            </w:r>
          </w:p>
        </w:tc>
        <w:tc>
          <w:tcPr>
            <w:tcW w:w="3081" w:type="dxa"/>
            <w:vAlign w:val="center"/>
          </w:tcPr>
          <w:p w14:paraId="717F374F">
            <w:pPr>
              <w:spacing w:line="240" w:lineRule="exact"/>
              <w:jc w:val="center"/>
              <w:rPr>
                <w:rFonts w:hint="eastAsia" w:ascii="宋体" w:hAnsi="宋体" w:eastAsia="宋体" w:cs="宋体"/>
              </w:rPr>
            </w:pPr>
            <w:r>
              <w:rPr>
                <w:rFonts w:hint="eastAsia" w:ascii="宋体" w:hAnsi="宋体" w:eastAsia="宋体" w:cs="宋体"/>
              </w:rPr>
              <w:t>一层</w:t>
            </w:r>
          </w:p>
        </w:tc>
      </w:tr>
      <w:tr w14:paraId="0CDC8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477" w:type="dxa"/>
            <w:vAlign w:val="center"/>
          </w:tcPr>
          <w:p w14:paraId="3FB9EBFC">
            <w:pPr>
              <w:spacing w:line="240" w:lineRule="exact"/>
              <w:jc w:val="center"/>
              <w:rPr>
                <w:rFonts w:hint="eastAsia" w:ascii="宋体" w:hAnsi="宋体" w:eastAsia="宋体" w:cs="宋体"/>
              </w:rPr>
            </w:pPr>
            <w:r>
              <w:rPr>
                <w:rFonts w:hint="eastAsia" w:ascii="宋体" w:hAnsi="宋体" w:eastAsia="宋体" w:cs="宋体"/>
              </w:rPr>
              <w:t>5</w:t>
            </w:r>
          </w:p>
        </w:tc>
        <w:tc>
          <w:tcPr>
            <w:tcW w:w="1129" w:type="dxa"/>
            <w:vAlign w:val="center"/>
          </w:tcPr>
          <w:p w14:paraId="004ED4FC">
            <w:pPr>
              <w:spacing w:line="240" w:lineRule="exact"/>
              <w:jc w:val="center"/>
              <w:rPr>
                <w:rFonts w:hint="eastAsia" w:ascii="宋体" w:hAnsi="宋体" w:eastAsia="宋体" w:cs="宋体"/>
              </w:rPr>
            </w:pPr>
            <w:r>
              <w:rPr>
                <w:rFonts w:hint="eastAsia" w:ascii="宋体" w:hAnsi="宋体" w:eastAsia="宋体" w:cs="宋体"/>
              </w:rPr>
              <w:t>隔油池</w:t>
            </w:r>
          </w:p>
        </w:tc>
        <w:tc>
          <w:tcPr>
            <w:tcW w:w="1413" w:type="dxa"/>
            <w:vAlign w:val="center"/>
          </w:tcPr>
          <w:p w14:paraId="4A311475">
            <w:pPr>
              <w:spacing w:line="240" w:lineRule="exact"/>
              <w:jc w:val="center"/>
              <w:rPr>
                <w:rFonts w:hint="eastAsia" w:ascii="宋体" w:hAnsi="宋体" w:eastAsia="宋体" w:cs="宋体"/>
              </w:rPr>
            </w:pPr>
            <w:r>
              <w:rPr>
                <w:rFonts w:hint="eastAsia" w:ascii="宋体" w:hAnsi="宋体" w:eastAsia="宋体" w:cs="宋体"/>
              </w:rPr>
              <w:t>3m</w:t>
            </w:r>
            <w:r>
              <w:rPr>
                <w:rFonts w:hint="eastAsia" w:ascii="宋体" w:hAnsi="宋体" w:eastAsia="宋体" w:cs="宋体"/>
                <w:vertAlign w:val="superscript"/>
              </w:rPr>
              <w:t>3</w:t>
            </w:r>
          </w:p>
        </w:tc>
        <w:tc>
          <w:tcPr>
            <w:tcW w:w="1533" w:type="dxa"/>
            <w:vAlign w:val="center"/>
          </w:tcPr>
          <w:p w14:paraId="4DAB5DA7">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c>
          <w:tcPr>
            <w:tcW w:w="1717" w:type="dxa"/>
            <w:vAlign w:val="center"/>
          </w:tcPr>
          <w:p w14:paraId="0315F59C">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c>
          <w:tcPr>
            <w:tcW w:w="3081" w:type="dxa"/>
            <w:vAlign w:val="center"/>
          </w:tcPr>
          <w:p w14:paraId="39050938">
            <w:pPr>
              <w:spacing w:line="240" w:lineRule="exact"/>
              <w:jc w:val="center"/>
              <w:rPr>
                <w:rFonts w:hint="eastAsia" w:ascii="宋体" w:hAnsi="宋体" w:eastAsia="宋体" w:cs="宋体"/>
                <w:lang w:eastAsia="zh-CN"/>
              </w:rPr>
            </w:pPr>
            <w:r>
              <w:rPr>
                <w:rFonts w:hint="eastAsia" w:ascii="宋体" w:hAnsi="宋体" w:cs="宋体"/>
                <w:lang w:val="en-US" w:eastAsia="zh-CN"/>
              </w:rPr>
              <w:t>/</w:t>
            </w:r>
          </w:p>
        </w:tc>
      </w:tr>
    </w:tbl>
    <w:p w14:paraId="43256182">
      <w:pPr>
        <w:rPr>
          <w:rFonts w:hint="eastAsia" w:ascii="楷体" w:hAnsi="楷体" w:eastAsia="楷体" w:cs="楷体"/>
          <w:sz w:val="32"/>
          <w:szCs w:val="32"/>
        </w:rPr>
      </w:pPr>
      <w:bookmarkStart w:id="88" w:name="_Toc22338"/>
      <w:r>
        <w:rPr>
          <w:rFonts w:hint="eastAsia" w:ascii="楷体" w:hAnsi="楷体" w:eastAsia="楷体" w:cs="楷体"/>
          <w:sz w:val="32"/>
          <w:szCs w:val="32"/>
        </w:rPr>
        <w:br w:type="page"/>
      </w:r>
    </w:p>
    <w:p w14:paraId="0208832E">
      <w:pPr>
        <w:pStyle w:val="6"/>
        <w:keepNext/>
        <w:keepLines/>
        <w:pageBreakBefore w:val="0"/>
        <w:widowControl w:val="0"/>
        <w:kinsoku/>
        <w:wordWrap/>
        <w:overflowPunct/>
        <w:topLinePunct w:val="0"/>
        <w:autoSpaceDE/>
        <w:autoSpaceDN/>
        <w:bidi w:val="0"/>
        <w:adjustRightInd/>
        <w:snapToGrid/>
        <w:spacing w:line="580" w:lineRule="exact"/>
        <w:textAlignment w:val="auto"/>
        <w:rPr>
          <w:rFonts w:hint="eastAsia" w:ascii="楷体" w:hAnsi="楷体" w:eastAsia="楷体" w:cs="楷体"/>
          <w:sz w:val="32"/>
          <w:szCs w:val="32"/>
        </w:rPr>
      </w:pPr>
      <w:bookmarkStart w:id="89" w:name="_Toc29889"/>
      <w:r>
        <w:rPr>
          <w:rFonts w:hint="eastAsia" w:ascii="楷体" w:hAnsi="楷体" w:eastAsia="楷体" w:cs="楷体"/>
          <w:sz w:val="32"/>
          <w:szCs w:val="32"/>
        </w:rPr>
        <w:t>2.3.2卸油工艺流程</w:t>
      </w:r>
      <w:bookmarkEnd w:id="88"/>
      <w:bookmarkEnd w:id="89"/>
    </w:p>
    <w:p w14:paraId="214FEA99">
      <w:pPr>
        <w:tabs>
          <w:tab w:val="left" w:pos="3465"/>
        </w:tabs>
        <w:spacing w:line="600" w:lineRule="exact"/>
        <w:ind w:firstLine="560" w:firstLineChars="200"/>
        <w:rPr>
          <w:rFonts w:cs="Times New Roman"/>
          <w:sz w:val="28"/>
          <w:szCs w:val="28"/>
        </w:rPr>
      </w:pPr>
      <w:bookmarkStart w:id="90" w:name="_Toc30405"/>
      <w:r>
        <w:rPr>
          <w:rFonts w:hint="eastAsia" w:cs="宋体"/>
          <w:sz w:val="28"/>
          <w:szCs w:val="28"/>
          <w:lang w:val="en-US" w:eastAsia="zh-CN"/>
        </w:rPr>
        <w:t>依据</w:t>
      </w:r>
      <w:r>
        <w:rPr>
          <w:rFonts w:hint="eastAsia" w:cs="宋体"/>
          <w:sz w:val="28"/>
          <w:szCs w:val="28"/>
          <w:lang w:eastAsia="zh-CN"/>
        </w:rPr>
        <w:t>《</w:t>
      </w:r>
      <w:r>
        <w:rPr>
          <w:rFonts w:hint="eastAsia" w:cs="宋体"/>
          <w:sz w:val="28"/>
          <w:szCs w:val="28"/>
        </w:rPr>
        <w:t>加油站作业安全规范》</w:t>
      </w:r>
      <w:r>
        <w:rPr>
          <w:rFonts w:hint="eastAsia" w:asciiTheme="majorEastAsia" w:hAnsiTheme="majorEastAsia" w:eastAsiaTheme="majorEastAsia" w:cstheme="majorEastAsia"/>
          <w:sz w:val="28"/>
          <w:szCs w:val="28"/>
        </w:rPr>
        <w:t>AQ3010-2022</w:t>
      </w:r>
      <w:r>
        <w:rPr>
          <w:rFonts w:hint="eastAsia" w:cs="宋体"/>
          <w:sz w:val="28"/>
          <w:szCs w:val="28"/>
          <w:lang w:eastAsia="zh-CN"/>
        </w:rPr>
        <w:t>，</w:t>
      </w:r>
      <w:r>
        <w:rPr>
          <w:rFonts w:hint="eastAsia" w:cs="宋体"/>
          <w:sz w:val="28"/>
          <w:szCs w:val="28"/>
        </w:rPr>
        <w:t>油料用油罐车从石油库运至加油站罐区后，在卸油口附近停稳熄火，司机和卸油人员通过静电导除器消除静电，油罐车在卸油前先用防静电接地装置对油罐车进行接地，消除运输过程中产生的静电，消防设施到位后，确保加油机停止作业，用卸油连通软管连接油罐车卸油接口和卸油点的卸油罐接口，</w:t>
      </w:r>
      <w:r>
        <w:rPr>
          <w:rFonts w:hint="eastAsia" w:ascii="宋体" w:hAnsi="宋体" w:eastAsia="宋体" w:cs="宋体"/>
          <w:sz w:val="28"/>
          <w:szCs w:val="28"/>
          <w:lang w:val="en-US" w:eastAsia="zh-CN"/>
        </w:rPr>
        <w:t>静置5分钟清除</w:t>
      </w:r>
      <w:r>
        <w:rPr>
          <w:rFonts w:hint="eastAsia" w:cs="宋体"/>
          <w:sz w:val="28"/>
          <w:szCs w:val="28"/>
          <w:lang w:val="en-US" w:eastAsia="zh-CN"/>
        </w:rPr>
        <w:t>静电。</w:t>
      </w:r>
      <w:r>
        <w:rPr>
          <w:rFonts w:hint="eastAsia" w:cs="宋体"/>
          <w:sz w:val="28"/>
          <w:szCs w:val="28"/>
        </w:rPr>
        <w:t>开启阀门，然后用快速接头将油罐车的卸油管及油气回收管线与埋地储油罐的快速密闭卸油口连接在一起，再开始卸油。油品卸完后，检查没有溢油、漏油后，人工封闭好油罐进油口和罐车卸油口，拆除连通软管及静电接地装置</w:t>
      </w:r>
      <w:r>
        <w:rPr>
          <w:rFonts w:hint="eastAsia" w:cs="宋体"/>
          <w:sz w:val="28"/>
          <w:szCs w:val="28"/>
          <w:lang w:eastAsia="zh-CN"/>
        </w:rPr>
        <w:t>，</w:t>
      </w:r>
      <w:r>
        <w:rPr>
          <w:rFonts w:hint="eastAsia" w:cs="宋体"/>
          <w:sz w:val="28"/>
          <w:szCs w:val="28"/>
        </w:rPr>
        <w:t>发动油品罐车缓慢离开罐区。</w:t>
      </w:r>
    </w:p>
    <w:p w14:paraId="2D72653F">
      <w:pPr>
        <w:tabs>
          <w:tab w:val="left" w:pos="3465"/>
        </w:tabs>
        <w:spacing w:line="600" w:lineRule="exact"/>
        <w:ind w:firstLine="560" w:firstLineChars="200"/>
        <w:rPr>
          <w:rFonts w:cs="Times New Roman"/>
          <w:sz w:val="28"/>
          <w:szCs w:val="28"/>
        </w:rPr>
      </w:pPr>
      <w:r>
        <w:rPr>
          <w:rFonts w:hint="eastAsia" w:cs="宋体"/>
          <w:sz w:val="28"/>
          <w:szCs w:val="28"/>
        </w:rPr>
        <w:t>①汽油卸油工艺：本站采用汽油油气回收的卸油工艺。</w:t>
      </w:r>
    </w:p>
    <w:p w14:paraId="52F28464">
      <w:pPr>
        <w:tabs>
          <w:tab w:val="left" w:pos="3465"/>
        </w:tabs>
        <w:spacing w:line="600" w:lineRule="exact"/>
        <w:ind w:firstLine="560" w:firstLineChars="200"/>
        <w:rPr>
          <w:rFonts w:cs="Times New Roman"/>
          <w:sz w:val="28"/>
          <w:szCs w:val="28"/>
        </w:rPr>
      </w:pPr>
      <w:r>
        <w:rPr>
          <w:rFonts w:hint="eastAsia" w:cs="宋体"/>
          <w:sz w:val="28"/>
          <w:szCs w:val="28"/>
        </w:rPr>
        <w:t>在油罐车卸油过程中，将油罐内油气通过油气回收地下工艺管线收集至油罐车内。</w:t>
      </w:r>
    </w:p>
    <w:p w14:paraId="0D4FB290">
      <w:pPr>
        <w:tabs>
          <w:tab w:val="left" w:pos="3465"/>
        </w:tabs>
        <w:spacing w:line="600" w:lineRule="exact"/>
        <w:ind w:firstLine="560" w:firstLineChars="200"/>
        <w:rPr>
          <w:rFonts w:ascii="Times New Roman" w:hAnsi="Times New Roman" w:cs="Times New Roman"/>
          <w:sz w:val="28"/>
          <w:szCs w:val="28"/>
        </w:rPr>
      </w:pPr>
      <w:r>
        <w:rPr>
          <w:rFonts w:hint="eastAsia" w:cs="宋体"/>
          <w:sz w:val="28"/>
          <w:szCs w:val="28"/>
        </w:rPr>
        <w:t>带油气回收的汽油卸油工艺，流程图如下：</w:t>
      </w:r>
    </w:p>
    <w:p w14:paraId="202A1DFD">
      <w:pPr>
        <w:pStyle w:val="9"/>
        <w:spacing w:line="240" w:lineRule="atLeast"/>
        <w:ind w:left="420" w:firstLine="480"/>
        <w:rPr>
          <w:rFonts w:ascii="Times New Roman" w:hAnsi="Times New Roman" w:cs="Times New Roman"/>
          <w:lang w:val="zh-CN"/>
        </w:rPr>
      </w:pPr>
      <w:r>
        <mc:AlternateContent>
          <mc:Choice Requires="wpg">
            <w:drawing>
              <wp:anchor distT="0" distB="0" distL="114300" distR="114300" simplePos="0" relativeHeight="251661312" behindDoc="0" locked="0" layoutInCell="1" allowOverlap="1">
                <wp:simplePos x="0" y="0"/>
                <wp:positionH relativeFrom="column">
                  <wp:posOffset>381635</wp:posOffset>
                </wp:positionH>
                <wp:positionV relativeFrom="paragraph">
                  <wp:posOffset>196850</wp:posOffset>
                </wp:positionV>
                <wp:extent cx="4905375" cy="1019810"/>
                <wp:effectExtent l="4445" t="5080" r="5080" b="13335"/>
                <wp:wrapNone/>
                <wp:docPr id="38" name="组合 17"/>
                <wp:cNvGraphicFramePr/>
                <a:graphic xmlns:a="http://schemas.openxmlformats.org/drawingml/2006/main">
                  <a:graphicData uri="http://schemas.microsoft.com/office/word/2010/wordprocessingGroup">
                    <wpg:wgp>
                      <wpg:cNvGrpSpPr/>
                      <wpg:grpSpPr>
                        <a:xfrm>
                          <a:off x="0" y="0"/>
                          <a:ext cx="4905375" cy="1019810"/>
                          <a:chOff x="0" y="0"/>
                          <a:chExt cx="7725" cy="1606"/>
                        </a:xfrm>
                      </wpg:grpSpPr>
                      <wps:wsp>
                        <wps:cNvPr id="23" name="文本框 18"/>
                        <wps:cNvSpPr txBox="1"/>
                        <wps:spPr>
                          <a:xfrm>
                            <a:off x="0" y="0"/>
                            <a:ext cx="142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6F85EDE">
                              <w:pPr>
                                <w:rPr>
                                  <w:rFonts w:cs="Times New Roman"/>
                                </w:rPr>
                              </w:pPr>
                              <w:r>
                                <w:rPr>
                                  <w:rFonts w:hint="eastAsia"/>
                                </w:rPr>
                                <w:t>汽车油罐车车车</w:t>
                              </w:r>
                            </w:p>
                          </w:txbxContent>
                        </wps:txbx>
                        <wps:bodyPr upright="1"/>
                      </wps:wsp>
                      <wps:wsp>
                        <wps:cNvPr id="24" name="直线 19"/>
                        <wps:cNvCnPr/>
                        <wps:spPr>
                          <a:xfrm>
                            <a:off x="1432" y="232"/>
                            <a:ext cx="644" cy="1"/>
                          </a:xfrm>
                          <a:prstGeom prst="line">
                            <a:avLst/>
                          </a:prstGeom>
                          <a:ln w="19050" cap="flat" cmpd="sng">
                            <a:solidFill>
                              <a:srgbClr val="000000"/>
                            </a:solidFill>
                            <a:prstDash val="solid"/>
                            <a:headEnd type="none" w="med" len="med"/>
                            <a:tailEnd type="triangle" w="med" len="med"/>
                          </a:ln>
                        </wps:spPr>
                        <wps:bodyPr upright="1"/>
                      </wps:wsp>
                      <wps:wsp>
                        <wps:cNvPr id="25" name="文本框 20"/>
                        <wps:cNvSpPr txBox="1"/>
                        <wps:spPr>
                          <a:xfrm>
                            <a:off x="2115" y="0"/>
                            <a:ext cx="1412"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858D596">
                              <w:pPr>
                                <w:jc w:val="center"/>
                                <w:rPr>
                                  <w:rFonts w:cs="Times New Roman"/>
                                </w:rPr>
                              </w:pPr>
                              <w:r>
                                <w:rPr>
                                  <w:rFonts w:hint="eastAsia"/>
                                </w:rPr>
                                <w:t>导静电软管</w:t>
                              </w:r>
                            </w:p>
                          </w:txbxContent>
                        </wps:txbx>
                        <wps:bodyPr upright="1"/>
                      </wps:wsp>
                      <wps:wsp>
                        <wps:cNvPr id="26" name="直线 21"/>
                        <wps:cNvCnPr/>
                        <wps:spPr>
                          <a:xfrm>
                            <a:off x="3543" y="221"/>
                            <a:ext cx="644" cy="1"/>
                          </a:xfrm>
                          <a:prstGeom prst="line">
                            <a:avLst/>
                          </a:prstGeom>
                          <a:ln w="19050" cap="flat" cmpd="sng">
                            <a:solidFill>
                              <a:srgbClr val="000000"/>
                            </a:solidFill>
                            <a:prstDash val="solid"/>
                            <a:headEnd type="none" w="med" len="med"/>
                            <a:tailEnd type="triangle" w="med" len="med"/>
                          </a:ln>
                        </wps:spPr>
                        <wps:bodyPr upright="1"/>
                      </wps:wsp>
                      <wps:wsp>
                        <wps:cNvPr id="27" name="文本框 22"/>
                        <wps:cNvSpPr txBox="1"/>
                        <wps:spPr>
                          <a:xfrm>
                            <a:off x="4211" y="0"/>
                            <a:ext cx="1359"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497DBC">
                              <w:pPr>
                                <w:jc w:val="center"/>
                                <w:rPr>
                                  <w:rFonts w:cs="Times New Roman"/>
                                </w:rPr>
                              </w:pPr>
                              <w:r>
                                <w:rPr>
                                  <w:rFonts w:hint="eastAsia"/>
                                </w:rPr>
                                <w:t>快速接头</w:t>
                              </w:r>
                            </w:p>
                          </w:txbxContent>
                        </wps:txbx>
                        <wps:bodyPr upright="1"/>
                      </wps:wsp>
                      <wps:wsp>
                        <wps:cNvPr id="28" name="直线 23"/>
                        <wps:cNvCnPr/>
                        <wps:spPr>
                          <a:xfrm>
                            <a:off x="5634" y="233"/>
                            <a:ext cx="644" cy="1"/>
                          </a:xfrm>
                          <a:prstGeom prst="line">
                            <a:avLst/>
                          </a:prstGeom>
                          <a:ln w="19050" cap="flat" cmpd="sng">
                            <a:solidFill>
                              <a:srgbClr val="000000"/>
                            </a:solidFill>
                            <a:prstDash val="solid"/>
                            <a:headEnd type="none" w="med" len="med"/>
                            <a:tailEnd type="triangle" w="med" len="med"/>
                          </a:ln>
                        </wps:spPr>
                        <wps:bodyPr upright="1"/>
                      </wps:wsp>
                      <wps:wsp>
                        <wps:cNvPr id="29" name="文本框 24"/>
                        <wps:cNvSpPr txBox="1"/>
                        <wps:spPr>
                          <a:xfrm>
                            <a:off x="6375" y="13"/>
                            <a:ext cx="1350" cy="46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1D742A">
                              <w:pPr>
                                <w:ind w:left="-34" w:leftChars="-66" w:right="-134" w:rightChars="-64" w:hanging="105" w:hangingChars="50"/>
                                <w:jc w:val="center"/>
                                <w:rPr>
                                  <w:rFonts w:cs="Times New Roman"/>
                                </w:rPr>
                              </w:pPr>
                              <w:r>
                                <w:rPr>
                                  <w:rFonts w:hint="eastAsia"/>
                                </w:rPr>
                                <w:t>埋地油罐</w:t>
                              </w:r>
                            </w:p>
                          </w:txbxContent>
                        </wps:txbx>
                        <wps:bodyPr upright="1"/>
                      </wps:wsp>
                      <wps:wsp>
                        <wps:cNvPr id="30" name="直线 25"/>
                        <wps:cNvCnPr/>
                        <wps:spPr>
                          <a:xfrm rot="5400000">
                            <a:off x="6682" y="809"/>
                            <a:ext cx="644" cy="1"/>
                          </a:xfrm>
                          <a:prstGeom prst="line">
                            <a:avLst/>
                          </a:prstGeom>
                          <a:ln w="19050" cap="flat" cmpd="sng">
                            <a:solidFill>
                              <a:srgbClr val="000000"/>
                            </a:solidFill>
                            <a:prstDash val="dash"/>
                            <a:headEnd type="none" w="med" len="med"/>
                            <a:tailEnd type="triangle" w="med" len="med"/>
                          </a:ln>
                        </wps:spPr>
                        <wps:bodyPr upright="1"/>
                      </wps:wsp>
                      <wps:wsp>
                        <wps:cNvPr id="31" name="文本框 26"/>
                        <wps:cNvSpPr txBox="1"/>
                        <wps:spPr>
                          <a:xfrm>
                            <a:off x="6376" y="1140"/>
                            <a:ext cx="1325"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2FE4DD">
                              <w:pPr>
                                <w:jc w:val="center"/>
                                <w:rPr>
                                  <w:rFonts w:cs="Times New Roman"/>
                                </w:rPr>
                              </w:pPr>
                              <w:r>
                                <w:rPr>
                                  <w:rFonts w:hint="eastAsia"/>
                                </w:rPr>
                                <w:t>快速接头</w:t>
                              </w:r>
                            </w:p>
                          </w:txbxContent>
                        </wps:txbx>
                        <wps:bodyPr upright="1"/>
                      </wps:wsp>
                      <wps:wsp>
                        <wps:cNvPr id="32" name="文本框 27"/>
                        <wps:cNvSpPr txBox="1"/>
                        <wps:spPr>
                          <a:xfrm>
                            <a:off x="4186" y="1125"/>
                            <a:ext cx="1369"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36A271">
                              <w:pPr>
                                <w:rPr>
                                  <w:rFonts w:cs="Times New Roman"/>
                                </w:rPr>
                              </w:pPr>
                              <w:r>
                                <w:rPr>
                                  <w:rFonts w:hint="eastAsia"/>
                                </w:rPr>
                                <w:t>导静电软管</w:t>
                              </w:r>
                            </w:p>
                          </w:txbxContent>
                        </wps:txbx>
                        <wps:bodyPr upright="1"/>
                      </wps:wsp>
                      <wps:wsp>
                        <wps:cNvPr id="33" name="直线 28"/>
                        <wps:cNvCnPr/>
                        <wps:spPr>
                          <a:xfrm rot="10800000">
                            <a:off x="5613" y="1346"/>
                            <a:ext cx="644" cy="1"/>
                          </a:xfrm>
                          <a:prstGeom prst="line">
                            <a:avLst/>
                          </a:prstGeom>
                          <a:ln w="19050" cap="flat" cmpd="sng">
                            <a:solidFill>
                              <a:srgbClr val="000000"/>
                            </a:solidFill>
                            <a:prstDash val="dash"/>
                            <a:headEnd type="none" w="med" len="med"/>
                            <a:tailEnd type="triangle" w="med" len="med"/>
                          </a:ln>
                        </wps:spPr>
                        <wps:bodyPr upright="1"/>
                      </wps:wsp>
                      <wps:wsp>
                        <wps:cNvPr id="34" name="直线 29"/>
                        <wps:cNvCnPr/>
                        <wps:spPr>
                          <a:xfrm rot="10800000">
                            <a:off x="3303" y="1359"/>
                            <a:ext cx="717" cy="3"/>
                          </a:xfrm>
                          <a:prstGeom prst="line">
                            <a:avLst/>
                          </a:prstGeom>
                          <a:ln w="19050" cap="flat" cmpd="sng">
                            <a:solidFill>
                              <a:srgbClr val="000000"/>
                            </a:solidFill>
                            <a:prstDash val="dash"/>
                            <a:headEnd type="none" w="med" len="med"/>
                            <a:tailEnd type="triangle" w="med" len="med"/>
                          </a:ln>
                        </wps:spPr>
                        <wps:bodyPr upright="1"/>
                      </wps:wsp>
                      <wps:wsp>
                        <wps:cNvPr id="35" name="文本框 30"/>
                        <wps:cNvSpPr txBox="1"/>
                        <wps:spPr>
                          <a:xfrm>
                            <a:off x="1935" y="1140"/>
                            <a:ext cx="128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3F9E0A6">
                              <w:pPr>
                                <w:jc w:val="center"/>
                                <w:rPr>
                                  <w:rFonts w:cs="Times New Roman"/>
                                </w:rPr>
                              </w:pPr>
                              <w:r>
                                <w:rPr>
                                  <w:rFonts w:hint="eastAsia"/>
                                </w:rPr>
                                <w:t>快速接头</w:t>
                              </w:r>
                            </w:p>
                          </w:txbxContent>
                        </wps:txbx>
                        <wps:bodyPr upright="1"/>
                      </wps:wsp>
                      <wps:wsp>
                        <wps:cNvPr id="36" name="直线 31"/>
                        <wps:cNvCnPr/>
                        <wps:spPr>
                          <a:xfrm rot="-10800000" flipV="1">
                            <a:off x="915" y="1330"/>
                            <a:ext cx="902" cy="16"/>
                          </a:xfrm>
                          <a:prstGeom prst="line">
                            <a:avLst/>
                          </a:prstGeom>
                          <a:ln w="19050" cap="flat" cmpd="sng">
                            <a:solidFill>
                              <a:srgbClr val="000000"/>
                            </a:solidFill>
                            <a:prstDash val="dash"/>
                            <a:headEnd type="none" w="med" len="med"/>
                            <a:tailEnd type="none" w="med" len="med"/>
                          </a:ln>
                        </wps:spPr>
                        <wps:bodyPr upright="1"/>
                      </wps:wsp>
                      <wps:wsp>
                        <wps:cNvPr id="37" name="直线 32"/>
                        <wps:cNvCnPr/>
                        <wps:spPr>
                          <a:xfrm rot="-5400000">
                            <a:off x="426" y="869"/>
                            <a:ext cx="644" cy="1"/>
                          </a:xfrm>
                          <a:prstGeom prst="line">
                            <a:avLst/>
                          </a:prstGeom>
                          <a:ln w="19050" cap="flat" cmpd="sng">
                            <a:solidFill>
                              <a:srgbClr val="000000"/>
                            </a:solidFill>
                            <a:prstDash val="dash"/>
                            <a:headEnd type="none" w="med" len="med"/>
                            <a:tailEnd type="triangle" w="med" len="med"/>
                          </a:ln>
                        </wps:spPr>
                        <wps:bodyPr upright="1"/>
                      </wps:wsp>
                    </wpg:wgp>
                  </a:graphicData>
                </a:graphic>
              </wp:anchor>
            </w:drawing>
          </mc:Choice>
          <mc:Fallback>
            <w:pict>
              <v:group id="组合 17" o:spid="_x0000_s1026" o:spt="203" style="position:absolute;left:0pt;margin-left:30.05pt;margin-top:15.5pt;height:80.3pt;width:386.25pt;z-index:251661312;mso-width-relative:page;mso-height-relative:page;" coordsize="7725,1606" o:gfxdata="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">
                <o:lock v:ext="edit" aspectratio="f"/>
                <v:shape id="文本框 18" o:spid="_x0000_s1026" o:spt="202" type="#_x0000_t202" style="position:absolute;left:0;top:0;height:466;width:1420;" fillcolor="#FFFFFF" filled="t" stroked="t" coordsize="21600,21600" o:gfxdata="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osT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6F85EDE">
                        <w:pPr>
                          <w:rPr>
                            <w:rFonts w:cs="Times New Roman"/>
                          </w:rPr>
                        </w:pPr>
                        <w:r>
                          <w:rPr>
                            <w:rFonts w:hint="eastAsia"/>
                          </w:rPr>
                          <w:t>汽车油罐车车车</w:t>
                        </w:r>
                      </w:p>
                    </w:txbxContent>
                  </v:textbox>
                </v:shape>
                <v:line id="直线 19" o:spid="_x0000_s1026" o:spt="20" style="position:absolute;left:1432;top:232;height:1;width:644;" filled="f" stroked="t" coordsize="21600,21600" o:gfxdata="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067NS8AAAA&#10;2wAAAA8AAAAAAAAAAQAgAAAAIgAAAGRycy9kb3ducmV2LnhtbFBLAQIUABQAAAAIAIdO4kAzLwWe&#10;OwAAADkAAAAQAAAAAAAAAAEAIAAAAAsBAABkcnMvc2hhcGV4bWwueG1sUEsFBgAAAAAGAAYAWwEA&#10;ALUDAAAAAA==&#10;">
                  <v:fill on="f" focussize="0,0"/>
                  <v:stroke weight="1.5pt" color="#000000" joinstyle="round" endarrow="block"/>
                  <v:imagedata o:title=""/>
                  <o:lock v:ext="edit" aspectratio="f"/>
                </v:line>
                <v:shape id="文本框 20" o:spid="_x0000_s1026" o:spt="202" type="#_x0000_t202" style="position:absolute;left:2115;top:0;height:466;width:1412;" fillcolor="#FFFFFF" filled="t" stroked="t" coordsize="21600,21600" o:gfxdata="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7b8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858D596">
                        <w:pPr>
                          <w:jc w:val="center"/>
                          <w:rPr>
                            <w:rFonts w:cs="Times New Roman"/>
                          </w:rPr>
                        </w:pPr>
                        <w:r>
                          <w:rPr>
                            <w:rFonts w:hint="eastAsia"/>
                          </w:rPr>
                          <w:t>导静电软管</w:t>
                        </w:r>
                      </w:p>
                    </w:txbxContent>
                  </v:textbox>
                </v:shape>
                <v:line id="直线 21" o:spid="_x0000_s1026" o:spt="20" style="position:absolute;left:3543;top:221;height:1;width:644;" filled="f" stroked="t" coordsize="21600,21600" o:gfxdata="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qTXOLsAAADb&#10;AAAADwAAAAAAAAABACAAAAAiAAAAZHJzL2Rvd25yZXYueG1sUEsBAhQAFAAAAAgAh07iQDMvBZ47&#10;AAAAOQAAABAAAAAAAAAAAQAgAAAACgEAAGRycy9zaGFwZXhtbC54bWxQSwUGAAAAAAYABgBbAQAA&#10;tAMAAAAA&#10;">
                  <v:fill on="f" focussize="0,0"/>
                  <v:stroke weight="1.5pt" color="#000000" joinstyle="round" endarrow="block"/>
                  <v:imagedata o:title=""/>
                  <o:lock v:ext="edit" aspectratio="f"/>
                </v:line>
                <v:shape id="文本框 22" o:spid="_x0000_s1026" o:spt="202" type="#_x0000_t202" style="position:absolute;left:4211;top:0;height:466;width:1359;" fillcolor="#FFFFFF" filled="t" stroked="t" coordsize="21600,21600" o:gfxdata="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BjRC/&#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33497DBC">
                        <w:pPr>
                          <w:jc w:val="center"/>
                          <w:rPr>
                            <w:rFonts w:cs="Times New Roman"/>
                          </w:rPr>
                        </w:pPr>
                        <w:r>
                          <w:rPr>
                            <w:rFonts w:hint="eastAsia"/>
                          </w:rPr>
                          <w:t>快速接头</w:t>
                        </w:r>
                      </w:p>
                    </w:txbxContent>
                  </v:textbox>
                </v:shape>
                <v:line id="直线 23" o:spid="_x0000_s1026" o:spt="20" style="position:absolute;left:5634;top:233;height:1;width:644;" filled="f" stroked="t" coordsize="21600,21600" o:gfxdata="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Hfm0bgAAADbAAAA&#10;DwAAAAAAAAABACAAAAAiAAAAZHJzL2Rvd25yZXYueG1sUEsBAhQAFAAAAAgAh07iQDMvBZ47AAAA&#10;OQAAABAAAAAAAAAAAQAgAAAABwEAAGRycy9zaGFwZXhtbC54bWxQSwUGAAAAAAYABgBbAQAAsQMA&#10;AAAA&#10;">
                  <v:fill on="f" focussize="0,0"/>
                  <v:stroke weight="1.5pt" color="#000000" joinstyle="round" endarrow="block"/>
                  <v:imagedata o:title=""/>
                  <o:lock v:ext="edit" aspectratio="f"/>
                </v:line>
                <v:shape id="文本框 24" o:spid="_x0000_s1026" o:spt="202" type="#_x0000_t202" style="position:absolute;left:6375;top:13;height:467;width:1350;" fillcolor="#FFFFFF" filled="t" stroked="t" coordsize="21600,21600" o:gfxdata="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Erz5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B1D742A">
                        <w:pPr>
                          <w:ind w:left="-34" w:leftChars="-66" w:right="-134" w:rightChars="-64" w:hanging="105" w:hangingChars="50"/>
                          <w:jc w:val="center"/>
                          <w:rPr>
                            <w:rFonts w:cs="Times New Roman"/>
                          </w:rPr>
                        </w:pPr>
                        <w:r>
                          <w:rPr>
                            <w:rFonts w:hint="eastAsia"/>
                          </w:rPr>
                          <w:t>埋地油罐</w:t>
                        </w:r>
                      </w:p>
                    </w:txbxContent>
                  </v:textbox>
                </v:shape>
                <v:line id="直线 25" o:spid="_x0000_s1026" o:spt="20" style="position:absolute;left:6682;top:809;height:1;width:644;rotation:5898240f;" filled="f" stroked="t" coordsize="21600,21600" o:gfxdata="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3IVSS5AAAA2wAA&#10;AA8AAAAAAAAAAQAgAAAAIgAAAGRycy9kb3ducmV2LnhtbFBLAQIUABQAAAAIAIdO4kAzLwWeOwAA&#10;ADkAAAAQAAAAAAAAAAEAIAAAAAgBAABkcnMvc2hhcGV4bWwueG1sUEsFBgAAAAAGAAYAWwEAALID&#10;AAAAAA==&#10;">
                  <v:fill on="f" focussize="0,0"/>
                  <v:stroke weight="1.5pt" color="#000000" joinstyle="round" dashstyle="dash" endarrow="block"/>
                  <v:imagedata o:title=""/>
                  <o:lock v:ext="edit" aspectratio="f"/>
                </v:line>
                <v:shape id="文本框 26" o:spid="_x0000_s1026" o:spt="202" type="#_x0000_t202" style="position:absolute;left:6376;top:1140;height:466;width:1325;" fillcolor="#FFFFFF" filled="t" stroked="t" coordsize="21600,21600" o:gfxdata="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0mI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E2FE4DD">
                        <w:pPr>
                          <w:jc w:val="center"/>
                          <w:rPr>
                            <w:rFonts w:cs="Times New Roman"/>
                          </w:rPr>
                        </w:pPr>
                        <w:r>
                          <w:rPr>
                            <w:rFonts w:hint="eastAsia"/>
                          </w:rPr>
                          <w:t>快速接头</w:t>
                        </w:r>
                      </w:p>
                    </w:txbxContent>
                  </v:textbox>
                </v:shape>
                <v:shape id="文本框 27" o:spid="_x0000_s1026" o:spt="202" type="#_x0000_t202" style="position:absolute;left:4186;top:1125;height:466;width:1369;" fillcolor="#FFFFFF" filled="t" stroked="t" coordsize="21600,21600" o:gfxdata="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b7hV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336A271">
                        <w:pPr>
                          <w:rPr>
                            <w:rFonts w:cs="Times New Roman"/>
                          </w:rPr>
                        </w:pPr>
                        <w:r>
                          <w:rPr>
                            <w:rFonts w:hint="eastAsia"/>
                          </w:rPr>
                          <w:t>导静电软管</w:t>
                        </w:r>
                      </w:p>
                    </w:txbxContent>
                  </v:textbox>
                </v:shape>
                <v:line id="直线 28" o:spid="_x0000_s1026" o:spt="20" style="position:absolute;left:5613;top:1346;height:1;width:644;rotation:11796480f;" filled="f" stroked="t" coordsize="21600,21600" o:gfxdata="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VPmbrsAAADb&#10;AAAADwAAAAAAAAABACAAAAAiAAAAZHJzL2Rvd25yZXYueG1sUEsBAhQAFAAAAAgAh07iQDMvBZ47&#10;AAAAOQAAABAAAAAAAAAAAQAgAAAACgEAAGRycy9zaGFwZXhtbC54bWxQSwUGAAAAAAYABgBbAQAA&#10;tAMAAAAA&#10;">
                  <v:fill on="f" focussize="0,0"/>
                  <v:stroke weight="1.5pt" color="#000000" joinstyle="round" dashstyle="dash" endarrow="block"/>
                  <v:imagedata o:title=""/>
                  <o:lock v:ext="edit" aspectratio="f"/>
                </v:line>
                <v:line id="直线 29" o:spid="_x0000_s1026" o:spt="20" style="position:absolute;left:3303;top:1359;height:3;width:717;rotation:11796480f;" filled="f" stroked="t" coordsize="21600,21600" o:gfxdata="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un4augAAANsA&#10;AAAPAAAAAAAAAAEAIAAAACIAAABkcnMvZG93bnJldi54bWxQSwECFAAUAAAACACHTuJAMy8FnjsA&#10;AAA5AAAAEAAAAAAAAAABACAAAAAJAQAAZHJzL3NoYXBleG1sLnhtbFBLBQYAAAAABgAGAFsBAACz&#10;AwAAAAA=&#10;">
                  <v:fill on="f" focussize="0,0"/>
                  <v:stroke weight="1.5pt" color="#000000" joinstyle="round" dashstyle="dash" endarrow="block"/>
                  <v:imagedata o:title=""/>
                  <o:lock v:ext="edit" aspectratio="f"/>
                </v:line>
                <v:shape id="文本框 30" o:spid="_x0000_s1026" o:spt="202" type="#_x0000_t202" style="position:absolute;left:1935;top:1140;height:466;width:1280;" fillcolor="#FFFFFF" filled="t" stroked="t" coordsize="21600,21600" o:gfxdata="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iAh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3F9E0A6">
                        <w:pPr>
                          <w:jc w:val="center"/>
                          <w:rPr>
                            <w:rFonts w:cs="Times New Roman"/>
                          </w:rPr>
                        </w:pPr>
                        <w:r>
                          <w:rPr>
                            <w:rFonts w:hint="eastAsia"/>
                          </w:rPr>
                          <w:t>快速接头</w:t>
                        </w:r>
                      </w:p>
                    </w:txbxContent>
                  </v:textbox>
                </v:shape>
                <v:line id="直线 31" o:spid="_x0000_s1026" o:spt="20" style="position:absolute;left:915;top:1330;flip:y;height:16;width:902;rotation:11796480f;" filled="f" stroked="t" coordsize="21600,21600" o:gfxdata="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T4Rr4A&#10;AADbAAAADwAAAAAAAAABACAAAAAiAAAAZHJzL2Rvd25yZXYueG1sUEsBAhQAFAAAAAgAh07iQDMv&#10;BZ47AAAAOQAAABAAAAAAAAAAAQAgAAAADQEAAGRycy9zaGFwZXhtbC54bWxQSwUGAAAAAAYABgBb&#10;AQAAtwMAAAAA&#10;">
                  <v:fill on="f" focussize="0,0"/>
                  <v:stroke weight="1.5pt" color="#000000" joinstyle="round" dashstyle="dash"/>
                  <v:imagedata o:title=""/>
                  <o:lock v:ext="edit" aspectratio="f"/>
                </v:line>
                <v:line id="直线 32" o:spid="_x0000_s1026" o:spt="20" style="position:absolute;left:426;top:869;height:1;width:644;rotation:-5898240f;" filled="f" stroked="t" coordsize="21600,21600" o:gfxdata="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BCqab4A&#10;AADbAAAADwAAAAAAAAABACAAAAAiAAAAZHJzL2Rvd25yZXYueG1sUEsBAhQAFAAAAAgAh07iQDMv&#10;BZ47AAAAOQAAABAAAAAAAAAAAQAgAAAADQEAAGRycy9zaGFwZXhtbC54bWxQSwUGAAAAAAYABgBb&#10;AQAAtwMAAAAA&#10;">
                  <v:fill on="f" focussize="0,0"/>
                  <v:stroke weight="1.5pt" color="#000000" joinstyle="round" dashstyle="dash" endarrow="block"/>
                  <v:imagedata o:title=""/>
                  <o:lock v:ext="edit" aspectratio="f"/>
                </v:line>
              </v:group>
            </w:pict>
          </mc:Fallback>
        </mc:AlternateContent>
      </w:r>
    </w:p>
    <w:p w14:paraId="5D5B02F9">
      <w:pPr>
        <w:spacing w:line="600" w:lineRule="exact"/>
        <w:rPr>
          <w:rFonts w:ascii="Times New Roman" w:hAnsi="Times New Roman" w:eastAsia="仿宋_GB2312" w:cs="Times New Roman"/>
          <w:sz w:val="28"/>
          <w:szCs w:val="28"/>
        </w:rPr>
      </w:pPr>
    </w:p>
    <w:p w14:paraId="0A8D632F">
      <w:pPr>
        <w:spacing w:line="600" w:lineRule="exact"/>
        <w:rPr>
          <w:rFonts w:ascii="Times New Roman" w:hAnsi="Times New Roman" w:cs="Times New Roman"/>
          <w:b/>
          <w:bCs/>
        </w:rPr>
      </w:pPr>
    </w:p>
    <w:p w14:paraId="56A3C7C1">
      <w:pPr>
        <w:spacing w:line="600" w:lineRule="exact"/>
        <w:jc w:val="center"/>
        <w:rPr>
          <w:rFonts w:ascii="Times New Roman" w:hAnsi="Times New Roman" w:cs="Times New Roman"/>
          <w:sz w:val="24"/>
          <w:szCs w:val="24"/>
        </w:rPr>
      </w:pPr>
      <w:r>
        <w:rPr>
          <w:rFonts w:hint="eastAsia" w:ascii="Times New Roman" w:hAnsi="Times New Roman" w:cs="宋体"/>
          <w:b/>
          <w:bCs/>
        </w:rPr>
        <w:t>注：虚线箭头表示油气回收工艺路线。</w:t>
      </w:r>
    </w:p>
    <w:p w14:paraId="31E92701">
      <w:pPr>
        <w:spacing w:line="600" w:lineRule="exact"/>
        <w:ind w:firstLine="560" w:firstLineChars="200"/>
        <w:rPr>
          <w:rFonts w:ascii="Times New Roman" w:hAnsi="Times New Roman" w:cs="Times New Roman"/>
          <w:sz w:val="24"/>
          <w:szCs w:val="24"/>
        </w:rPr>
      </w:pPr>
      <w:r>
        <w:rPr>
          <w:rFonts w:hint="eastAsia" w:ascii="宋体" w:hAnsi="宋体" w:cs="宋体"/>
          <w:sz w:val="28"/>
          <w:szCs w:val="28"/>
        </w:rPr>
        <w:t>②</w:t>
      </w:r>
      <w:r>
        <w:rPr>
          <w:rFonts w:hint="eastAsia" w:ascii="Times New Roman" w:hAnsi="Times New Roman" w:cs="宋体"/>
          <w:sz w:val="28"/>
          <w:szCs w:val="28"/>
        </w:rPr>
        <w:t>柴油卸油工艺，流程图如下</w:t>
      </w:r>
      <w:r>
        <w:rPr>
          <w:rFonts w:hint="eastAsia" w:ascii="Times New Roman" w:hAnsi="Times New Roman" w:cs="宋体"/>
          <w:sz w:val="24"/>
          <w:szCs w:val="24"/>
        </w:rPr>
        <w:t>：</w:t>
      </w:r>
    </w:p>
    <w:p w14:paraId="06917094">
      <w:pPr>
        <w:spacing w:line="600" w:lineRule="exact"/>
      </w:pPr>
      <w:r>
        <mc:AlternateContent>
          <mc:Choice Requires="wpg">
            <w:drawing>
              <wp:anchor distT="0" distB="0" distL="114300" distR="114300" simplePos="0" relativeHeight="251660288" behindDoc="0" locked="0" layoutInCell="1" allowOverlap="1">
                <wp:simplePos x="0" y="0"/>
                <wp:positionH relativeFrom="column">
                  <wp:posOffset>403860</wp:posOffset>
                </wp:positionH>
                <wp:positionV relativeFrom="paragraph">
                  <wp:posOffset>90805</wp:posOffset>
                </wp:positionV>
                <wp:extent cx="5095875" cy="303530"/>
                <wp:effectExtent l="4445" t="4445" r="5080" b="6350"/>
                <wp:wrapNone/>
                <wp:docPr id="22" name="组合 33"/>
                <wp:cNvGraphicFramePr/>
                <a:graphic xmlns:a="http://schemas.openxmlformats.org/drawingml/2006/main">
                  <a:graphicData uri="http://schemas.microsoft.com/office/word/2010/wordprocessingGroup">
                    <wpg:wgp>
                      <wpg:cNvGrpSpPr/>
                      <wpg:grpSpPr>
                        <a:xfrm>
                          <a:off x="0" y="0"/>
                          <a:ext cx="5095875" cy="303530"/>
                          <a:chOff x="0" y="0"/>
                          <a:chExt cx="6729" cy="480"/>
                        </a:xfrm>
                      </wpg:grpSpPr>
                      <wps:wsp>
                        <wps:cNvPr id="15" name="文本框 34"/>
                        <wps:cNvSpPr txBox="1"/>
                        <wps:spPr>
                          <a:xfrm>
                            <a:off x="0" y="0"/>
                            <a:ext cx="1191"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06C816">
                              <w:pPr>
                                <w:jc w:val="center"/>
                                <w:rPr>
                                  <w:rFonts w:cs="Times New Roman"/>
                                </w:rPr>
                              </w:pPr>
                              <w:r>
                                <w:rPr>
                                  <w:rFonts w:hint="eastAsia" w:cs="宋体"/>
                                </w:rPr>
                                <w:t>汽车油罐车车车</w:t>
                              </w:r>
                            </w:p>
                          </w:txbxContent>
                        </wps:txbx>
                        <wps:bodyPr upright="1"/>
                      </wps:wsp>
                      <wps:wsp>
                        <wps:cNvPr id="16" name="直线 35"/>
                        <wps:cNvCnPr/>
                        <wps:spPr>
                          <a:xfrm>
                            <a:off x="1176" y="249"/>
                            <a:ext cx="540" cy="0"/>
                          </a:xfrm>
                          <a:prstGeom prst="line">
                            <a:avLst/>
                          </a:prstGeom>
                          <a:ln w="9525" cap="flat" cmpd="sng">
                            <a:solidFill>
                              <a:srgbClr val="000000"/>
                            </a:solidFill>
                            <a:prstDash val="solid"/>
                            <a:headEnd type="none" w="med" len="med"/>
                            <a:tailEnd type="triangle" w="med" len="med"/>
                          </a:ln>
                        </wps:spPr>
                        <wps:bodyPr upright="1"/>
                      </wps:wsp>
                      <wps:wsp>
                        <wps:cNvPr id="17" name="文本框 36"/>
                        <wps:cNvSpPr txBox="1"/>
                        <wps:spPr>
                          <a:xfrm>
                            <a:off x="1731" y="0"/>
                            <a:ext cx="1227"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4D97BB4">
                              <w:pPr>
                                <w:jc w:val="center"/>
                                <w:rPr>
                                  <w:rFonts w:cs="Times New Roman"/>
                                </w:rPr>
                              </w:pPr>
                              <w:r>
                                <w:rPr>
                                  <w:rFonts w:hint="eastAsia" w:cs="宋体"/>
                                </w:rPr>
                                <w:t>导静电软管</w:t>
                              </w:r>
                            </w:p>
                          </w:txbxContent>
                        </wps:txbx>
                        <wps:bodyPr upright="1"/>
                      </wps:wsp>
                      <wps:wsp>
                        <wps:cNvPr id="18" name="直线 37"/>
                        <wps:cNvCnPr/>
                        <wps:spPr>
                          <a:xfrm>
                            <a:off x="2946" y="237"/>
                            <a:ext cx="540" cy="0"/>
                          </a:xfrm>
                          <a:prstGeom prst="line">
                            <a:avLst/>
                          </a:prstGeom>
                          <a:ln w="9525" cap="flat" cmpd="sng">
                            <a:solidFill>
                              <a:srgbClr val="000000"/>
                            </a:solidFill>
                            <a:prstDash val="solid"/>
                            <a:headEnd type="none" w="med" len="med"/>
                            <a:tailEnd type="triangle" w="med" len="med"/>
                          </a:ln>
                        </wps:spPr>
                        <wps:bodyPr upright="1"/>
                      </wps:wsp>
                      <wps:wsp>
                        <wps:cNvPr id="19" name="文本框 38"/>
                        <wps:cNvSpPr txBox="1"/>
                        <wps:spPr>
                          <a:xfrm>
                            <a:off x="3531" y="0"/>
                            <a:ext cx="114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E04E06">
                              <w:pPr>
                                <w:jc w:val="center"/>
                                <w:rPr>
                                  <w:rFonts w:cs="Times New Roman"/>
                                </w:rPr>
                              </w:pPr>
                              <w:r>
                                <w:rPr>
                                  <w:rFonts w:hint="eastAsia" w:cs="宋体"/>
                                </w:rPr>
                                <w:t>快速接头</w:t>
                              </w:r>
                            </w:p>
                          </w:txbxContent>
                        </wps:txbx>
                        <wps:bodyPr upright="1"/>
                      </wps:wsp>
                      <wps:wsp>
                        <wps:cNvPr id="20" name="直线 39"/>
                        <wps:cNvCnPr/>
                        <wps:spPr>
                          <a:xfrm>
                            <a:off x="4662" y="234"/>
                            <a:ext cx="540" cy="0"/>
                          </a:xfrm>
                          <a:prstGeom prst="line">
                            <a:avLst/>
                          </a:prstGeom>
                          <a:ln w="9525" cap="flat" cmpd="sng">
                            <a:solidFill>
                              <a:srgbClr val="000000"/>
                            </a:solidFill>
                            <a:prstDash val="solid"/>
                            <a:headEnd type="none" w="med" len="med"/>
                            <a:tailEnd type="triangle" w="med" len="med"/>
                          </a:ln>
                        </wps:spPr>
                        <wps:bodyPr upright="1"/>
                      </wps:wsp>
                      <wps:wsp>
                        <wps:cNvPr id="21" name="文本框 40"/>
                        <wps:cNvSpPr txBox="1"/>
                        <wps:spPr>
                          <a:xfrm>
                            <a:off x="5220" y="12"/>
                            <a:ext cx="150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7DBD601">
                              <w:pPr>
                                <w:ind w:left="-34" w:leftChars="-66" w:right="-134" w:rightChars="-64" w:hanging="105" w:hangingChars="50"/>
                                <w:jc w:val="center"/>
                                <w:rPr>
                                  <w:rFonts w:cs="Times New Roman"/>
                                </w:rPr>
                              </w:pPr>
                              <w:r>
                                <w:rPr>
                                  <w:rFonts w:hint="eastAsia" w:cs="宋体"/>
                                </w:rPr>
                                <w:t>埋地油罐</w:t>
                              </w:r>
                            </w:p>
                          </w:txbxContent>
                        </wps:txbx>
                        <wps:bodyPr upright="1"/>
                      </wps:wsp>
                    </wpg:wgp>
                  </a:graphicData>
                </a:graphic>
              </wp:anchor>
            </w:drawing>
          </mc:Choice>
          <mc:Fallback>
            <w:pict>
              <v:group id="组合 33" o:spid="_x0000_s1026" o:spt="203" style="position:absolute;left:0pt;margin-left:31.8pt;margin-top:7.15pt;height:23.9pt;width:401.25pt;z-index:251660288;mso-width-relative:page;mso-height-relative:page;" coordsize="6729,480" o:gfxdata="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">
                <o:lock v:ext="edit" aspectratio="f"/>
                <v:shape id="文本框 34" o:spid="_x0000_s1026" o:spt="202" type="#_x0000_t202" style="position:absolute;left:0;top:0;height:468;width:1191;" fillcolor="#FFFFFF" filled="t" stroked="t" coordsize="21600,21600" o:gfxdata="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N8Q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4C06C816">
                        <w:pPr>
                          <w:jc w:val="center"/>
                          <w:rPr>
                            <w:rFonts w:cs="Times New Roman"/>
                          </w:rPr>
                        </w:pPr>
                        <w:r>
                          <w:rPr>
                            <w:rFonts w:hint="eastAsia" w:cs="宋体"/>
                          </w:rPr>
                          <w:t>汽车油罐车车车</w:t>
                        </w:r>
                      </w:p>
                    </w:txbxContent>
                  </v:textbox>
                </v:shape>
                <v:line id="直线 35" o:spid="_x0000_s1026" o:spt="20" style="position:absolute;left:1176;top:249;height:0;width:540;" filled="f" stroked="t" coordsize="21600,21600" o:gfxdata="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QzBR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文本框 36" o:spid="_x0000_s1026" o:spt="202" type="#_x0000_t202" style="position:absolute;left:1731;top:0;height:468;width:1227;" fillcolor="#FFFFFF" filled="t" stroked="t" coordsize="21600,21600" o:gfxdata="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tR62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54D97BB4">
                        <w:pPr>
                          <w:jc w:val="center"/>
                          <w:rPr>
                            <w:rFonts w:cs="Times New Roman"/>
                          </w:rPr>
                        </w:pPr>
                        <w:r>
                          <w:rPr>
                            <w:rFonts w:hint="eastAsia" w:cs="宋体"/>
                          </w:rPr>
                          <w:t>导静电软管</w:t>
                        </w:r>
                      </w:p>
                    </w:txbxContent>
                  </v:textbox>
                </v:shape>
                <v:line id="直线 37" o:spid="_x0000_s1026" o:spt="20" style="position:absolute;left:2946;top:237;height:0;width:540;" filled="f" stroked="t" coordsize="21600,21600" o:gfxdata="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f8K2/&#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38" o:spid="_x0000_s1026" o:spt="202" type="#_x0000_t202" style="position:absolute;left:3531;top:0;height:468;width:1140;" fillcolor="#FFFFFF" filled="t" stroked="t" coordsize="21600,21600" o:gfxdata="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h+dkS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0CE04E06">
                        <w:pPr>
                          <w:jc w:val="center"/>
                          <w:rPr>
                            <w:rFonts w:cs="Times New Roman"/>
                          </w:rPr>
                        </w:pPr>
                        <w:r>
                          <w:rPr>
                            <w:rFonts w:hint="eastAsia" w:cs="宋体"/>
                          </w:rPr>
                          <w:t>快速接头</w:t>
                        </w:r>
                      </w:p>
                    </w:txbxContent>
                  </v:textbox>
                </v:shape>
                <v:line id="直线 39" o:spid="_x0000_s1026" o:spt="20" style="position:absolute;left:4662;top:234;height:0;width:540;" filled="f" stroked="t" coordsize="21600,21600" o:gfxdata="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FNha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文本框 40" o:spid="_x0000_s1026" o:spt="202" type="#_x0000_t202" style="position:absolute;left:5220;top:12;height:468;width:1509;" fillcolor="#FFFFFF" filled="t" stroked="t" coordsize="21600,21600" o:gfxdata="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GSw/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7DBD601">
                        <w:pPr>
                          <w:ind w:left="-34" w:leftChars="-66" w:right="-134" w:rightChars="-64" w:hanging="105" w:hangingChars="50"/>
                          <w:jc w:val="center"/>
                          <w:rPr>
                            <w:rFonts w:cs="Times New Roman"/>
                          </w:rPr>
                        </w:pPr>
                        <w:r>
                          <w:rPr>
                            <w:rFonts w:hint="eastAsia" w:cs="宋体"/>
                          </w:rPr>
                          <w:t>埋地油罐</w:t>
                        </w:r>
                      </w:p>
                    </w:txbxContent>
                  </v:textbox>
                </v:shape>
              </v:group>
            </w:pict>
          </mc:Fallback>
        </mc:AlternateContent>
      </w:r>
      <w:bookmarkStart w:id="91" w:name="_Toc20672"/>
    </w:p>
    <w:p w14:paraId="480C1D9A">
      <w:pPr>
        <w:rPr>
          <w:rFonts w:hint="eastAsia"/>
        </w:rPr>
      </w:pPr>
      <w:r>
        <w:rPr>
          <w:rFonts w:hint="eastAsia" w:ascii="楷体" w:hAnsi="楷体" w:eastAsia="楷体" w:cs="楷体"/>
          <w:sz w:val="32"/>
          <w:szCs w:val="32"/>
        </w:rPr>
        <w:br w:type="page"/>
      </w:r>
    </w:p>
    <w:p w14:paraId="09332D0D">
      <w:pPr>
        <w:pStyle w:val="6"/>
        <w:bidi w:val="0"/>
        <w:rPr>
          <w:rFonts w:hint="eastAsia" w:ascii="楷体" w:hAnsi="楷体" w:eastAsia="楷体" w:cs="楷体"/>
          <w:sz w:val="32"/>
          <w:szCs w:val="32"/>
        </w:rPr>
      </w:pPr>
      <w:bookmarkStart w:id="92" w:name="_Toc13415"/>
      <w:r>
        <w:rPr>
          <w:rFonts w:hint="eastAsia" w:ascii="楷体" w:hAnsi="楷体" w:eastAsia="楷体" w:cs="楷体"/>
          <w:sz w:val="32"/>
          <w:szCs w:val="32"/>
        </w:rPr>
        <w:t>2.3.3加油工艺流程</w:t>
      </w:r>
      <w:bookmarkEnd w:id="90"/>
      <w:bookmarkEnd w:id="91"/>
      <w:bookmarkEnd w:id="92"/>
    </w:p>
    <w:p w14:paraId="578B8EF0">
      <w:pPr>
        <w:spacing w:line="600" w:lineRule="exact"/>
        <w:ind w:firstLine="560" w:firstLineChars="200"/>
        <w:rPr>
          <w:rFonts w:hint="eastAsia" w:ascii="Times New Roman" w:hAnsi="Times New Roman" w:cs="宋体"/>
          <w:sz w:val="28"/>
          <w:szCs w:val="28"/>
        </w:rPr>
      </w:pPr>
      <w:r>
        <w:rPr>
          <w:rFonts w:hint="eastAsia" w:ascii="Times New Roman" w:hAnsi="Times New Roman" w:cs="宋体"/>
          <w:sz w:val="28"/>
          <w:szCs w:val="28"/>
        </w:rPr>
        <w:t>加油：通过油罐内的油泵将油品从储油罐抽出，经过加油机的油气分离器、计量器（加入油品的量可以从加油机的计数器上观察到），然后用加油枪加到车油箱中。</w:t>
      </w:r>
    </w:p>
    <w:p w14:paraId="17DED88E">
      <w:pPr>
        <w:spacing w:line="600" w:lineRule="exact"/>
        <w:ind w:firstLine="560" w:firstLineChars="200"/>
        <w:rPr>
          <w:rFonts w:hint="eastAsia" w:ascii="Times New Roman" w:hAnsi="Times New Roman" w:cs="宋体"/>
          <w:sz w:val="28"/>
          <w:szCs w:val="28"/>
        </w:rPr>
      </w:pPr>
      <w:r>
        <w:rPr>
          <w:rFonts w:hint="eastAsia" w:ascii="Times New Roman" w:hAnsi="Times New Roman" w:cs="宋体"/>
          <w:sz w:val="28"/>
          <w:szCs w:val="28"/>
        </w:rPr>
        <w:t>带油气回收的加油工艺流程图如下：</w:t>
      </w:r>
    </w:p>
    <w:p w14:paraId="67BAA402">
      <w:pPr>
        <w:spacing w:line="600" w:lineRule="exact"/>
        <w:ind w:firstLine="560" w:firstLineChars="200"/>
        <w:rPr>
          <w:rFonts w:ascii="Times New Roman" w:hAnsi="Times New Roman" w:cs="Times New Roman"/>
          <w:sz w:val="28"/>
          <w:szCs w:val="28"/>
        </w:rPr>
      </w:pPr>
      <w:r>
        <w:rPr>
          <w:rFonts w:hint="eastAsia" w:ascii="宋体" w:hAnsi="宋体" w:cs="宋体"/>
          <w:sz w:val="28"/>
          <w:szCs w:val="28"/>
        </w:rPr>
        <w:t>①</w:t>
      </w:r>
      <w:r>
        <w:rPr>
          <w:rFonts w:hint="eastAsia" w:ascii="Times New Roman" w:hAnsi="Times New Roman" w:cs="宋体"/>
          <w:sz w:val="28"/>
          <w:szCs w:val="28"/>
        </w:rPr>
        <w:t>汽油加油机加油工艺：本站采用汽油油气回收的加油工艺。</w:t>
      </w:r>
    </w:p>
    <w:p w14:paraId="2356E4C6">
      <w:pPr>
        <w:spacing w:line="600" w:lineRule="exact"/>
        <w:ind w:firstLine="560" w:firstLineChars="200"/>
        <w:rPr>
          <w:rFonts w:hint="eastAsia" w:ascii="Times New Roman" w:hAnsi="Times New Roman" w:cs="宋体"/>
          <w:sz w:val="28"/>
          <w:szCs w:val="28"/>
        </w:rPr>
      </w:pPr>
      <w:r>
        <w:rPr>
          <w:rFonts w:hint="eastAsia" w:ascii="Times New Roman" w:hAnsi="Times New Roman" w:cs="宋体"/>
          <w:sz w:val="28"/>
          <w:szCs w:val="28"/>
        </w:rPr>
        <w:t>由汽油加油机收集的油气回到汽油储油罐内。</w:t>
      </w:r>
    </w:p>
    <w:p w14:paraId="6533F5D1">
      <w:r>
        <w:rPr>
          <w:rFonts w:hint="eastAsia" w:ascii="Times New Roman" w:hAnsi="Times New Roman" w:cs="宋体"/>
          <w:sz w:val="28"/>
          <w:szCs w:val="28"/>
        </w:rPr>
        <w:br w:type="page"/>
      </w:r>
    </w:p>
    <w:p w14:paraId="44FFCAE2">
      <w:pPr>
        <w:spacing w:line="240" w:lineRule="atLeast"/>
        <w:rPr>
          <w:rFonts w:ascii="Times New Roman" w:hAnsi="Times New Roman" w:cs="Times New Roman"/>
          <w:sz w:val="24"/>
          <w:szCs w:val="24"/>
        </w:rPr>
      </w:pPr>
      <w:r>
        <mc:AlternateContent>
          <mc:Choice Requires="wpg">
            <w:drawing>
              <wp:anchor distT="0" distB="0" distL="114300" distR="114300" simplePos="0" relativeHeight="251663360" behindDoc="0" locked="0" layoutInCell="1" allowOverlap="1">
                <wp:simplePos x="0" y="0"/>
                <wp:positionH relativeFrom="column">
                  <wp:posOffset>542290</wp:posOffset>
                </wp:positionH>
                <wp:positionV relativeFrom="paragraph">
                  <wp:posOffset>148590</wp:posOffset>
                </wp:positionV>
                <wp:extent cx="4685665" cy="1743710"/>
                <wp:effectExtent l="4445" t="4445" r="5715" b="13970"/>
                <wp:wrapNone/>
                <wp:docPr id="73" name="组合 41"/>
                <wp:cNvGraphicFramePr/>
                <a:graphic xmlns:a="http://schemas.openxmlformats.org/drawingml/2006/main">
                  <a:graphicData uri="http://schemas.microsoft.com/office/word/2010/wordprocessingGroup">
                    <wpg:wgp>
                      <wpg:cNvGrpSpPr/>
                      <wpg:grpSpPr>
                        <a:xfrm>
                          <a:off x="0" y="0"/>
                          <a:ext cx="4685665" cy="1743710"/>
                          <a:chOff x="0" y="0"/>
                          <a:chExt cx="7379" cy="2746"/>
                        </a:xfrm>
                      </wpg:grpSpPr>
                      <wps:wsp>
                        <wps:cNvPr id="51" name="文本框 42"/>
                        <wps:cNvSpPr txBox="1"/>
                        <wps:spPr>
                          <a:xfrm>
                            <a:off x="5535" y="1155"/>
                            <a:ext cx="1124"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D221306">
                              <w:pPr>
                                <w:jc w:val="center"/>
                                <w:rPr>
                                  <w:rFonts w:cs="Times New Roman"/>
                                </w:rPr>
                              </w:pPr>
                              <w:r>
                                <w:rPr>
                                  <w:rFonts w:hint="eastAsia" w:cs="宋体"/>
                                </w:rPr>
                                <w:t>加油枪</w:t>
                              </w:r>
                            </w:p>
                          </w:txbxContent>
                        </wps:txbx>
                        <wps:bodyPr upright="1"/>
                      </wps:wsp>
                      <wps:wsp>
                        <wps:cNvPr id="52" name="文本框 43"/>
                        <wps:cNvSpPr txBox="1"/>
                        <wps:spPr>
                          <a:xfrm>
                            <a:off x="3509" y="1140"/>
                            <a:ext cx="122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B7291E">
                              <w:pPr>
                                <w:jc w:val="center"/>
                                <w:rPr>
                                  <w:rFonts w:cs="Times New Roman"/>
                                </w:rPr>
                              </w:pPr>
                              <w:r>
                                <w:rPr>
                                  <w:rFonts w:hint="eastAsia" w:cs="宋体"/>
                                </w:rPr>
                                <w:t>受油容器</w:t>
                              </w:r>
                            </w:p>
                          </w:txbxContent>
                        </wps:txbx>
                        <wps:bodyPr upright="1"/>
                      </wps:wsp>
                      <wps:wsp>
                        <wps:cNvPr id="53" name="直线 44"/>
                        <wps:cNvCnPr/>
                        <wps:spPr>
                          <a:xfrm rot="10800000">
                            <a:off x="6692" y="2454"/>
                            <a:ext cx="644" cy="1"/>
                          </a:xfrm>
                          <a:prstGeom prst="line">
                            <a:avLst/>
                          </a:prstGeom>
                          <a:ln w="19050" cap="flat" cmpd="sng">
                            <a:solidFill>
                              <a:srgbClr val="000000"/>
                            </a:solidFill>
                            <a:prstDash val="dash"/>
                            <a:headEnd type="none" w="med" len="med"/>
                            <a:tailEnd type="triangle" w="med" len="med"/>
                          </a:ln>
                        </wps:spPr>
                        <wps:bodyPr upright="1"/>
                      </wps:wsp>
                      <wps:wsp>
                        <wps:cNvPr id="54" name="文本框 45"/>
                        <wps:cNvSpPr txBox="1"/>
                        <wps:spPr>
                          <a:xfrm>
                            <a:off x="5535" y="2250"/>
                            <a:ext cx="1124"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6B78231">
                              <w:pPr>
                                <w:jc w:val="center"/>
                                <w:rPr>
                                  <w:rFonts w:cs="Times New Roman"/>
                                </w:rPr>
                              </w:pPr>
                              <w:r>
                                <w:rPr>
                                  <w:rFonts w:hint="eastAsia" w:cs="宋体"/>
                                </w:rPr>
                                <w:t>真空泵</w:t>
                              </w:r>
                            </w:p>
                          </w:txbxContent>
                        </wps:txbx>
                        <wps:bodyPr upright="1"/>
                      </wps:wsp>
                      <wps:wsp>
                        <wps:cNvPr id="55" name="文本框 46"/>
                        <wps:cNvSpPr txBox="1"/>
                        <wps:spPr>
                          <a:xfrm>
                            <a:off x="3225" y="2280"/>
                            <a:ext cx="1501"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224A429">
                              <w:pPr>
                                <w:jc w:val="center"/>
                                <w:rPr>
                                  <w:rFonts w:cs="Times New Roman"/>
                                </w:rPr>
                              </w:pPr>
                              <w:r>
                                <w:rPr>
                                  <w:rFonts w:hint="eastAsia" w:cs="宋体"/>
                                </w:rPr>
                                <w:t>油气回收管道</w:t>
                              </w:r>
                            </w:p>
                          </w:txbxContent>
                        </wps:txbx>
                        <wps:bodyPr upright="1"/>
                      </wps:wsp>
                      <wps:wsp>
                        <wps:cNvPr id="56" name="直线 47"/>
                        <wps:cNvCnPr/>
                        <wps:spPr>
                          <a:xfrm rot="10800000">
                            <a:off x="568" y="2488"/>
                            <a:ext cx="2581" cy="12"/>
                          </a:xfrm>
                          <a:prstGeom prst="line">
                            <a:avLst/>
                          </a:prstGeom>
                          <a:ln w="19050" cap="flat" cmpd="sng">
                            <a:solidFill>
                              <a:srgbClr val="000000"/>
                            </a:solidFill>
                            <a:prstDash val="dash"/>
                            <a:headEnd type="none" w="med" len="med"/>
                            <a:tailEnd type="none" w="med" len="med"/>
                          </a:ln>
                        </wps:spPr>
                        <wps:bodyPr upright="1"/>
                      </wps:wsp>
                      <wps:wsp>
                        <wps:cNvPr id="57" name="直线 48"/>
                        <wps:cNvCnPr/>
                        <wps:spPr>
                          <a:xfrm rot="10800000">
                            <a:off x="4772" y="2484"/>
                            <a:ext cx="644" cy="1"/>
                          </a:xfrm>
                          <a:prstGeom prst="line">
                            <a:avLst/>
                          </a:prstGeom>
                          <a:ln w="19050" cap="flat" cmpd="sng">
                            <a:solidFill>
                              <a:srgbClr val="000000"/>
                            </a:solidFill>
                            <a:prstDash val="dash"/>
                            <a:headEnd type="none" w="med" len="med"/>
                            <a:tailEnd type="triangle" w="med" len="med"/>
                          </a:ln>
                        </wps:spPr>
                        <wps:bodyPr upright="1"/>
                      </wps:wsp>
                      <wps:wsp>
                        <wps:cNvPr id="58" name="直线 49"/>
                        <wps:cNvCnPr/>
                        <wps:spPr>
                          <a:xfrm rot="-5400000" flipV="1">
                            <a:off x="-454" y="1374"/>
                            <a:ext cx="1861" cy="1"/>
                          </a:xfrm>
                          <a:prstGeom prst="line">
                            <a:avLst/>
                          </a:prstGeom>
                          <a:ln w="19050" cap="flat" cmpd="sng">
                            <a:solidFill>
                              <a:srgbClr val="000000"/>
                            </a:solidFill>
                            <a:prstDash val="dash"/>
                            <a:headEnd type="none" w="med" len="med"/>
                            <a:tailEnd type="triangle" w="med" len="med"/>
                          </a:ln>
                        </wps:spPr>
                        <wps:bodyPr upright="1"/>
                      </wps:wsp>
                      <wps:wsp>
                        <wps:cNvPr id="59" name="直线 50"/>
                        <wps:cNvCnPr/>
                        <wps:spPr>
                          <a:xfrm rot="5400000">
                            <a:off x="6300" y="1386"/>
                            <a:ext cx="2054" cy="1"/>
                          </a:xfrm>
                          <a:prstGeom prst="line">
                            <a:avLst/>
                          </a:prstGeom>
                          <a:ln w="19050" cap="flat" cmpd="sng">
                            <a:solidFill>
                              <a:srgbClr val="000000"/>
                            </a:solidFill>
                            <a:prstDash val="dash"/>
                            <a:headEnd type="none" w="med" len="med"/>
                            <a:tailEnd type="none" w="med" len="med"/>
                          </a:ln>
                        </wps:spPr>
                        <wps:bodyPr upright="1"/>
                      </wps:wsp>
                      <wpg:grpSp>
                        <wpg:cNvPr id="72" name="组合 51"/>
                        <wpg:cNvGrpSpPr/>
                        <wpg:grpSpPr>
                          <a:xfrm>
                            <a:off x="0" y="0"/>
                            <a:ext cx="7379" cy="1451"/>
                            <a:chOff x="0" y="0"/>
                            <a:chExt cx="7379" cy="1451"/>
                          </a:xfrm>
                        </wpg:grpSpPr>
                        <wps:wsp>
                          <wps:cNvPr id="60" name="直线 52"/>
                          <wps:cNvCnPr/>
                          <wps:spPr>
                            <a:xfrm rot="10800000">
                              <a:off x="4802" y="1269"/>
                              <a:ext cx="644" cy="1"/>
                            </a:xfrm>
                            <a:prstGeom prst="line">
                              <a:avLst/>
                            </a:prstGeom>
                            <a:ln w="19050" cap="flat" cmpd="sng">
                              <a:solidFill>
                                <a:srgbClr val="000000"/>
                              </a:solidFill>
                              <a:prstDash val="solid"/>
                              <a:headEnd type="none" w="med" len="med"/>
                              <a:tailEnd type="triangle" w="med" len="med"/>
                            </a:ln>
                          </wps:spPr>
                          <wps:bodyPr upright="1"/>
                        </wps:wsp>
                        <wps:wsp>
                          <wps:cNvPr id="61" name="直线 53"/>
                          <wps:cNvCnPr/>
                          <wps:spPr>
                            <a:xfrm>
                              <a:off x="4862" y="1450"/>
                              <a:ext cx="644" cy="1"/>
                            </a:xfrm>
                            <a:prstGeom prst="line">
                              <a:avLst/>
                            </a:prstGeom>
                            <a:ln w="19050" cap="flat" cmpd="sng">
                              <a:solidFill>
                                <a:srgbClr val="000000"/>
                              </a:solidFill>
                              <a:prstDash val="dash"/>
                              <a:headEnd type="none" w="med" len="med"/>
                              <a:tailEnd type="triangle" w="med" len="med"/>
                            </a:ln>
                          </wps:spPr>
                          <wps:bodyPr upright="1"/>
                        </wps:wsp>
                        <wps:wsp>
                          <wps:cNvPr id="62" name="文本框 54"/>
                          <wps:cNvSpPr txBox="1"/>
                          <wps:spPr>
                            <a:xfrm>
                              <a:off x="0" y="0"/>
                              <a:ext cx="1211"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2D470F9">
                                <w:pPr>
                                  <w:rPr>
                                    <w:rFonts w:cs="Times New Roman"/>
                                  </w:rPr>
                                </w:pPr>
                                <w:r>
                                  <w:rPr>
                                    <w:rFonts w:hint="eastAsia" w:cs="宋体"/>
                                  </w:rPr>
                                  <w:t>埋地油罐</w:t>
                                </w:r>
                              </w:p>
                            </w:txbxContent>
                          </wps:txbx>
                          <wps:bodyPr upright="1"/>
                        </wps:wsp>
                        <wps:wsp>
                          <wps:cNvPr id="63" name="直线 55"/>
                          <wps:cNvCnPr/>
                          <wps:spPr>
                            <a:xfrm>
                              <a:off x="1221" y="232"/>
                              <a:ext cx="644" cy="1"/>
                            </a:xfrm>
                            <a:prstGeom prst="line">
                              <a:avLst/>
                            </a:prstGeom>
                            <a:ln w="19050" cap="flat" cmpd="sng">
                              <a:solidFill>
                                <a:srgbClr val="000000"/>
                              </a:solidFill>
                              <a:prstDash val="solid"/>
                              <a:headEnd type="none" w="med" len="med"/>
                              <a:tailEnd type="triangle" w="med" len="med"/>
                            </a:ln>
                          </wps:spPr>
                          <wps:bodyPr upright="1"/>
                        </wps:wsp>
                        <wps:wsp>
                          <wps:cNvPr id="64" name="文本框 56"/>
                          <wps:cNvSpPr txBox="1"/>
                          <wps:spPr>
                            <a:xfrm>
                              <a:off x="1905" y="15"/>
                              <a:ext cx="1004"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AE579D">
                                <w:pPr>
                                  <w:jc w:val="center"/>
                                  <w:rPr>
                                    <w:rFonts w:cs="Times New Roman"/>
                                  </w:rPr>
                                </w:pPr>
                                <w:r>
                                  <w:rPr>
                                    <w:rFonts w:hint="eastAsia" w:cs="宋体"/>
                                  </w:rPr>
                                  <w:t>潜油泵</w:t>
                                </w:r>
                              </w:p>
                            </w:txbxContent>
                          </wps:txbx>
                          <wps:bodyPr upright="1"/>
                        </wps:wsp>
                        <wps:wsp>
                          <wps:cNvPr id="65" name="直线 57"/>
                          <wps:cNvCnPr/>
                          <wps:spPr>
                            <a:xfrm>
                              <a:off x="2942" y="236"/>
                              <a:ext cx="644" cy="1"/>
                            </a:xfrm>
                            <a:prstGeom prst="line">
                              <a:avLst/>
                            </a:prstGeom>
                            <a:ln w="19050" cap="flat" cmpd="sng">
                              <a:solidFill>
                                <a:srgbClr val="000000"/>
                              </a:solidFill>
                              <a:prstDash val="solid"/>
                              <a:headEnd type="none" w="med" len="med"/>
                              <a:tailEnd type="triangle" w="med" len="med"/>
                            </a:ln>
                          </wps:spPr>
                          <wps:bodyPr upright="1"/>
                        </wps:wsp>
                        <wps:wsp>
                          <wps:cNvPr id="66" name="文本框 58"/>
                          <wps:cNvSpPr txBox="1"/>
                          <wps:spPr>
                            <a:xfrm>
                              <a:off x="3596" y="15"/>
                              <a:ext cx="118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92A104B">
                                <w:pPr>
                                  <w:jc w:val="center"/>
                                  <w:rPr>
                                    <w:rFonts w:cs="Times New Roman"/>
                                  </w:rPr>
                                </w:pPr>
                                <w:r>
                                  <w:rPr>
                                    <w:rFonts w:hint="eastAsia" w:cs="宋体"/>
                                  </w:rPr>
                                  <w:t>加油管道</w:t>
                                </w:r>
                              </w:p>
                            </w:txbxContent>
                          </wps:txbx>
                          <wps:bodyPr upright="1"/>
                        </wps:wsp>
                        <wps:wsp>
                          <wps:cNvPr id="67" name="直线 59"/>
                          <wps:cNvCnPr/>
                          <wps:spPr>
                            <a:xfrm>
                              <a:off x="4838" y="233"/>
                              <a:ext cx="644" cy="1"/>
                            </a:xfrm>
                            <a:prstGeom prst="line">
                              <a:avLst/>
                            </a:prstGeom>
                            <a:ln w="19050" cap="flat" cmpd="sng">
                              <a:solidFill>
                                <a:srgbClr val="000000"/>
                              </a:solidFill>
                              <a:prstDash val="solid"/>
                              <a:headEnd type="none" w="med" len="med"/>
                              <a:tailEnd type="triangle" w="med" len="med"/>
                            </a:ln>
                          </wps:spPr>
                          <wps:bodyPr upright="1"/>
                        </wps:wsp>
                        <wps:wsp>
                          <wps:cNvPr id="68" name="文本框 60"/>
                          <wps:cNvSpPr txBox="1"/>
                          <wps:spPr>
                            <a:xfrm>
                              <a:off x="5505" y="15"/>
                              <a:ext cx="1154" cy="46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E8723D">
                                <w:pPr>
                                  <w:ind w:left="-34" w:leftChars="-66" w:right="-134" w:rightChars="-64" w:hanging="105" w:hangingChars="50"/>
                                  <w:jc w:val="center"/>
                                  <w:rPr>
                                    <w:rFonts w:cs="Times New Roman"/>
                                  </w:rPr>
                                </w:pPr>
                                <w:r>
                                  <w:rPr>
                                    <w:rFonts w:hint="eastAsia" w:cs="宋体"/>
                                  </w:rPr>
                                  <w:t>加油机</w:t>
                                </w:r>
                              </w:p>
                            </w:txbxContent>
                          </wps:txbx>
                          <wps:bodyPr upright="1"/>
                        </wps:wsp>
                        <wps:wsp>
                          <wps:cNvPr id="69" name="直线 61"/>
                          <wps:cNvCnPr/>
                          <wps:spPr>
                            <a:xfrm rot="5400000">
                              <a:off x="5670" y="822"/>
                              <a:ext cx="644" cy="1"/>
                            </a:xfrm>
                            <a:prstGeom prst="line">
                              <a:avLst/>
                            </a:prstGeom>
                            <a:ln w="19050" cap="flat" cmpd="sng">
                              <a:solidFill>
                                <a:srgbClr val="000000"/>
                              </a:solidFill>
                              <a:prstDash val="solid"/>
                              <a:headEnd type="none" w="med" len="med"/>
                              <a:tailEnd type="triangle" w="med" len="med"/>
                            </a:ln>
                          </wps:spPr>
                          <wps:bodyPr upright="1"/>
                        </wps:wsp>
                        <wps:wsp>
                          <wps:cNvPr id="70" name="直线 62"/>
                          <wps:cNvCnPr/>
                          <wps:spPr>
                            <a:xfrm flipV="1">
                              <a:off x="6741" y="238"/>
                              <a:ext cx="638" cy="1"/>
                            </a:xfrm>
                            <a:prstGeom prst="line">
                              <a:avLst/>
                            </a:prstGeom>
                            <a:ln w="19050" cap="flat" cmpd="sng">
                              <a:solidFill>
                                <a:srgbClr val="000000"/>
                              </a:solidFill>
                              <a:prstDash val="dash"/>
                              <a:headEnd type="none" w="med" len="med"/>
                              <a:tailEnd type="none" w="med" len="med"/>
                            </a:ln>
                          </wps:spPr>
                          <wps:bodyPr upright="1"/>
                        </wps:wsp>
                        <wps:wsp>
                          <wps:cNvPr id="71" name="直线 63"/>
                          <wps:cNvCnPr/>
                          <wps:spPr>
                            <a:xfrm rot="-5400000">
                              <a:off x="5914" y="819"/>
                              <a:ext cx="644" cy="1"/>
                            </a:xfrm>
                            <a:prstGeom prst="line">
                              <a:avLst/>
                            </a:prstGeom>
                            <a:ln w="19050" cap="flat" cmpd="sng">
                              <a:solidFill>
                                <a:srgbClr val="000000"/>
                              </a:solidFill>
                              <a:prstDash val="dash"/>
                              <a:headEnd type="none" w="med" len="med"/>
                              <a:tailEnd type="triangle" w="med" len="med"/>
                            </a:ln>
                          </wps:spPr>
                          <wps:bodyPr upright="1"/>
                        </wps:wsp>
                      </wpg:grpSp>
                    </wpg:wgp>
                  </a:graphicData>
                </a:graphic>
              </wp:anchor>
            </w:drawing>
          </mc:Choice>
          <mc:Fallback>
            <w:pict>
              <v:group id="组合 41" o:spid="_x0000_s1026" o:spt="203" style="position:absolute;left:0pt;margin-left:42.7pt;margin-top:11.7pt;height:137.3pt;width:368.95pt;z-index:251663360;mso-width-relative:page;mso-height-relative:page;" coordsize="7379,2746" o:gfxdata="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">
                <o:lock v:ext="edit" aspectratio="f"/>
                <v:shape id="文本框 42" o:spid="_x0000_s1026" o:spt="202" type="#_x0000_t202" style="position:absolute;left:5535;top:1155;height:466;width:1124;" fillcolor="#FFFFFF" filled="t" stroked="t" coordsize="21600,21600" o:gfxdata="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LDg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D221306">
                        <w:pPr>
                          <w:jc w:val="center"/>
                          <w:rPr>
                            <w:rFonts w:cs="Times New Roman"/>
                          </w:rPr>
                        </w:pPr>
                        <w:r>
                          <w:rPr>
                            <w:rFonts w:hint="eastAsia" w:cs="宋体"/>
                          </w:rPr>
                          <w:t>加油枪</w:t>
                        </w:r>
                      </w:p>
                    </w:txbxContent>
                  </v:textbox>
                </v:shape>
                <v:shape id="文本框 43" o:spid="_x0000_s1026" o:spt="202" type="#_x0000_t202" style="position:absolute;left:3509;top:1140;height:466;width:1220;" fillcolor="#FFFFFF" filled="t" stroked="t" coordsize="21600,21600" o:gfxdata="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sF31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CB7291E">
                        <w:pPr>
                          <w:jc w:val="center"/>
                          <w:rPr>
                            <w:rFonts w:cs="Times New Roman"/>
                          </w:rPr>
                        </w:pPr>
                        <w:r>
                          <w:rPr>
                            <w:rFonts w:hint="eastAsia" w:cs="宋体"/>
                          </w:rPr>
                          <w:t>受油容器</w:t>
                        </w:r>
                      </w:p>
                    </w:txbxContent>
                  </v:textbox>
                </v:shape>
                <v:line id="直线 44" o:spid="_x0000_s1026" o:spt="20" style="position:absolute;left:6692;top:2454;height:1;width:644;rotation:11796480f;" filled="f" stroked="t" coordsize="21600,21600" o:gfxdata="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jAPOugAAANsA&#10;AAAPAAAAAAAAAAEAIAAAACIAAABkcnMvZG93bnJldi54bWxQSwECFAAUAAAACACHTuJAMy8FnjsA&#10;AAA5AAAAEAAAAAAAAAABACAAAAAJAQAAZHJzL3NoYXBleG1sLnhtbFBLBQYAAAAABgAGAFsBAACz&#10;AwAAAAA=&#10;">
                  <v:fill on="f" focussize="0,0"/>
                  <v:stroke weight="1.5pt" color="#000000" joinstyle="round" dashstyle="dash" endarrow="block"/>
                  <v:imagedata o:title=""/>
                  <o:lock v:ext="edit" aspectratio="f"/>
                </v:line>
                <v:shape id="文本框 45" o:spid="_x0000_s1026" o:spt="202" type="#_x0000_t202" style="position:absolute;left:5535;top:2250;height:466;width:1124;" fillcolor="#FFFFFF" filled="t" stroked="t" coordsize="21600,21600" o:gfxdata="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BVgG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6B78231">
                        <w:pPr>
                          <w:jc w:val="center"/>
                          <w:rPr>
                            <w:rFonts w:cs="Times New Roman"/>
                          </w:rPr>
                        </w:pPr>
                        <w:r>
                          <w:rPr>
                            <w:rFonts w:hint="eastAsia" w:cs="宋体"/>
                          </w:rPr>
                          <w:t>真空泵</w:t>
                        </w:r>
                      </w:p>
                    </w:txbxContent>
                  </v:textbox>
                </v:shape>
                <v:shape id="文本框 46" o:spid="_x0000_s1026" o:spt="202" type="#_x0000_t202" style="position:absolute;left:3225;top:2280;height:466;width:1501;" fillcolor="#FFFFFF" filled="t" stroked="t" coordsize="21600,21600" o:gfxdata="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nFg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224A429">
                        <w:pPr>
                          <w:jc w:val="center"/>
                          <w:rPr>
                            <w:rFonts w:cs="Times New Roman"/>
                          </w:rPr>
                        </w:pPr>
                        <w:r>
                          <w:rPr>
                            <w:rFonts w:hint="eastAsia" w:cs="宋体"/>
                          </w:rPr>
                          <w:t>油气回收管道</w:t>
                        </w:r>
                      </w:p>
                    </w:txbxContent>
                  </v:textbox>
                </v:shape>
                <v:line id="直线 47" o:spid="_x0000_s1026" o:spt="20" style="position:absolute;left:568;top:2488;height:12;width:2581;rotation:11796480f;" filled="f" stroked="t" coordsize="21600,21600" o:gfxdata="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bw7pr4A&#10;AADbAAAADwAAAAAAAAABACAAAAAiAAAAZHJzL2Rvd25yZXYueG1sUEsBAhQAFAAAAAgAh07iQDMv&#10;BZ47AAAAOQAAABAAAAAAAAAAAQAgAAAADQEAAGRycy9zaGFwZXhtbC54bWxQSwUGAAAAAAYABgBb&#10;AQAAtwMAAAAA&#10;">
                  <v:fill on="f" focussize="0,0"/>
                  <v:stroke weight="1.5pt" color="#000000" joinstyle="round" dashstyle="dash"/>
                  <v:imagedata o:title=""/>
                  <o:lock v:ext="edit" aspectratio="f"/>
                </v:line>
                <v:line id="直线 48" o:spid="_x0000_s1026" o:spt="20" style="position:absolute;left:4772;top:2484;height:1;width:644;rotation:11796480f;" filled="f" stroked="t" coordsize="21600,21600" o:gfxdata="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twXNugAAANsA&#10;AAAPAAAAAAAAAAEAIAAAACIAAABkcnMvZG93bnJldi54bWxQSwECFAAUAAAACACHTuJAMy8FnjsA&#10;AAA5AAAAEAAAAAAAAAABACAAAAAJAQAAZHJzL3NoYXBleG1sLnhtbFBLBQYAAAAABgAGAFsBAACz&#10;AwAAAAA=&#10;">
                  <v:fill on="f" focussize="0,0"/>
                  <v:stroke weight="1.5pt" color="#000000" joinstyle="round" dashstyle="dash" endarrow="block"/>
                  <v:imagedata o:title=""/>
                  <o:lock v:ext="edit" aspectratio="f"/>
                </v:line>
                <v:line id="直线 49" o:spid="_x0000_s1026" o:spt="20" style="position:absolute;left:-454;top:1374;flip:y;height:1;width:1861;rotation:5898240f;" filled="f" stroked="t" coordsize="21600,21600" o:gfxdata="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lbAu7gAAADbAAAA&#10;DwAAAAAAAAABACAAAAAiAAAAZHJzL2Rvd25yZXYueG1sUEsBAhQAFAAAAAgAh07iQDMvBZ47AAAA&#10;OQAAABAAAAAAAAAAAQAgAAAABwEAAGRycy9zaGFwZXhtbC54bWxQSwUGAAAAAAYABgBbAQAAsQMA&#10;AAAA&#10;">
                  <v:fill on="f" focussize="0,0"/>
                  <v:stroke weight="1.5pt" color="#000000" joinstyle="round" dashstyle="dash" endarrow="block"/>
                  <v:imagedata o:title=""/>
                  <o:lock v:ext="edit" aspectratio="f"/>
                </v:line>
                <v:line id="直线 50" o:spid="_x0000_s1026" o:spt="20" style="position:absolute;left:6300;top:1386;height:1;width:2054;rotation:5898240f;" filled="f" stroked="t" coordsize="21600,21600" o:gfxdata="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AKE3vQAA&#10;ANsAAAAPAAAAAAAAAAEAIAAAACIAAABkcnMvZG93bnJldi54bWxQSwECFAAUAAAACACHTuJAMy8F&#10;njsAAAA5AAAAEAAAAAAAAAABACAAAAAMAQAAZHJzL3NoYXBleG1sLnhtbFBLBQYAAAAABgAGAFsB&#10;AAC2AwAAAAA=&#10;">
                  <v:fill on="f" focussize="0,0"/>
                  <v:stroke weight="1.5pt" color="#000000" joinstyle="round" dashstyle="dash"/>
                  <v:imagedata o:title=""/>
                  <o:lock v:ext="edit" aspectratio="f"/>
                </v:line>
                <v:group id="组合 51" o:spid="_x0000_s1026" o:spt="203" style="position:absolute;left:0;top:0;height:1451;width:7379;" coordsize="7379,1451"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line id="直线 52" o:spid="_x0000_s1026" o:spt="20" style="position:absolute;left:4802;top:1269;height:1;width:644;rotation:11796480f;" filled="f" stroked="t" coordsize="21600,21600" o:gfxdata="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8mwZbsAAADb&#10;AAAADwAAAAAAAAABACAAAAAiAAAAZHJzL2Rvd25yZXYueG1sUEsBAhQAFAAAAAgAh07iQDMvBZ47&#10;AAAAOQAAABAAAAAAAAAAAQAgAAAACgEAAGRycy9zaGFwZXhtbC54bWxQSwUGAAAAAAYABgBbAQAA&#10;tAMAAAAA&#10;">
                    <v:fill on="f" focussize="0,0"/>
                    <v:stroke weight="1.5pt" color="#000000" joinstyle="round" endarrow="block"/>
                    <v:imagedata o:title=""/>
                    <o:lock v:ext="edit" aspectratio="f"/>
                  </v:line>
                  <v:line id="直线 53" o:spid="_x0000_s1026" o:spt="20" style="position:absolute;left:4862;top:1450;height:1;width:644;" filled="f" stroked="t" coordsize="21600,21600" o:gfxdata="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wnCPW/&#10;AAAA2wAAAA8AAAAAAAAAAQAgAAAAIgAAAGRycy9kb3ducmV2LnhtbFBLAQIUABQAAAAIAIdO4kAz&#10;LwWeOwAAADkAAAAQAAAAAAAAAAEAIAAAAA4BAABkcnMvc2hhcGV4bWwueG1sUEsFBgAAAAAGAAYA&#10;WwEAALgDAAAAAA==&#10;">
                    <v:fill on="f" focussize="0,0"/>
                    <v:stroke weight="1.5pt" color="#000000" joinstyle="round" dashstyle="dash" endarrow="block"/>
                    <v:imagedata o:title=""/>
                    <o:lock v:ext="edit" aspectratio="f"/>
                  </v:line>
                  <v:shape id="文本框 54" o:spid="_x0000_s1026" o:spt="202" type="#_x0000_t202" style="position:absolute;left:0;top:0;height:466;width:1211;" fillcolor="#FFFFFF" filled="t" stroked="t" coordsize="21600,21600" o:gfxdata="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JdI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2D470F9">
                          <w:pPr>
                            <w:rPr>
                              <w:rFonts w:cs="Times New Roman"/>
                            </w:rPr>
                          </w:pPr>
                          <w:r>
                            <w:rPr>
                              <w:rFonts w:hint="eastAsia" w:cs="宋体"/>
                            </w:rPr>
                            <w:t>埋地油罐</w:t>
                          </w:r>
                        </w:p>
                      </w:txbxContent>
                    </v:textbox>
                  </v:shape>
                  <v:line id="直线 55" o:spid="_x0000_s1026" o:spt="20" style="position:absolute;left:1221;top:232;height:1;width:644;" filled="f" stroked="t" coordsize="21600,21600" o:gfxdata="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5zWC8AAAA&#10;2wAAAA8AAAAAAAAAAQAgAAAAIgAAAGRycy9kb3ducmV2LnhtbFBLAQIUABQAAAAIAIdO4kAzLwWe&#10;OwAAADkAAAAQAAAAAAAAAAEAIAAAAAsBAABkcnMvc2hhcGV4bWwueG1sUEsFBgAAAAAGAAYAWwEA&#10;ALUDAAAAAA==&#10;">
                    <v:fill on="f" focussize="0,0"/>
                    <v:stroke weight="1.5pt" color="#000000" joinstyle="round" endarrow="block"/>
                    <v:imagedata o:title=""/>
                    <o:lock v:ext="edit" aspectratio="f"/>
                  </v:line>
                  <v:shape id="文本框 56" o:spid="_x0000_s1026" o:spt="202" type="#_x0000_t202" style="position:absolute;left:1905;top:15;height:466;width:1004;" fillcolor="#FFFFFF" filled="t" stroked="t" coordsize="21600,21600" o:gfxdata="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nmqp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3AE579D">
                          <w:pPr>
                            <w:jc w:val="center"/>
                            <w:rPr>
                              <w:rFonts w:cs="Times New Roman"/>
                            </w:rPr>
                          </w:pPr>
                          <w:r>
                            <w:rPr>
                              <w:rFonts w:hint="eastAsia" w:cs="宋体"/>
                            </w:rPr>
                            <w:t>潜油泵</w:t>
                          </w:r>
                        </w:p>
                      </w:txbxContent>
                    </v:textbox>
                  </v:shape>
                  <v:line id="直线 57" o:spid="_x0000_s1026" o:spt="20" style="position:absolute;left:2942;top:236;height:1;width:644;" filled="f" stroked="t" coordsize="21600,21600" o:gfxdata="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c8I+8AAAA&#10;2wAAAA8AAAAAAAAAAQAgAAAAIgAAAGRycy9kb3ducmV2LnhtbFBLAQIUABQAAAAIAIdO4kAzLwWe&#10;OwAAADkAAAAQAAAAAAAAAAEAIAAAAAsBAABkcnMvc2hhcGV4bWwueG1sUEsFBgAAAAAGAAYAWwEA&#10;ALUDAAAAAA==&#10;">
                    <v:fill on="f" focussize="0,0"/>
                    <v:stroke weight="1.5pt" color="#000000" joinstyle="round" endarrow="block"/>
                    <v:imagedata o:title=""/>
                    <o:lock v:ext="edit" aspectratio="f"/>
                  </v:line>
                  <v:shape id="文本框 58" o:spid="_x0000_s1026" o:spt="202" type="#_x0000_t202" style="position:absolute;left:3596;top:15;height:466;width:1188;" fillcolor="#FFFFFF" filled="t" stroked="t" coordsize="21600,21600" o:gfxdata="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55F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92A104B">
                          <w:pPr>
                            <w:jc w:val="center"/>
                            <w:rPr>
                              <w:rFonts w:cs="Times New Roman"/>
                            </w:rPr>
                          </w:pPr>
                          <w:r>
                            <w:rPr>
                              <w:rFonts w:hint="eastAsia" w:cs="宋体"/>
                            </w:rPr>
                            <w:t>加油管道</w:t>
                          </w:r>
                        </w:p>
                      </w:txbxContent>
                    </v:textbox>
                  </v:shape>
                  <v:line id="直线 59" o:spid="_x0000_s1026" o:spt="20" style="position:absolute;left:4838;top:233;height:1;width:644;" filled="f" stroked="t" coordsize="21600,21600" o:gfxdata="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gstjvQAA&#10;ANsAAAAPAAAAAAAAAAEAIAAAACIAAABkcnMvZG93bnJldi54bWxQSwECFAAUAAAACACHTuJAMy8F&#10;njsAAAA5AAAAEAAAAAAAAAABACAAAAAMAQAAZHJzL3NoYXBleG1sLnhtbFBLBQYAAAAABgAGAFsB&#10;AAC2AwAAAAA=&#10;">
                    <v:fill on="f" focussize="0,0"/>
                    <v:stroke weight="1.5pt" color="#000000" joinstyle="round" endarrow="block"/>
                    <v:imagedata o:title=""/>
                    <o:lock v:ext="edit" aspectratio="f"/>
                  </v:line>
                  <v:shape id="文本框 60" o:spid="_x0000_s1026" o:spt="202" type="#_x0000_t202" style="position:absolute;left:5505;top:15;height:467;width:1154;" fillcolor="#FFFFFF" filled="t" stroked="t" coordsize="21600,21600" o:gfxdata="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zSgo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46E8723D">
                          <w:pPr>
                            <w:ind w:left="-34" w:leftChars="-66" w:right="-134" w:rightChars="-64" w:hanging="105" w:hangingChars="50"/>
                            <w:jc w:val="center"/>
                            <w:rPr>
                              <w:rFonts w:cs="Times New Roman"/>
                            </w:rPr>
                          </w:pPr>
                          <w:r>
                            <w:rPr>
                              <w:rFonts w:hint="eastAsia" w:cs="宋体"/>
                            </w:rPr>
                            <w:t>加油机</w:t>
                          </w:r>
                        </w:p>
                      </w:txbxContent>
                    </v:textbox>
                  </v:shape>
                  <v:line id="直线 61" o:spid="_x0000_s1026" o:spt="20" style="position:absolute;left:5670;top:822;height:1;width:644;rotation:5898240f;" filled="f" stroked="t" coordsize="21600,21600" o:gfxdata="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rvSrO5AAAA2wAA&#10;AA8AAAAAAAAAAQAgAAAAIgAAAGRycy9kb3ducmV2LnhtbFBLAQIUABQAAAAIAIdO4kAzLwWeOwAA&#10;ADkAAAAQAAAAAAAAAAEAIAAAAAgBAABkcnMvc2hhcGV4bWwueG1sUEsFBgAAAAAGAAYAWwEAALID&#10;AAAAAA==&#10;">
                    <v:fill on="f" focussize="0,0"/>
                    <v:stroke weight="1.5pt" color="#000000" joinstyle="round" endarrow="block"/>
                    <v:imagedata o:title=""/>
                    <o:lock v:ext="edit" aspectratio="f"/>
                  </v:line>
                  <v:line id="直线 62" o:spid="_x0000_s1026" o:spt="20" style="position:absolute;left:6741;top:238;flip:y;height:1;width:638;" filled="f" stroked="t" coordsize="21600,21600" o:gfxdata="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aj0MVtwAAANsAAAAP&#10;AAAAAAAAAAEAIAAAACIAAABkcnMvZG93bnJldi54bWxQSwECFAAUAAAACACHTuJAMy8FnjsAAAA5&#10;AAAAEAAAAAAAAAABACAAAAAGAQAAZHJzL3NoYXBleG1sLnhtbFBLBQYAAAAABgAGAFsBAACwAwAA&#10;AAA=&#10;">
                    <v:fill on="f" focussize="0,0"/>
                    <v:stroke weight="1.5pt" color="#000000" joinstyle="round" dashstyle="dash"/>
                    <v:imagedata o:title=""/>
                    <o:lock v:ext="edit" aspectratio="f"/>
                  </v:line>
                  <v:line id="直线 63" o:spid="_x0000_s1026" o:spt="20" style="position:absolute;left:5914;top:819;height:1;width:644;rotation:-5898240f;" filled="f" stroked="t" coordsize="21600,21600" o:gfxdata="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8uRr4A&#10;AADbAAAADwAAAAAAAAABACAAAAAiAAAAZHJzL2Rvd25yZXYueG1sUEsBAhQAFAAAAAgAh07iQDMv&#10;BZ47AAAAOQAAABAAAAAAAAAAAQAgAAAADQEAAGRycy9zaGFwZXhtbC54bWxQSwUGAAAAAAYABgBb&#10;AQAAtwMAAAAA&#10;">
                    <v:fill on="f" focussize="0,0"/>
                    <v:stroke weight="1.5pt" color="#000000" joinstyle="round" dashstyle="dash" endarrow="block"/>
                    <v:imagedata o:title=""/>
                    <o:lock v:ext="edit" aspectratio="f"/>
                  </v:line>
                </v:group>
              </v:group>
            </w:pict>
          </mc:Fallback>
        </mc:AlternateContent>
      </w:r>
    </w:p>
    <w:p w14:paraId="16797CCC">
      <w:pPr>
        <w:pStyle w:val="38"/>
        <w:ind w:firstLine="843" w:firstLineChars="400"/>
        <w:rPr>
          <w:rFonts w:ascii="Times New Roman" w:hAnsi="Times New Roman" w:cs="Times New Roman"/>
          <w:b/>
          <w:bCs/>
          <w:sz w:val="21"/>
          <w:szCs w:val="21"/>
        </w:rPr>
      </w:pPr>
    </w:p>
    <w:p w14:paraId="596A3630">
      <w:pPr>
        <w:pStyle w:val="38"/>
        <w:ind w:firstLine="843" w:firstLineChars="400"/>
        <w:rPr>
          <w:rFonts w:ascii="Times New Roman" w:hAnsi="Times New Roman" w:cs="Times New Roman"/>
          <w:b/>
          <w:bCs/>
          <w:sz w:val="21"/>
          <w:szCs w:val="21"/>
        </w:rPr>
      </w:pPr>
    </w:p>
    <w:p w14:paraId="1E8692C8">
      <w:pPr>
        <w:pStyle w:val="38"/>
        <w:ind w:firstLine="843" w:firstLineChars="400"/>
        <w:rPr>
          <w:rFonts w:ascii="Times New Roman" w:hAnsi="Times New Roman" w:cs="Times New Roman"/>
          <w:b/>
          <w:bCs/>
          <w:sz w:val="21"/>
          <w:szCs w:val="21"/>
        </w:rPr>
      </w:pPr>
    </w:p>
    <w:p w14:paraId="61701E84">
      <w:pPr>
        <w:pStyle w:val="38"/>
        <w:ind w:firstLine="843" w:firstLineChars="400"/>
        <w:rPr>
          <w:rFonts w:ascii="Times New Roman" w:hAnsi="Times New Roman" w:cs="Times New Roman"/>
          <w:b/>
          <w:bCs/>
          <w:sz w:val="21"/>
          <w:szCs w:val="21"/>
        </w:rPr>
      </w:pPr>
    </w:p>
    <w:p w14:paraId="19376B59">
      <w:pPr>
        <w:pStyle w:val="38"/>
        <w:ind w:firstLine="843" w:firstLineChars="400"/>
        <w:rPr>
          <w:rFonts w:ascii="Times New Roman" w:hAnsi="Times New Roman" w:cs="Times New Roman"/>
          <w:b/>
          <w:bCs/>
          <w:sz w:val="21"/>
          <w:szCs w:val="21"/>
        </w:rPr>
      </w:pPr>
    </w:p>
    <w:p w14:paraId="56A3CA6C">
      <w:pPr>
        <w:pStyle w:val="38"/>
        <w:ind w:firstLine="843" w:firstLineChars="400"/>
        <w:rPr>
          <w:rFonts w:ascii="Times New Roman" w:hAnsi="Times New Roman" w:cs="Times New Roman"/>
          <w:b/>
          <w:bCs/>
          <w:sz w:val="21"/>
          <w:szCs w:val="21"/>
        </w:rPr>
      </w:pPr>
    </w:p>
    <w:p w14:paraId="6946355A">
      <w:pPr>
        <w:pStyle w:val="38"/>
        <w:ind w:firstLine="843" w:firstLineChars="400"/>
        <w:rPr>
          <w:rFonts w:ascii="Times New Roman" w:hAnsi="Times New Roman" w:cs="Times New Roman"/>
          <w:b/>
          <w:bCs/>
          <w:sz w:val="21"/>
          <w:szCs w:val="21"/>
        </w:rPr>
      </w:pPr>
    </w:p>
    <w:p w14:paraId="7E54B164">
      <w:pPr>
        <w:pStyle w:val="38"/>
        <w:ind w:firstLine="843" w:firstLineChars="400"/>
        <w:jc w:val="center"/>
        <w:rPr>
          <w:rFonts w:ascii="Times New Roman" w:hAnsi="Times New Roman" w:cs="Times New Roman"/>
          <w:b/>
          <w:bCs/>
        </w:rPr>
      </w:pPr>
      <w:r>
        <w:rPr>
          <w:rFonts w:hint="eastAsia" w:ascii="Times New Roman" w:hAnsi="Times New Roman"/>
          <w:b/>
          <w:bCs/>
          <w:sz w:val="21"/>
          <w:szCs w:val="21"/>
        </w:rPr>
        <w:t>注：虚线箭头表示油气回收工艺路线。</w:t>
      </w:r>
    </w:p>
    <w:p w14:paraId="705D3E5A">
      <w:pPr>
        <w:spacing w:line="600" w:lineRule="exact"/>
        <w:ind w:firstLine="560" w:firstLineChars="200"/>
        <w:rPr>
          <w:rFonts w:ascii="Times New Roman" w:hAnsi="Times New Roman" w:cs="Times New Roman"/>
          <w:sz w:val="24"/>
          <w:szCs w:val="24"/>
        </w:rPr>
      </w:pPr>
      <w:r>
        <w:rPr>
          <w:rFonts w:hint="eastAsia" w:ascii="宋体" w:hAnsi="宋体" w:cs="宋体"/>
          <w:sz w:val="28"/>
          <w:szCs w:val="28"/>
        </w:rPr>
        <w:t>②</w:t>
      </w:r>
      <w:r>
        <w:rPr>
          <w:rFonts w:hint="eastAsia" w:ascii="Times New Roman" w:hAnsi="Times New Roman" w:cs="宋体"/>
          <w:sz w:val="28"/>
          <w:szCs w:val="28"/>
        </w:rPr>
        <w:t>柴油加油机加油工艺，流程图如下：</w:t>
      </w:r>
    </w:p>
    <w:p w14:paraId="7FF892E4">
      <w:pPr>
        <w:spacing w:line="360" w:lineRule="auto"/>
        <w:ind w:firstLine="420" w:firstLineChars="200"/>
        <w:rPr>
          <w:rFonts w:ascii="Times New Roman" w:hAnsi="Times New Roman" w:cs="Times New Roman"/>
          <w:sz w:val="24"/>
          <w:szCs w:val="24"/>
        </w:rPr>
      </w:pPr>
      <w:r>
        <mc:AlternateContent>
          <mc:Choice Requires="wpg">
            <w:drawing>
              <wp:anchor distT="0" distB="0" distL="114300" distR="114300" simplePos="0" relativeHeight="251662336" behindDoc="0" locked="0" layoutInCell="1" allowOverlap="1">
                <wp:simplePos x="0" y="0"/>
                <wp:positionH relativeFrom="column">
                  <wp:posOffset>532765</wp:posOffset>
                </wp:positionH>
                <wp:positionV relativeFrom="paragraph">
                  <wp:posOffset>120015</wp:posOffset>
                </wp:positionV>
                <wp:extent cx="4228465" cy="1029335"/>
                <wp:effectExtent l="4445" t="4445" r="5715" b="13970"/>
                <wp:wrapNone/>
                <wp:docPr id="50" name="组合 64"/>
                <wp:cNvGraphicFramePr/>
                <a:graphic xmlns:a="http://schemas.openxmlformats.org/drawingml/2006/main">
                  <a:graphicData uri="http://schemas.microsoft.com/office/word/2010/wordprocessingGroup">
                    <wpg:wgp>
                      <wpg:cNvGrpSpPr/>
                      <wpg:grpSpPr>
                        <a:xfrm>
                          <a:off x="0" y="0"/>
                          <a:ext cx="4228465" cy="1029335"/>
                          <a:chOff x="0" y="0"/>
                          <a:chExt cx="6659" cy="1621"/>
                        </a:xfrm>
                      </wpg:grpSpPr>
                      <wps:wsp>
                        <wps:cNvPr id="39" name="直线 65"/>
                        <wps:cNvCnPr/>
                        <wps:spPr>
                          <a:xfrm rot="10800000">
                            <a:off x="4817" y="1359"/>
                            <a:ext cx="644" cy="1"/>
                          </a:xfrm>
                          <a:prstGeom prst="line">
                            <a:avLst/>
                          </a:prstGeom>
                          <a:ln w="19050" cap="flat" cmpd="sng">
                            <a:solidFill>
                              <a:srgbClr val="000000"/>
                            </a:solidFill>
                            <a:prstDash val="solid"/>
                            <a:headEnd type="none" w="med" len="med"/>
                            <a:tailEnd type="triangle" w="med" len="med"/>
                          </a:ln>
                        </wps:spPr>
                        <wps:bodyPr upright="1"/>
                      </wps:wsp>
                      <wps:wsp>
                        <wps:cNvPr id="40" name="文本框 66"/>
                        <wps:cNvSpPr txBox="1"/>
                        <wps:spPr>
                          <a:xfrm>
                            <a:off x="0" y="0"/>
                            <a:ext cx="1211"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49C378F">
                              <w:pPr>
                                <w:rPr>
                                  <w:rFonts w:cs="Times New Roman"/>
                                </w:rPr>
                              </w:pPr>
                              <w:r>
                                <w:rPr>
                                  <w:rFonts w:hint="eastAsia" w:cs="宋体"/>
                                </w:rPr>
                                <w:t>埋地油罐</w:t>
                              </w:r>
                            </w:p>
                          </w:txbxContent>
                        </wps:txbx>
                        <wps:bodyPr upright="1"/>
                      </wps:wsp>
                      <wps:wsp>
                        <wps:cNvPr id="41" name="直线 67"/>
                        <wps:cNvCnPr/>
                        <wps:spPr>
                          <a:xfrm>
                            <a:off x="1221" y="232"/>
                            <a:ext cx="644" cy="1"/>
                          </a:xfrm>
                          <a:prstGeom prst="line">
                            <a:avLst/>
                          </a:prstGeom>
                          <a:ln w="19050" cap="flat" cmpd="sng">
                            <a:solidFill>
                              <a:srgbClr val="000000"/>
                            </a:solidFill>
                            <a:prstDash val="solid"/>
                            <a:headEnd type="none" w="med" len="med"/>
                            <a:tailEnd type="triangle" w="med" len="med"/>
                          </a:ln>
                        </wps:spPr>
                        <wps:bodyPr upright="1"/>
                      </wps:wsp>
                      <wps:wsp>
                        <wps:cNvPr id="42" name="文本框 68"/>
                        <wps:cNvSpPr txBox="1"/>
                        <wps:spPr>
                          <a:xfrm>
                            <a:off x="1905" y="15"/>
                            <a:ext cx="1004"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F466AE5">
                              <w:pPr>
                                <w:jc w:val="center"/>
                                <w:rPr>
                                  <w:rFonts w:cs="Times New Roman"/>
                                </w:rPr>
                              </w:pPr>
                              <w:r>
                                <w:rPr>
                                  <w:rFonts w:hint="eastAsia" w:cs="宋体"/>
                                </w:rPr>
                                <w:t>潜油泵</w:t>
                              </w:r>
                            </w:p>
                          </w:txbxContent>
                        </wps:txbx>
                        <wps:bodyPr upright="1"/>
                      </wps:wsp>
                      <wps:wsp>
                        <wps:cNvPr id="43" name="直线 69"/>
                        <wps:cNvCnPr/>
                        <wps:spPr>
                          <a:xfrm>
                            <a:off x="2942" y="236"/>
                            <a:ext cx="644" cy="1"/>
                          </a:xfrm>
                          <a:prstGeom prst="line">
                            <a:avLst/>
                          </a:prstGeom>
                          <a:ln w="19050" cap="flat" cmpd="sng">
                            <a:solidFill>
                              <a:srgbClr val="000000"/>
                            </a:solidFill>
                            <a:prstDash val="solid"/>
                            <a:headEnd type="none" w="med" len="med"/>
                            <a:tailEnd type="triangle" w="med" len="med"/>
                          </a:ln>
                        </wps:spPr>
                        <wps:bodyPr upright="1"/>
                      </wps:wsp>
                      <wps:wsp>
                        <wps:cNvPr id="44" name="文本框 70"/>
                        <wps:cNvSpPr txBox="1"/>
                        <wps:spPr>
                          <a:xfrm>
                            <a:off x="3596" y="15"/>
                            <a:ext cx="118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3B1F6BE">
                              <w:pPr>
                                <w:jc w:val="center"/>
                                <w:rPr>
                                  <w:rFonts w:cs="Times New Roman"/>
                                </w:rPr>
                              </w:pPr>
                              <w:r>
                                <w:rPr>
                                  <w:rFonts w:hint="eastAsia" w:cs="宋体"/>
                                </w:rPr>
                                <w:t>加油管道</w:t>
                              </w:r>
                            </w:p>
                          </w:txbxContent>
                        </wps:txbx>
                        <wps:bodyPr upright="1"/>
                      </wps:wsp>
                      <wps:wsp>
                        <wps:cNvPr id="45" name="直线 71"/>
                        <wps:cNvCnPr/>
                        <wps:spPr>
                          <a:xfrm>
                            <a:off x="4838" y="233"/>
                            <a:ext cx="644" cy="1"/>
                          </a:xfrm>
                          <a:prstGeom prst="line">
                            <a:avLst/>
                          </a:prstGeom>
                          <a:ln w="19050" cap="flat" cmpd="sng">
                            <a:solidFill>
                              <a:srgbClr val="000000"/>
                            </a:solidFill>
                            <a:prstDash val="solid"/>
                            <a:headEnd type="none" w="med" len="med"/>
                            <a:tailEnd type="triangle" w="med" len="med"/>
                          </a:ln>
                        </wps:spPr>
                        <wps:bodyPr upright="1"/>
                      </wps:wsp>
                      <wps:wsp>
                        <wps:cNvPr id="46" name="文本框 72"/>
                        <wps:cNvSpPr txBox="1"/>
                        <wps:spPr>
                          <a:xfrm>
                            <a:off x="5505" y="15"/>
                            <a:ext cx="1154" cy="46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4DA52F5">
                              <w:pPr>
                                <w:ind w:left="-34" w:leftChars="-66" w:right="-134" w:rightChars="-64" w:hanging="105" w:hangingChars="50"/>
                                <w:jc w:val="center"/>
                                <w:rPr>
                                  <w:rFonts w:cs="Times New Roman"/>
                                </w:rPr>
                              </w:pPr>
                              <w:r>
                                <w:rPr>
                                  <w:rFonts w:hint="eastAsia" w:cs="宋体"/>
                                </w:rPr>
                                <w:t>加油机</w:t>
                              </w:r>
                            </w:p>
                          </w:txbxContent>
                        </wps:txbx>
                        <wps:bodyPr upright="1"/>
                      </wps:wsp>
                      <wps:wsp>
                        <wps:cNvPr id="47" name="直线 73"/>
                        <wps:cNvCnPr/>
                        <wps:spPr>
                          <a:xfrm rot="5400000">
                            <a:off x="5628" y="672"/>
                            <a:ext cx="644" cy="1"/>
                          </a:xfrm>
                          <a:prstGeom prst="line">
                            <a:avLst/>
                          </a:prstGeom>
                          <a:ln w="19050" cap="flat" cmpd="sng">
                            <a:solidFill>
                              <a:srgbClr val="000000"/>
                            </a:solidFill>
                            <a:prstDash val="solid"/>
                            <a:headEnd type="none" w="med" len="med"/>
                            <a:tailEnd type="triangle" w="med" len="med"/>
                          </a:ln>
                        </wps:spPr>
                        <wps:bodyPr upright="1"/>
                      </wps:wsp>
                      <wps:wsp>
                        <wps:cNvPr id="48" name="文本框 74"/>
                        <wps:cNvSpPr txBox="1"/>
                        <wps:spPr>
                          <a:xfrm>
                            <a:off x="5535" y="1155"/>
                            <a:ext cx="1124"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D42B479">
                              <w:pPr>
                                <w:jc w:val="center"/>
                                <w:rPr>
                                  <w:rFonts w:cs="Times New Roman"/>
                                </w:rPr>
                              </w:pPr>
                              <w:r>
                                <w:rPr>
                                  <w:rFonts w:hint="eastAsia" w:cs="宋体"/>
                                </w:rPr>
                                <w:t>加油枪</w:t>
                              </w:r>
                            </w:p>
                          </w:txbxContent>
                        </wps:txbx>
                        <wps:bodyPr upright="1"/>
                      </wps:wsp>
                      <wps:wsp>
                        <wps:cNvPr id="49" name="文本框 75"/>
                        <wps:cNvSpPr txBox="1"/>
                        <wps:spPr>
                          <a:xfrm>
                            <a:off x="3509" y="1140"/>
                            <a:ext cx="122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B5BBED1">
                              <w:pPr>
                                <w:jc w:val="center"/>
                                <w:rPr>
                                  <w:rFonts w:cs="Times New Roman"/>
                                </w:rPr>
                              </w:pPr>
                              <w:r>
                                <w:rPr>
                                  <w:rFonts w:hint="eastAsia" w:cs="宋体"/>
                                </w:rPr>
                                <w:t>受油容器</w:t>
                              </w:r>
                            </w:p>
                          </w:txbxContent>
                        </wps:txbx>
                        <wps:bodyPr upright="1"/>
                      </wps:wsp>
                    </wpg:wgp>
                  </a:graphicData>
                </a:graphic>
              </wp:anchor>
            </w:drawing>
          </mc:Choice>
          <mc:Fallback>
            <w:pict>
              <v:group id="组合 64" o:spid="_x0000_s1026" o:spt="203" style="position:absolute;left:0pt;margin-left:41.95pt;margin-top:9.45pt;height:81.05pt;width:332.95pt;z-index:251662336;mso-width-relative:page;mso-height-relative:page;" coordsize="6659,1621" o:gfxdata="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">
                <o:lock v:ext="edit" aspectratio="f"/>
                <v:line id="直线 65" o:spid="_x0000_s1026" o:spt="20" style="position:absolute;left:4817;top:1359;height:1;width:644;rotation:11796480f;" filled="f" stroked="t" coordsize="21600,21600" o:gfxdata="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UA25b4A&#10;AADbAAAADwAAAAAAAAABACAAAAAiAAAAZHJzL2Rvd25yZXYueG1sUEsBAhQAFAAAAAgAh07iQDMv&#10;BZ47AAAAOQAAABAAAAAAAAAAAQAgAAAADQEAAGRycy9zaGFwZXhtbC54bWxQSwUGAAAAAAYABgBb&#10;AQAAtwMAAAAA&#10;">
                  <v:fill on="f" focussize="0,0"/>
                  <v:stroke weight="1.5pt" color="#000000" joinstyle="round" endarrow="block"/>
                  <v:imagedata o:title=""/>
                  <o:lock v:ext="edit" aspectratio="f"/>
                </v:line>
                <v:shape id="文本框 66" o:spid="_x0000_s1026" o:spt="202" type="#_x0000_t202" style="position:absolute;left:0;top:0;height:466;width:1211;" fillcolor="#FFFFFF" filled="t" stroked="t" coordsize="21600,21600" o:gfxdata="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9/DE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549C378F">
                        <w:pPr>
                          <w:rPr>
                            <w:rFonts w:cs="Times New Roman"/>
                          </w:rPr>
                        </w:pPr>
                        <w:r>
                          <w:rPr>
                            <w:rFonts w:hint="eastAsia" w:cs="宋体"/>
                          </w:rPr>
                          <w:t>埋地油罐</w:t>
                        </w:r>
                      </w:p>
                    </w:txbxContent>
                  </v:textbox>
                </v:shape>
                <v:line id="直线 67" o:spid="_x0000_s1026" o:spt="20" style="position:absolute;left:1221;top:232;height:1;width:644;" filled="f" stroked="t" coordsize="21600,21600" o:gfxdata="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Squy8AAAA&#10;2wAAAA8AAAAAAAAAAQAgAAAAIgAAAGRycy9kb3ducmV2LnhtbFBLAQIUABQAAAAIAIdO4kAzLwWe&#10;OwAAADkAAAAQAAAAAAAAAAEAIAAAAAsBAABkcnMvc2hhcGV4bWwueG1sUEsFBgAAAAAGAAYAWwEA&#10;ALUDAAAAAA==&#10;">
                  <v:fill on="f" focussize="0,0"/>
                  <v:stroke weight="1.5pt" color="#000000" joinstyle="round" endarrow="block"/>
                  <v:imagedata o:title=""/>
                  <o:lock v:ext="edit" aspectratio="f"/>
                </v:line>
                <v:shape id="文本框 68" o:spid="_x0000_s1026" o:spt="202" type="#_x0000_t202" style="position:absolute;left:1905;top:15;height:466;width:1004;" fillcolor="#FFFFFF" filled="t" stroked="t" coordsize="21600,21600" o:gfxdata="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pyyi/&#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2F466AE5">
                        <w:pPr>
                          <w:jc w:val="center"/>
                          <w:rPr>
                            <w:rFonts w:cs="Times New Roman"/>
                          </w:rPr>
                        </w:pPr>
                        <w:r>
                          <w:rPr>
                            <w:rFonts w:hint="eastAsia" w:cs="宋体"/>
                          </w:rPr>
                          <w:t>潜油泵</w:t>
                        </w:r>
                      </w:p>
                    </w:txbxContent>
                  </v:textbox>
                </v:shape>
                <v:line id="直线 69" o:spid="_x0000_s1026" o:spt="20" style="position:absolute;left:2942;top:236;height:1;width:644;" filled="f" stroked="t" coordsize="21600,21600" o:gfxdata="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wyRALsAAADb&#10;AAAADwAAAAAAAAABACAAAAAiAAAAZHJzL2Rvd25yZXYueG1sUEsBAhQAFAAAAAgAh07iQDMvBZ47&#10;AAAAOQAAABAAAAAAAAAAAQAgAAAACgEAAGRycy9zaGFwZXhtbC54bWxQSwUGAAAAAAYABgBbAQAA&#10;tAMAAAAA&#10;">
                  <v:fill on="f" focussize="0,0"/>
                  <v:stroke weight="1.5pt" color="#000000" joinstyle="round" endarrow="block"/>
                  <v:imagedata o:title=""/>
                  <o:lock v:ext="edit" aspectratio="f"/>
                </v:line>
                <v:shape id="文本框 70" o:spid="_x0000_s1026" o:spt="202" type="#_x0000_t202" style="position:absolute;left:3596;top:15;height:466;width:1188;" fillcolor="#FFFFFF" filled="t" stroked="t" coordsize="21600,21600" o:gfxdata="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z2x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3B1F6BE">
                        <w:pPr>
                          <w:jc w:val="center"/>
                          <w:rPr>
                            <w:rFonts w:cs="Times New Roman"/>
                          </w:rPr>
                        </w:pPr>
                        <w:r>
                          <w:rPr>
                            <w:rFonts w:hint="eastAsia" w:cs="宋体"/>
                          </w:rPr>
                          <w:t>加油管道</w:t>
                        </w:r>
                      </w:p>
                    </w:txbxContent>
                  </v:textbox>
                </v:shape>
                <v:line id="直线 71" o:spid="_x0000_s1026" o:spt="20" style="position:absolute;left:4838;top:233;height:1;width:644;" filled="f" stroked="t" coordsize="21600,21600" o:gfxdata="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6ms77sAAADb&#10;AAAADwAAAAAAAAABACAAAAAiAAAAZHJzL2Rvd25yZXYueG1sUEsBAhQAFAAAAAgAh07iQDMvBZ47&#10;AAAAOQAAABAAAAAAAAAAAQAgAAAACgEAAGRycy9zaGFwZXhtbC54bWxQSwUGAAAAAAYABgBbAQAA&#10;tAMAAAAA&#10;">
                  <v:fill on="f" focussize="0,0"/>
                  <v:stroke weight="1.5pt" color="#000000" joinstyle="round" endarrow="block"/>
                  <v:imagedata o:title=""/>
                  <o:lock v:ext="edit" aspectratio="f"/>
                </v:line>
                <v:shape id="文本框 72" o:spid="_x0000_s1026" o:spt="202" type="#_x0000_t202" style="position:absolute;left:5505;top:15;height:467;width:1154;" fillcolor="#FFFFFF" filled="t" stroked="t" coordsize="21600,21600" o:gfxdata="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LNK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4DA52F5">
                        <w:pPr>
                          <w:ind w:left="-34" w:leftChars="-66" w:right="-134" w:rightChars="-64" w:hanging="105" w:hangingChars="50"/>
                          <w:jc w:val="center"/>
                          <w:rPr>
                            <w:rFonts w:cs="Times New Roman"/>
                          </w:rPr>
                        </w:pPr>
                        <w:r>
                          <w:rPr>
                            <w:rFonts w:hint="eastAsia" w:cs="宋体"/>
                          </w:rPr>
                          <w:t>加油机</w:t>
                        </w:r>
                      </w:p>
                    </w:txbxContent>
                  </v:textbox>
                </v:shape>
                <v:line id="直线 73" o:spid="_x0000_s1026" o:spt="20" style="position:absolute;left:5628;top:672;height:1;width:644;rotation:5898240f;" filled="f" stroked="t" coordsize="21600,21600" o:gfxdata="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iSc6vQAA&#10;ANsAAAAPAAAAAAAAAAEAIAAAACIAAABkcnMvZG93bnJldi54bWxQSwECFAAUAAAACACHTuJAMy8F&#10;njsAAAA5AAAAEAAAAAAAAAABACAAAAAMAQAAZHJzL3NoYXBleG1sLnhtbFBLBQYAAAAABgAGAFsB&#10;AAC2AwAAAAA=&#10;">
                  <v:fill on="f" focussize="0,0"/>
                  <v:stroke weight="1.5pt" color="#000000" joinstyle="round" endarrow="block"/>
                  <v:imagedata o:title=""/>
                  <o:lock v:ext="edit" aspectratio="f"/>
                </v:line>
                <v:shape id="文本框 74" o:spid="_x0000_s1026" o:spt="202" type="#_x0000_t202" style="position:absolute;left:5535;top:1155;height:466;width:1124;" fillcolor="#FFFFFF" filled="t" stroked="t" coordsize="21600,21600" o:gfxdata="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gfzC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3D42B479">
                        <w:pPr>
                          <w:jc w:val="center"/>
                          <w:rPr>
                            <w:rFonts w:cs="Times New Roman"/>
                          </w:rPr>
                        </w:pPr>
                        <w:r>
                          <w:rPr>
                            <w:rFonts w:hint="eastAsia" w:cs="宋体"/>
                          </w:rPr>
                          <w:t>加油枪</w:t>
                        </w:r>
                      </w:p>
                    </w:txbxContent>
                  </v:textbox>
                </v:shape>
                <v:shape id="文本框 75" o:spid="_x0000_s1026" o:spt="202" type="#_x0000_t202" style="position:absolute;left:3509;top:1140;height:466;width:1220;" fillcolor="#FFFFFF" filled="t" stroked="t" coordsize="21600,21600" o:gfxdata="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1ZW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B5BBED1">
                        <w:pPr>
                          <w:jc w:val="center"/>
                          <w:rPr>
                            <w:rFonts w:cs="Times New Roman"/>
                          </w:rPr>
                        </w:pPr>
                        <w:r>
                          <w:rPr>
                            <w:rFonts w:hint="eastAsia" w:cs="宋体"/>
                          </w:rPr>
                          <w:t>受油容器</w:t>
                        </w:r>
                      </w:p>
                    </w:txbxContent>
                  </v:textbox>
                </v:shape>
              </v:group>
            </w:pict>
          </mc:Fallback>
        </mc:AlternateContent>
      </w:r>
    </w:p>
    <w:p w14:paraId="7B48FBFB">
      <w:pPr>
        <w:spacing w:line="240" w:lineRule="atLeast"/>
        <w:ind w:firstLine="480" w:firstLineChars="200"/>
        <w:rPr>
          <w:rFonts w:ascii="Times New Roman" w:hAnsi="Times New Roman" w:cs="Times New Roman"/>
          <w:sz w:val="24"/>
          <w:szCs w:val="24"/>
        </w:rPr>
      </w:pPr>
    </w:p>
    <w:p w14:paraId="2A8C8B15">
      <w:pPr>
        <w:spacing w:line="240" w:lineRule="atLeast"/>
        <w:ind w:firstLine="480" w:firstLineChars="200"/>
        <w:rPr>
          <w:rFonts w:ascii="Times New Roman" w:hAnsi="Times New Roman" w:cs="Times New Roman"/>
          <w:sz w:val="24"/>
          <w:szCs w:val="24"/>
        </w:rPr>
      </w:pPr>
    </w:p>
    <w:p w14:paraId="52136EE4">
      <w:pPr>
        <w:spacing w:line="240" w:lineRule="atLeast"/>
        <w:ind w:firstLine="480" w:firstLineChars="200"/>
        <w:rPr>
          <w:rFonts w:ascii="Times New Roman" w:hAnsi="Times New Roman" w:cs="Times New Roman"/>
          <w:sz w:val="24"/>
          <w:szCs w:val="24"/>
        </w:rPr>
      </w:pPr>
    </w:p>
    <w:p w14:paraId="3BB91D82">
      <w:pPr>
        <w:spacing w:line="240" w:lineRule="atLeast"/>
        <w:ind w:firstLine="480" w:firstLineChars="200"/>
        <w:rPr>
          <w:rFonts w:ascii="Times New Roman" w:hAnsi="Times New Roman" w:cs="Times New Roman"/>
          <w:sz w:val="24"/>
          <w:szCs w:val="24"/>
        </w:rPr>
      </w:pPr>
    </w:p>
    <w:p w14:paraId="23F03B1B">
      <w:pPr>
        <w:pStyle w:val="5"/>
        <w:keepNext/>
        <w:keepLines/>
        <w:pageBreakBefore w:val="0"/>
        <w:widowControl w:val="0"/>
        <w:kinsoku/>
        <w:wordWrap/>
        <w:overflowPunct/>
        <w:topLinePunct w:val="0"/>
        <w:autoSpaceDE/>
        <w:autoSpaceDN/>
        <w:bidi w:val="0"/>
        <w:adjustRightInd/>
        <w:snapToGrid/>
        <w:textAlignment w:val="auto"/>
        <w:outlineLvl w:val="1"/>
        <w:rPr>
          <w:rFonts w:hint="eastAsia" w:ascii="楷体" w:hAnsi="楷体" w:eastAsia="楷体" w:cs="楷体"/>
          <w:sz w:val="32"/>
          <w:szCs w:val="32"/>
        </w:rPr>
      </w:pPr>
      <w:bookmarkStart w:id="93" w:name="_Toc12412"/>
      <w:bookmarkStart w:id="94" w:name="_Toc12351"/>
      <w:bookmarkStart w:id="95" w:name="_Toc18599"/>
      <w:bookmarkStart w:id="96" w:name="_Toc30882"/>
      <w:r>
        <w:rPr>
          <w:rFonts w:hint="eastAsia" w:ascii="楷体" w:hAnsi="楷体" w:eastAsia="楷体" w:cs="楷体"/>
          <w:sz w:val="32"/>
          <w:szCs w:val="32"/>
        </w:rPr>
        <w:t>2.4辅助设施</w:t>
      </w:r>
      <w:bookmarkEnd w:id="93"/>
      <w:bookmarkEnd w:id="94"/>
      <w:bookmarkEnd w:id="95"/>
      <w:bookmarkEnd w:id="96"/>
    </w:p>
    <w:p w14:paraId="0D743DF4">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lang w:val="en-US" w:eastAsia="zh-CN"/>
        </w:rPr>
      </w:pPr>
      <w:bookmarkStart w:id="97" w:name="_Toc7373"/>
      <w:r>
        <w:rPr>
          <w:rFonts w:hint="eastAsia" w:ascii="楷体" w:hAnsi="楷体" w:eastAsia="楷体" w:cs="楷体"/>
          <w:sz w:val="32"/>
          <w:szCs w:val="32"/>
          <w:lang w:val="en-US" w:eastAsia="zh-CN"/>
        </w:rPr>
        <w:t>2.4.1供配电</w:t>
      </w:r>
      <w:bookmarkEnd w:id="97"/>
    </w:p>
    <w:p w14:paraId="3B71D40D">
      <w:pPr>
        <w:keepNext w:val="0"/>
        <w:keepLines w:val="0"/>
        <w:pageBreakBefore w:val="0"/>
        <w:widowControl w:val="0"/>
        <w:tabs>
          <w:tab w:val="left" w:pos="3465"/>
        </w:tabs>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加油站供电负荷等级为三级，外接电源380V／220V采用铠装电缆引至位于配电间的配电箱，设独立的计量装置。低压配电接地型式采用TN-S系统。工控设备、信息系统设置UPS电源。</w:t>
      </w:r>
    </w:p>
    <w:p w14:paraId="243252A0">
      <w:pPr>
        <w:keepNext w:val="0"/>
        <w:keepLines w:val="0"/>
        <w:pageBreakBefore w:val="0"/>
        <w:widowControl w:val="0"/>
        <w:tabs>
          <w:tab w:val="left" w:pos="3465"/>
        </w:tabs>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主进线柜到其它配电箱采用放射式供电，配电干线选用电缆穿管埋地敷设。照明配电、插座均由不同支路供电，所有插座均设漏电保护器。</w:t>
      </w:r>
    </w:p>
    <w:p w14:paraId="3C21E4C2">
      <w:pPr>
        <w:keepNext w:val="0"/>
        <w:keepLines w:val="0"/>
        <w:pageBreakBefore w:val="0"/>
        <w:widowControl w:val="0"/>
        <w:tabs>
          <w:tab w:val="left" w:pos="3465"/>
        </w:tabs>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主配电柜采用落地明装。电缆采用穿管埋地敷设，站房照明、普通插座、空调插座管线沿墙体暗敷，罩棚照明沿网架穿管明敷。电气管线与其它管线平行或交叉时满足了安全距离，直埋电缆遇有过墙处均穿保护钢管。照明采用高效节能灯具，罩棚灯具采用LED灯，防护等级均不小于IP44；营业厅、罩棚、配电间等处设应急照明灯具，应急照明灯均自带蓄电池，应急时间大于30min。</w:t>
      </w:r>
    </w:p>
    <w:p w14:paraId="44CF4D88">
      <w:pPr>
        <w:pStyle w:val="6"/>
        <w:keepNext/>
        <w:keepLines/>
        <w:pageBreakBefore w:val="0"/>
        <w:widowControl w:val="0"/>
        <w:numPr>
          <w:ilvl w:val="0"/>
          <w:numId w:val="0"/>
        </w:numPr>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98" w:name="_Toc17814"/>
      <w:r>
        <w:rPr>
          <w:rFonts w:hint="eastAsia" w:ascii="楷体" w:hAnsi="楷体" w:eastAsia="楷体" w:cs="楷体"/>
          <w:sz w:val="32"/>
          <w:szCs w:val="32"/>
          <w:lang w:val="en-US" w:eastAsia="zh-CN"/>
        </w:rPr>
        <w:t>2.4.2</w:t>
      </w:r>
      <w:r>
        <w:rPr>
          <w:rFonts w:hint="eastAsia" w:ascii="楷体" w:hAnsi="楷体" w:eastAsia="楷体" w:cs="楷体"/>
          <w:sz w:val="32"/>
          <w:szCs w:val="32"/>
        </w:rPr>
        <w:t>给排水</w:t>
      </w:r>
      <w:bookmarkEnd w:id="98"/>
    </w:p>
    <w:p w14:paraId="736CB261">
      <w:pPr>
        <w:spacing w:line="600" w:lineRule="exact"/>
        <w:ind w:firstLine="560" w:firstLineChars="200"/>
        <w:rPr>
          <w:rFonts w:ascii="Times New Roman" w:hAnsi="Times New Roman" w:cs="Times New Roman"/>
          <w:sz w:val="28"/>
          <w:szCs w:val="28"/>
        </w:rPr>
      </w:pPr>
      <w:r>
        <w:rPr>
          <w:rFonts w:hint="eastAsia" w:ascii="Times New Roman" w:hAnsi="Times New Roman" w:cs="宋体"/>
          <w:sz w:val="28"/>
          <w:szCs w:val="28"/>
        </w:rPr>
        <w:t>加油站的经营、生活用水由当地自来水管网供给。</w:t>
      </w:r>
    </w:p>
    <w:p w14:paraId="17C7C444">
      <w:pPr>
        <w:tabs>
          <w:tab w:val="left" w:pos="3465"/>
        </w:tabs>
        <w:spacing w:line="360" w:lineRule="auto"/>
        <w:ind w:firstLine="560" w:firstLineChars="200"/>
        <w:jc w:val="left"/>
        <w:rPr>
          <w:rFonts w:cs="Times New Roman"/>
          <w:sz w:val="28"/>
          <w:szCs w:val="28"/>
        </w:rPr>
      </w:pPr>
      <w:r>
        <w:rPr>
          <w:rFonts w:hint="eastAsia" w:cs="宋体"/>
          <w:sz w:val="28"/>
          <w:szCs w:val="28"/>
        </w:rPr>
        <w:t>生活污水经化粪池处理，定期由相关人员前来清理。</w:t>
      </w:r>
    </w:p>
    <w:p w14:paraId="13B9B9F3">
      <w:pPr>
        <w:tabs>
          <w:tab w:val="left" w:pos="3465"/>
        </w:tabs>
        <w:spacing w:line="360" w:lineRule="auto"/>
        <w:ind w:firstLine="560" w:firstLineChars="200"/>
        <w:jc w:val="left"/>
        <w:rPr>
          <w:sz w:val="28"/>
          <w:szCs w:val="28"/>
        </w:rPr>
      </w:pPr>
      <w:r>
        <w:rPr>
          <w:rFonts w:hint="eastAsia" w:cs="宋体"/>
          <w:sz w:val="28"/>
          <w:szCs w:val="28"/>
        </w:rPr>
        <w:t>站区内地面雨水及加油岛地面冲洗水汇集至排水沟经隔油处理后排入自然体系。</w:t>
      </w:r>
    </w:p>
    <w:p w14:paraId="05824AD9">
      <w:pPr>
        <w:tabs>
          <w:tab w:val="left" w:pos="3465"/>
        </w:tabs>
        <w:spacing w:line="360" w:lineRule="auto"/>
        <w:ind w:firstLine="560" w:firstLineChars="200"/>
        <w:jc w:val="left"/>
        <w:rPr>
          <w:rFonts w:cs="Times New Roman"/>
        </w:rPr>
      </w:pPr>
      <w:r>
        <w:rPr>
          <w:rFonts w:hint="eastAsia" w:cs="宋体"/>
          <w:sz w:val="28"/>
          <w:szCs w:val="28"/>
        </w:rPr>
        <w:t>油罐清洗由专业队伍进行，清洗油罐的污水，集中收集送至有关处理机构进行处理。</w:t>
      </w:r>
    </w:p>
    <w:p w14:paraId="6CE0E290">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lang w:val="en-US" w:eastAsia="zh-CN"/>
        </w:rPr>
      </w:pPr>
      <w:bookmarkStart w:id="99" w:name="_Toc5069"/>
      <w:r>
        <w:rPr>
          <w:rFonts w:hint="eastAsia" w:ascii="楷体" w:hAnsi="楷体" w:eastAsia="楷体" w:cs="楷体"/>
          <w:sz w:val="32"/>
          <w:szCs w:val="32"/>
          <w:lang w:val="en-US" w:eastAsia="zh-CN"/>
        </w:rPr>
        <w:t>2.4.3供配电通讯</w:t>
      </w:r>
      <w:bookmarkEnd w:id="99"/>
    </w:p>
    <w:p w14:paraId="258B8BF2">
      <w:pPr>
        <w:spacing w:line="600" w:lineRule="exact"/>
        <w:ind w:firstLine="560" w:firstLineChars="200"/>
        <w:rPr>
          <w:rFonts w:cs="Times New Roman"/>
        </w:rPr>
      </w:pPr>
      <w:r>
        <w:rPr>
          <w:rFonts w:hint="eastAsia" w:ascii="Times New Roman" w:hAnsi="Times New Roman" w:cs="宋体"/>
          <w:sz w:val="28"/>
          <w:szCs w:val="28"/>
        </w:rPr>
        <w:t>加油站站房通讯设施有固定电话，配线采用直接配线方式。</w:t>
      </w:r>
    </w:p>
    <w:p w14:paraId="755ED265">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lang w:val="en-US" w:eastAsia="zh-CN"/>
        </w:rPr>
      </w:pPr>
      <w:bookmarkStart w:id="100" w:name="_Toc21407"/>
      <w:r>
        <w:rPr>
          <w:rFonts w:hint="eastAsia" w:ascii="楷体" w:hAnsi="楷体" w:eastAsia="楷体" w:cs="楷体"/>
          <w:sz w:val="32"/>
          <w:szCs w:val="32"/>
          <w:lang w:val="en-US" w:eastAsia="zh-CN"/>
        </w:rPr>
        <w:t>2.4.4视频监控系统</w:t>
      </w:r>
      <w:bookmarkEnd w:id="100"/>
    </w:p>
    <w:p w14:paraId="24B79B63">
      <w:pPr>
        <w:spacing w:line="58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加油站安装视频监控系统，显示屏设在站房内，可以观察整个站区情况，如有意外情况能够及时发现。其中进出口各1个，加油区2个，便利店1个，财务室1个</w:t>
      </w:r>
      <w:r>
        <w:rPr>
          <w:rFonts w:hint="eastAsia" w:ascii="宋体" w:hAnsi="宋体" w:eastAsia="宋体" w:cs="宋体"/>
          <w:sz w:val="28"/>
          <w:szCs w:val="28"/>
          <w:lang w:eastAsia="zh-CN"/>
        </w:rPr>
        <w:t>，</w:t>
      </w:r>
      <w:r>
        <w:rPr>
          <w:rFonts w:hint="eastAsia" w:ascii="宋体" w:hAnsi="宋体" w:eastAsia="宋体" w:cs="宋体"/>
          <w:sz w:val="28"/>
          <w:szCs w:val="28"/>
        </w:rPr>
        <w:t>油罐区3个，共9个，摄像头均处于爆炸危险区域之外。</w:t>
      </w:r>
    </w:p>
    <w:p w14:paraId="0179F005">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101" w:name="_Toc18486"/>
      <w:r>
        <w:rPr>
          <w:rFonts w:hint="eastAsia" w:ascii="楷体" w:hAnsi="楷体" w:eastAsia="楷体" w:cs="楷体"/>
          <w:sz w:val="32"/>
          <w:szCs w:val="32"/>
        </w:rPr>
        <w:t>2.4.</w:t>
      </w:r>
      <w:r>
        <w:rPr>
          <w:rFonts w:hint="eastAsia" w:ascii="楷体" w:hAnsi="楷体" w:eastAsia="楷体" w:cs="楷体"/>
          <w:sz w:val="32"/>
          <w:szCs w:val="32"/>
          <w:lang w:val="en-US" w:eastAsia="zh-CN"/>
        </w:rPr>
        <w:t>5</w:t>
      </w:r>
      <w:r>
        <w:rPr>
          <w:rFonts w:hint="eastAsia" w:ascii="楷体" w:hAnsi="楷体" w:eastAsia="楷体" w:cs="楷体"/>
          <w:sz w:val="32"/>
          <w:szCs w:val="32"/>
        </w:rPr>
        <w:t>供配电防雷</w:t>
      </w:r>
      <w:bookmarkEnd w:id="101"/>
    </w:p>
    <w:p w14:paraId="50C29D8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加油站防雷设施经</w:t>
      </w:r>
      <w:r>
        <w:rPr>
          <w:rFonts w:hint="eastAsia" w:ascii="宋体" w:hAnsi="宋体" w:cs="宋体"/>
          <w:sz w:val="28"/>
          <w:szCs w:val="28"/>
          <w:lang w:val="en-US" w:eastAsia="zh-CN"/>
        </w:rPr>
        <w:t>江西赣象防雷检测中心有限公司上饶分公司</w:t>
      </w:r>
      <w:r>
        <w:rPr>
          <w:rFonts w:hint="eastAsia" w:ascii="宋体" w:hAnsi="宋体" w:eastAsia="宋体" w:cs="宋体"/>
          <w:sz w:val="28"/>
          <w:szCs w:val="28"/>
        </w:rPr>
        <w:t>检测合格，有效期至202</w:t>
      </w:r>
      <w:r>
        <w:rPr>
          <w:rFonts w:hint="eastAsia" w:ascii="宋体" w:hAnsi="宋体" w:cs="宋体"/>
          <w:sz w:val="28"/>
          <w:szCs w:val="28"/>
          <w:lang w:val="en-US" w:eastAsia="zh-CN"/>
        </w:rPr>
        <w:t>4</w:t>
      </w:r>
      <w:r>
        <w:rPr>
          <w:rFonts w:hint="eastAsia" w:ascii="宋体" w:hAnsi="宋体" w:eastAsia="宋体" w:cs="宋体"/>
          <w:sz w:val="28"/>
          <w:szCs w:val="28"/>
        </w:rPr>
        <w:t>年</w:t>
      </w:r>
      <w:r>
        <w:rPr>
          <w:rFonts w:hint="eastAsia" w:ascii="宋体" w:hAnsi="宋体" w:cs="宋体"/>
          <w:sz w:val="28"/>
          <w:szCs w:val="28"/>
          <w:lang w:val="en-US" w:eastAsia="zh-CN"/>
        </w:rPr>
        <w:t>8</w:t>
      </w:r>
      <w:r>
        <w:rPr>
          <w:rFonts w:hint="eastAsia" w:ascii="宋体" w:hAnsi="宋体" w:eastAsia="宋体" w:cs="宋体"/>
          <w:sz w:val="28"/>
          <w:szCs w:val="28"/>
        </w:rPr>
        <w:t>月</w:t>
      </w:r>
      <w:r>
        <w:rPr>
          <w:rFonts w:hint="eastAsia" w:ascii="宋体" w:hAnsi="宋体" w:cs="宋体"/>
          <w:sz w:val="28"/>
          <w:szCs w:val="28"/>
          <w:lang w:val="en-US" w:eastAsia="zh-CN"/>
        </w:rPr>
        <w:t>1</w:t>
      </w:r>
      <w:r>
        <w:rPr>
          <w:rFonts w:hint="eastAsia" w:ascii="宋体" w:hAnsi="宋体" w:eastAsia="宋体" w:cs="宋体"/>
          <w:sz w:val="28"/>
          <w:szCs w:val="28"/>
        </w:rPr>
        <w:t>日。</w:t>
      </w:r>
      <w:r>
        <w:rPr>
          <w:rFonts w:hint="eastAsia" w:ascii="宋体" w:hAnsi="宋体" w:cs="宋体"/>
          <w:sz w:val="28"/>
          <w:szCs w:val="28"/>
          <w:lang w:eastAsia="zh-CN"/>
        </w:rPr>
        <w:t>（</w:t>
      </w:r>
      <w:r>
        <w:rPr>
          <w:rFonts w:hint="eastAsia" w:ascii="宋体" w:hAnsi="宋体" w:cs="宋体"/>
          <w:sz w:val="28"/>
          <w:szCs w:val="28"/>
          <w:lang w:val="en-US" w:eastAsia="zh-CN"/>
        </w:rPr>
        <w:t>见附图</w:t>
      </w:r>
      <w:r>
        <w:rPr>
          <w:rFonts w:hint="eastAsia" w:ascii="宋体" w:hAnsi="宋体" w:cs="宋体"/>
          <w:sz w:val="28"/>
          <w:szCs w:val="28"/>
          <w:lang w:eastAsia="zh-CN"/>
        </w:rPr>
        <w:t>）</w:t>
      </w:r>
    </w:p>
    <w:p w14:paraId="013E10D5">
      <w:pPr>
        <w:pStyle w:val="5"/>
        <w:keepNext/>
        <w:keepLines/>
        <w:pageBreakBefore w:val="0"/>
        <w:widowControl w:val="0"/>
        <w:kinsoku/>
        <w:wordWrap/>
        <w:overflowPunct/>
        <w:topLinePunct w:val="0"/>
        <w:autoSpaceDE/>
        <w:autoSpaceDN/>
        <w:bidi w:val="0"/>
        <w:adjustRightInd/>
        <w:snapToGrid/>
        <w:textAlignment w:val="auto"/>
        <w:outlineLvl w:val="1"/>
        <w:rPr>
          <w:rFonts w:hint="eastAsia" w:ascii="楷体" w:hAnsi="楷体" w:eastAsia="楷体" w:cs="楷体"/>
          <w:sz w:val="32"/>
          <w:szCs w:val="32"/>
        </w:rPr>
      </w:pPr>
      <w:bookmarkStart w:id="102" w:name="_Toc27421"/>
      <w:bookmarkStart w:id="103" w:name="_Toc24639"/>
      <w:bookmarkStart w:id="104" w:name="_Toc1271"/>
      <w:bookmarkStart w:id="105" w:name="_Toc29690"/>
      <w:r>
        <w:rPr>
          <w:rFonts w:hint="eastAsia" w:ascii="楷体" w:hAnsi="楷体" w:eastAsia="楷体" w:cs="楷体"/>
          <w:sz w:val="32"/>
          <w:szCs w:val="32"/>
        </w:rPr>
        <w:t>2.5消防、安全设施</w:t>
      </w:r>
      <w:bookmarkEnd w:id="102"/>
      <w:bookmarkEnd w:id="103"/>
      <w:bookmarkEnd w:id="104"/>
      <w:bookmarkEnd w:id="105"/>
    </w:p>
    <w:p w14:paraId="515F21D2">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lang w:val="en-US" w:eastAsia="zh-CN"/>
        </w:rPr>
      </w:pPr>
      <w:bookmarkStart w:id="106" w:name="_Toc8969"/>
      <w:r>
        <w:rPr>
          <w:rFonts w:hint="eastAsia" w:ascii="楷体" w:hAnsi="楷体" w:eastAsia="楷体" w:cs="楷体"/>
          <w:sz w:val="32"/>
          <w:szCs w:val="32"/>
          <w:lang w:val="en-US" w:eastAsia="zh-CN"/>
        </w:rPr>
        <w:t>2.5.1消防设施</w:t>
      </w:r>
      <w:bookmarkEnd w:id="106"/>
    </w:p>
    <w:p w14:paraId="7F16EE3C">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sz w:val="28"/>
          <w:szCs w:val="28"/>
        </w:rPr>
        <w:t>加油站设</w:t>
      </w:r>
      <w:r>
        <w:rPr>
          <w:rFonts w:hint="eastAsia" w:ascii="宋体" w:hAnsi="宋体" w:eastAsia="宋体" w:cs="宋体"/>
          <w:sz w:val="28"/>
          <w:szCs w:val="28"/>
        </w:rPr>
        <w:t>有35kg推车式干粉灭火器</w:t>
      </w:r>
      <w:r>
        <w:rPr>
          <w:rFonts w:hint="eastAsia" w:ascii="宋体" w:hAnsi="宋体" w:cs="宋体"/>
          <w:sz w:val="28"/>
          <w:szCs w:val="28"/>
          <w:lang w:eastAsia="zh-CN"/>
        </w:rPr>
        <w:t>（</w:t>
      </w:r>
      <w:r>
        <w:rPr>
          <w:rFonts w:hint="eastAsia" w:ascii="宋体" w:hAnsi="宋体" w:eastAsia="宋体" w:cs="宋体"/>
          <w:sz w:val="28"/>
          <w:szCs w:val="28"/>
        </w:rPr>
        <w:t>MFTZ35</w:t>
      </w:r>
      <w:r>
        <w:rPr>
          <w:rFonts w:hint="eastAsia" w:ascii="宋体" w:hAnsi="宋体" w:cs="宋体"/>
          <w:sz w:val="28"/>
          <w:szCs w:val="28"/>
          <w:lang w:eastAsia="zh-CN"/>
        </w:rPr>
        <w:t>）</w:t>
      </w:r>
      <w:r>
        <w:rPr>
          <w:rFonts w:hint="eastAsia" w:ascii="宋体" w:hAnsi="宋体" w:eastAsia="宋体" w:cs="宋体"/>
          <w:sz w:val="28"/>
          <w:szCs w:val="28"/>
        </w:rPr>
        <w:t>1台，</w:t>
      </w:r>
      <w:r>
        <w:rPr>
          <w:rFonts w:hint="eastAsia" w:ascii="宋体" w:hAnsi="宋体" w:cs="宋体"/>
          <w:sz w:val="28"/>
          <w:szCs w:val="28"/>
          <w:lang w:val="en-US" w:eastAsia="zh-CN"/>
        </w:rPr>
        <w:t>5</w:t>
      </w:r>
      <w:r>
        <w:rPr>
          <w:rFonts w:hint="eastAsia" w:ascii="宋体" w:hAnsi="宋体" w:eastAsia="宋体" w:cs="宋体"/>
          <w:sz w:val="28"/>
          <w:szCs w:val="28"/>
        </w:rPr>
        <w:t>kg手提式干粉灭火器</w:t>
      </w:r>
      <w:r>
        <w:rPr>
          <w:rFonts w:hint="eastAsia" w:ascii="宋体" w:hAnsi="宋体" w:cs="宋体"/>
          <w:sz w:val="28"/>
          <w:szCs w:val="28"/>
          <w:lang w:eastAsia="zh-CN"/>
        </w:rPr>
        <w:t>（</w:t>
      </w:r>
      <w:r>
        <w:rPr>
          <w:rFonts w:hint="eastAsia" w:ascii="宋体" w:hAnsi="宋体" w:eastAsia="宋体" w:cs="宋体"/>
          <w:sz w:val="28"/>
          <w:szCs w:val="28"/>
        </w:rPr>
        <w:t>MFC/ABC8</w:t>
      </w:r>
      <w:r>
        <w:rPr>
          <w:rFonts w:hint="eastAsia" w:ascii="宋体" w:hAnsi="宋体" w:cs="宋体"/>
          <w:sz w:val="28"/>
          <w:szCs w:val="28"/>
          <w:lang w:eastAsia="zh-CN"/>
        </w:rPr>
        <w:t>）</w:t>
      </w:r>
      <w:r>
        <w:rPr>
          <w:rFonts w:hint="eastAsia" w:ascii="宋体" w:hAnsi="宋体" w:eastAsia="宋体" w:cs="宋体"/>
          <w:sz w:val="28"/>
          <w:szCs w:val="28"/>
        </w:rPr>
        <w:t>2个，</w:t>
      </w:r>
      <w:r>
        <w:rPr>
          <w:rFonts w:hint="eastAsia" w:ascii="宋体" w:hAnsi="宋体" w:cs="宋体"/>
          <w:sz w:val="28"/>
          <w:szCs w:val="28"/>
          <w:lang w:val="en-US" w:eastAsia="zh-CN"/>
        </w:rPr>
        <w:t>5</w:t>
      </w:r>
      <w:r>
        <w:rPr>
          <w:rFonts w:hint="eastAsia" w:ascii="宋体" w:hAnsi="宋体" w:eastAsia="宋体" w:cs="宋体"/>
          <w:sz w:val="28"/>
          <w:szCs w:val="28"/>
        </w:rPr>
        <w:t>kg手提式干粉灭火器</w:t>
      </w:r>
      <w:r>
        <w:rPr>
          <w:rFonts w:hint="eastAsia" w:ascii="宋体" w:hAnsi="宋体" w:cs="宋体"/>
          <w:sz w:val="28"/>
          <w:szCs w:val="28"/>
          <w:lang w:val="en-US" w:eastAsia="zh-CN"/>
        </w:rPr>
        <w:t>(</w:t>
      </w:r>
      <w:r>
        <w:rPr>
          <w:rFonts w:hint="eastAsia" w:ascii="宋体" w:hAnsi="宋体" w:eastAsia="宋体" w:cs="宋体"/>
          <w:sz w:val="28"/>
          <w:szCs w:val="28"/>
        </w:rPr>
        <w:t>MFZ/ABC8</w:t>
      </w:r>
      <w:r>
        <w:rPr>
          <w:rFonts w:hint="eastAsia" w:ascii="宋体" w:hAnsi="宋体" w:cs="宋体"/>
          <w:sz w:val="28"/>
          <w:szCs w:val="28"/>
          <w:lang w:val="en-US" w:eastAsia="zh-CN"/>
        </w:rPr>
        <w:t>)7</w:t>
      </w:r>
      <w:r>
        <w:rPr>
          <w:rFonts w:hint="eastAsia" w:ascii="宋体" w:hAnsi="宋体" w:eastAsia="宋体" w:cs="宋体"/>
          <w:sz w:val="28"/>
          <w:szCs w:val="28"/>
        </w:rPr>
        <w:t>个，手提式二氧化碳灭火器</w:t>
      </w:r>
      <w:r>
        <w:rPr>
          <w:rFonts w:hint="eastAsia" w:ascii="宋体" w:hAnsi="宋体" w:cs="宋体"/>
          <w:sz w:val="28"/>
          <w:szCs w:val="28"/>
          <w:lang w:val="en-US" w:eastAsia="zh-CN"/>
        </w:rPr>
        <w:t>(</w:t>
      </w:r>
      <w:r>
        <w:rPr>
          <w:rFonts w:hint="eastAsia" w:ascii="宋体" w:hAnsi="宋体" w:eastAsia="宋体" w:cs="宋体"/>
          <w:sz w:val="28"/>
          <w:szCs w:val="28"/>
        </w:rPr>
        <w:t>MT/3</w:t>
      </w:r>
      <w:r>
        <w:rPr>
          <w:rFonts w:hint="eastAsia" w:ascii="宋体" w:hAnsi="宋体" w:cs="宋体"/>
          <w:sz w:val="28"/>
          <w:szCs w:val="28"/>
          <w:lang w:val="en-US" w:eastAsia="zh-CN"/>
        </w:rPr>
        <w:t>)</w:t>
      </w:r>
      <w:r>
        <w:rPr>
          <w:rFonts w:hint="eastAsia" w:ascii="宋体" w:hAnsi="宋体" w:eastAsia="宋体" w:cs="宋体"/>
          <w:sz w:val="28"/>
          <w:szCs w:val="28"/>
        </w:rPr>
        <w:t>4个，灭火毯</w:t>
      </w:r>
      <w:r>
        <w:rPr>
          <w:rFonts w:hint="eastAsia" w:ascii="宋体" w:hAnsi="宋体" w:cs="宋体"/>
          <w:sz w:val="28"/>
          <w:szCs w:val="28"/>
          <w:lang w:val="en-US" w:eastAsia="zh-CN"/>
        </w:rPr>
        <w:t>9</w:t>
      </w:r>
      <w:r>
        <w:rPr>
          <w:rFonts w:hint="eastAsia" w:ascii="宋体" w:hAnsi="宋体" w:eastAsia="宋体" w:cs="宋体"/>
          <w:sz w:val="28"/>
          <w:szCs w:val="28"/>
        </w:rPr>
        <w:t>床，2m³消防沙池1个，消防铲5把。</w:t>
      </w:r>
    </w:p>
    <w:p w14:paraId="4FF69634">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表2-6消防设施一览表</w:t>
      </w:r>
    </w:p>
    <w:tbl>
      <w:tblPr>
        <w:tblStyle w:val="19"/>
        <w:tblW w:w="8956"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
        <w:gridCol w:w="2473"/>
        <w:gridCol w:w="1254"/>
        <w:gridCol w:w="765"/>
        <w:gridCol w:w="929"/>
        <w:gridCol w:w="2955"/>
      </w:tblGrid>
      <w:tr w14:paraId="35387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580" w:type="dxa"/>
            <w:vAlign w:val="center"/>
          </w:tcPr>
          <w:p w14:paraId="3DE7CCC2">
            <w:pPr>
              <w:jc w:val="center"/>
              <w:rPr>
                <w:rFonts w:ascii="Times New Roman" w:hAnsi="Times New Roman" w:cs="Times New Roman"/>
                <w:kern w:val="0"/>
              </w:rPr>
            </w:pPr>
            <w:r>
              <w:rPr>
                <w:rFonts w:hint="eastAsia" w:ascii="Times New Roman" w:hAnsi="Times New Roman" w:cs="宋体"/>
                <w:kern w:val="0"/>
              </w:rPr>
              <w:t>序号</w:t>
            </w:r>
          </w:p>
        </w:tc>
        <w:tc>
          <w:tcPr>
            <w:tcW w:w="2473" w:type="dxa"/>
            <w:vAlign w:val="center"/>
          </w:tcPr>
          <w:p w14:paraId="1195D539">
            <w:pPr>
              <w:jc w:val="center"/>
              <w:rPr>
                <w:rFonts w:ascii="Times New Roman" w:hAnsi="Times New Roman" w:cs="Times New Roman"/>
                <w:kern w:val="0"/>
              </w:rPr>
            </w:pPr>
            <w:r>
              <w:rPr>
                <w:rFonts w:hint="eastAsia" w:ascii="Times New Roman" w:hAnsi="Times New Roman" w:cs="宋体"/>
                <w:kern w:val="0"/>
              </w:rPr>
              <w:t>物资及设备名称</w:t>
            </w:r>
          </w:p>
        </w:tc>
        <w:tc>
          <w:tcPr>
            <w:tcW w:w="1254" w:type="dxa"/>
            <w:vAlign w:val="center"/>
          </w:tcPr>
          <w:p w14:paraId="2D4BB8EB">
            <w:pPr>
              <w:jc w:val="center"/>
              <w:rPr>
                <w:rFonts w:ascii="Times New Roman" w:hAnsi="Times New Roman" w:cs="Times New Roman"/>
                <w:kern w:val="0"/>
              </w:rPr>
            </w:pPr>
            <w:r>
              <w:rPr>
                <w:rFonts w:hint="eastAsia" w:ascii="Times New Roman" w:hAnsi="Times New Roman" w:cs="宋体"/>
                <w:kern w:val="0"/>
              </w:rPr>
              <w:t>型号</w:t>
            </w:r>
          </w:p>
        </w:tc>
        <w:tc>
          <w:tcPr>
            <w:tcW w:w="765" w:type="dxa"/>
            <w:vAlign w:val="center"/>
          </w:tcPr>
          <w:p w14:paraId="39489AF4">
            <w:pPr>
              <w:jc w:val="center"/>
              <w:rPr>
                <w:rFonts w:ascii="Times New Roman" w:hAnsi="Times New Roman" w:cs="Times New Roman"/>
                <w:kern w:val="0"/>
              </w:rPr>
            </w:pPr>
            <w:r>
              <w:rPr>
                <w:rFonts w:hint="eastAsia" w:ascii="Times New Roman" w:hAnsi="Times New Roman" w:cs="宋体"/>
                <w:kern w:val="0"/>
              </w:rPr>
              <w:t>单位</w:t>
            </w:r>
          </w:p>
        </w:tc>
        <w:tc>
          <w:tcPr>
            <w:tcW w:w="929" w:type="dxa"/>
            <w:vAlign w:val="center"/>
          </w:tcPr>
          <w:p w14:paraId="4CB0F605">
            <w:pPr>
              <w:jc w:val="center"/>
              <w:rPr>
                <w:rFonts w:ascii="Times New Roman" w:hAnsi="Times New Roman" w:cs="Times New Roman"/>
                <w:kern w:val="0"/>
              </w:rPr>
            </w:pPr>
            <w:r>
              <w:rPr>
                <w:rFonts w:hint="eastAsia" w:ascii="Times New Roman" w:hAnsi="Times New Roman" w:cs="宋体"/>
                <w:kern w:val="0"/>
              </w:rPr>
              <w:t>数量</w:t>
            </w:r>
          </w:p>
        </w:tc>
        <w:tc>
          <w:tcPr>
            <w:tcW w:w="2955" w:type="dxa"/>
            <w:vAlign w:val="center"/>
          </w:tcPr>
          <w:p w14:paraId="363084DF">
            <w:pPr>
              <w:jc w:val="center"/>
              <w:rPr>
                <w:rFonts w:ascii="Times New Roman" w:hAnsi="Times New Roman" w:cs="Times New Roman"/>
                <w:kern w:val="0"/>
              </w:rPr>
            </w:pPr>
            <w:r>
              <w:rPr>
                <w:rFonts w:hint="eastAsia" w:ascii="Times New Roman" w:hAnsi="Times New Roman" w:cs="宋体"/>
                <w:kern w:val="0"/>
              </w:rPr>
              <w:t>存放位置</w:t>
            </w:r>
          </w:p>
        </w:tc>
      </w:tr>
      <w:tr w14:paraId="62A70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580" w:type="dxa"/>
            <w:vAlign w:val="center"/>
          </w:tcPr>
          <w:p w14:paraId="54CD60CC">
            <w:pPr>
              <w:jc w:val="center"/>
              <w:rPr>
                <w:rFonts w:hint="eastAsia" w:ascii="宋体" w:hAnsi="宋体" w:eastAsia="宋体" w:cs="宋体"/>
                <w:kern w:val="0"/>
              </w:rPr>
            </w:pPr>
            <w:r>
              <w:rPr>
                <w:rFonts w:hint="eastAsia" w:ascii="宋体" w:hAnsi="宋体" w:eastAsia="宋体" w:cs="宋体"/>
                <w:kern w:val="0"/>
              </w:rPr>
              <w:t>1</w:t>
            </w:r>
          </w:p>
        </w:tc>
        <w:tc>
          <w:tcPr>
            <w:tcW w:w="2473" w:type="dxa"/>
            <w:vAlign w:val="center"/>
          </w:tcPr>
          <w:p w14:paraId="6A94335A">
            <w:pPr>
              <w:jc w:val="center"/>
              <w:rPr>
                <w:rFonts w:hint="eastAsia" w:ascii="宋体" w:hAnsi="宋体" w:eastAsia="宋体" w:cs="宋体"/>
                <w:kern w:val="0"/>
              </w:rPr>
            </w:pPr>
            <w:r>
              <w:rPr>
                <w:rFonts w:hint="eastAsia" w:ascii="宋体" w:hAnsi="宋体" w:eastAsia="宋体" w:cs="宋体"/>
                <w:kern w:val="0"/>
              </w:rPr>
              <w:t>35kg</w:t>
            </w:r>
            <w:r>
              <w:rPr>
                <w:rFonts w:hint="eastAsia" w:ascii="宋体" w:hAnsi="宋体" w:cs="宋体"/>
                <w:kern w:val="0"/>
                <w:lang w:val="en-US" w:eastAsia="zh-CN"/>
              </w:rPr>
              <w:t>推车式</w:t>
            </w:r>
            <w:r>
              <w:rPr>
                <w:rFonts w:hint="eastAsia" w:ascii="宋体" w:hAnsi="宋体" w:eastAsia="宋体" w:cs="宋体"/>
                <w:kern w:val="0"/>
              </w:rPr>
              <w:t>干粉灭火器</w:t>
            </w:r>
          </w:p>
        </w:tc>
        <w:tc>
          <w:tcPr>
            <w:tcW w:w="1254" w:type="dxa"/>
            <w:vAlign w:val="center"/>
          </w:tcPr>
          <w:p w14:paraId="6ABBC640">
            <w:pPr>
              <w:jc w:val="center"/>
              <w:rPr>
                <w:rFonts w:hint="eastAsia" w:ascii="宋体" w:hAnsi="宋体" w:eastAsia="宋体" w:cs="宋体"/>
                <w:kern w:val="0"/>
              </w:rPr>
            </w:pPr>
            <w:r>
              <w:rPr>
                <w:rFonts w:hint="eastAsia" w:ascii="宋体" w:hAnsi="宋体" w:eastAsia="宋体" w:cs="宋体"/>
                <w:kern w:val="0"/>
              </w:rPr>
              <w:t>MFTZ35</w:t>
            </w:r>
          </w:p>
        </w:tc>
        <w:tc>
          <w:tcPr>
            <w:tcW w:w="765" w:type="dxa"/>
            <w:vAlign w:val="center"/>
          </w:tcPr>
          <w:p w14:paraId="0268623A">
            <w:pPr>
              <w:jc w:val="center"/>
              <w:rPr>
                <w:rFonts w:hint="eastAsia" w:ascii="宋体" w:hAnsi="宋体" w:eastAsia="宋体" w:cs="宋体"/>
                <w:kern w:val="0"/>
                <w:lang w:eastAsia="zh-CN"/>
              </w:rPr>
            </w:pPr>
            <w:r>
              <w:rPr>
                <w:rFonts w:hint="eastAsia" w:ascii="宋体" w:hAnsi="宋体" w:cs="宋体"/>
                <w:kern w:val="0"/>
                <w:lang w:val="en-US" w:eastAsia="zh-CN"/>
              </w:rPr>
              <w:t>只</w:t>
            </w:r>
          </w:p>
        </w:tc>
        <w:tc>
          <w:tcPr>
            <w:tcW w:w="929" w:type="dxa"/>
            <w:vAlign w:val="center"/>
          </w:tcPr>
          <w:p w14:paraId="61A34A6D">
            <w:pPr>
              <w:jc w:val="center"/>
              <w:rPr>
                <w:rFonts w:hint="eastAsia" w:ascii="宋体" w:hAnsi="宋体" w:eastAsia="宋体" w:cs="宋体"/>
                <w:kern w:val="0"/>
              </w:rPr>
            </w:pPr>
            <w:r>
              <w:rPr>
                <w:rFonts w:hint="eastAsia" w:ascii="宋体" w:hAnsi="宋体" w:eastAsia="宋体" w:cs="宋体"/>
                <w:kern w:val="0"/>
              </w:rPr>
              <w:t>1</w:t>
            </w:r>
          </w:p>
        </w:tc>
        <w:tc>
          <w:tcPr>
            <w:tcW w:w="2955" w:type="dxa"/>
            <w:vAlign w:val="center"/>
          </w:tcPr>
          <w:p w14:paraId="2B80C7F7">
            <w:pPr>
              <w:jc w:val="center"/>
              <w:rPr>
                <w:rFonts w:hint="eastAsia" w:ascii="宋体" w:hAnsi="宋体" w:eastAsia="宋体" w:cs="宋体"/>
                <w:kern w:val="0"/>
              </w:rPr>
            </w:pPr>
            <w:r>
              <w:rPr>
                <w:rFonts w:hint="eastAsia" w:ascii="宋体" w:hAnsi="宋体" w:eastAsia="宋体" w:cs="宋体"/>
                <w:kern w:val="0"/>
              </w:rPr>
              <w:t>卸油区</w:t>
            </w:r>
          </w:p>
        </w:tc>
      </w:tr>
      <w:tr w14:paraId="2B95C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580" w:type="dxa"/>
            <w:vAlign w:val="center"/>
          </w:tcPr>
          <w:p w14:paraId="2CF7F8A2">
            <w:pPr>
              <w:jc w:val="center"/>
              <w:rPr>
                <w:rFonts w:hint="eastAsia" w:ascii="宋体" w:hAnsi="宋体" w:eastAsia="宋体" w:cs="宋体"/>
                <w:kern w:val="0"/>
              </w:rPr>
            </w:pPr>
            <w:r>
              <w:rPr>
                <w:rFonts w:hint="eastAsia" w:ascii="宋体" w:hAnsi="宋体" w:eastAsia="宋体" w:cs="宋体"/>
                <w:kern w:val="0"/>
              </w:rPr>
              <w:t>2</w:t>
            </w:r>
          </w:p>
        </w:tc>
        <w:tc>
          <w:tcPr>
            <w:tcW w:w="2473" w:type="dxa"/>
            <w:vAlign w:val="center"/>
          </w:tcPr>
          <w:p w14:paraId="7721DFFB">
            <w:pPr>
              <w:jc w:val="center"/>
              <w:rPr>
                <w:rFonts w:hint="eastAsia" w:ascii="宋体" w:hAnsi="宋体" w:eastAsia="宋体" w:cs="宋体"/>
                <w:kern w:val="0"/>
              </w:rPr>
            </w:pPr>
            <w:r>
              <w:rPr>
                <w:rFonts w:hint="eastAsia" w:ascii="宋体" w:hAnsi="宋体" w:cs="宋体"/>
                <w:kern w:val="0"/>
                <w:lang w:val="en-US" w:eastAsia="zh-CN"/>
              </w:rPr>
              <w:t>5</w:t>
            </w:r>
            <w:r>
              <w:rPr>
                <w:rFonts w:hint="eastAsia" w:ascii="宋体" w:hAnsi="宋体" w:eastAsia="宋体" w:cs="宋体"/>
                <w:kern w:val="0"/>
              </w:rPr>
              <w:t>kg</w:t>
            </w:r>
            <w:r>
              <w:rPr>
                <w:rFonts w:hint="eastAsia" w:ascii="宋体" w:hAnsi="宋体" w:cs="宋体"/>
                <w:kern w:val="0"/>
                <w:lang w:val="en-US" w:eastAsia="zh-CN"/>
              </w:rPr>
              <w:t>手提式</w:t>
            </w:r>
            <w:r>
              <w:rPr>
                <w:rFonts w:hint="eastAsia" w:ascii="宋体" w:hAnsi="宋体" w:eastAsia="宋体" w:cs="宋体"/>
                <w:kern w:val="0"/>
              </w:rPr>
              <w:t>干粉灭火器</w:t>
            </w:r>
          </w:p>
        </w:tc>
        <w:tc>
          <w:tcPr>
            <w:tcW w:w="1254" w:type="dxa"/>
            <w:vAlign w:val="center"/>
          </w:tcPr>
          <w:p w14:paraId="6C485B27">
            <w:pPr>
              <w:jc w:val="center"/>
              <w:rPr>
                <w:rFonts w:hint="eastAsia" w:ascii="宋体" w:hAnsi="宋体" w:eastAsia="宋体" w:cs="宋体"/>
                <w:kern w:val="0"/>
              </w:rPr>
            </w:pPr>
            <w:r>
              <w:rPr>
                <w:rFonts w:hint="eastAsia" w:ascii="宋体" w:hAnsi="宋体" w:eastAsia="宋体" w:cs="宋体"/>
                <w:kern w:val="0"/>
              </w:rPr>
              <w:t>MFC/ABC8</w:t>
            </w:r>
          </w:p>
        </w:tc>
        <w:tc>
          <w:tcPr>
            <w:tcW w:w="765" w:type="dxa"/>
            <w:vAlign w:val="center"/>
          </w:tcPr>
          <w:p w14:paraId="12D44160">
            <w:pPr>
              <w:jc w:val="center"/>
              <w:rPr>
                <w:rFonts w:hint="default" w:ascii="宋体" w:hAnsi="宋体" w:eastAsia="宋体" w:cs="宋体"/>
                <w:kern w:val="0"/>
                <w:lang w:val="en-US" w:eastAsia="zh-CN"/>
              </w:rPr>
            </w:pPr>
            <w:r>
              <w:rPr>
                <w:rFonts w:hint="eastAsia" w:ascii="宋体" w:hAnsi="宋体" w:cs="宋体"/>
                <w:kern w:val="0"/>
                <w:lang w:val="en-US" w:eastAsia="zh-CN"/>
              </w:rPr>
              <w:t>只</w:t>
            </w:r>
          </w:p>
        </w:tc>
        <w:tc>
          <w:tcPr>
            <w:tcW w:w="929" w:type="dxa"/>
            <w:vAlign w:val="center"/>
          </w:tcPr>
          <w:p w14:paraId="2E9E74C4">
            <w:pPr>
              <w:jc w:val="center"/>
              <w:rPr>
                <w:rFonts w:hint="eastAsia" w:ascii="宋体" w:hAnsi="宋体" w:eastAsia="宋体" w:cs="宋体"/>
                <w:kern w:val="0"/>
              </w:rPr>
            </w:pPr>
            <w:r>
              <w:rPr>
                <w:rFonts w:hint="eastAsia" w:ascii="宋体" w:hAnsi="宋体" w:eastAsia="宋体" w:cs="宋体"/>
                <w:kern w:val="0"/>
              </w:rPr>
              <w:t>2</w:t>
            </w:r>
          </w:p>
        </w:tc>
        <w:tc>
          <w:tcPr>
            <w:tcW w:w="2955" w:type="dxa"/>
            <w:vAlign w:val="center"/>
          </w:tcPr>
          <w:p w14:paraId="489DD1CA">
            <w:pPr>
              <w:jc w:val="center"/>
              <w:rPr>
                <w:rFonts w:hint="eastAsia" w:ascii="宋体" w:hAnsi="宋体" w:eastAsia="宋体" w:cs="宋体"/>
                <w:kern w:val="0"/>
              </w:rPr>
            </w:pPr>
            <w:r>
              <w:rPr>
                <w:rFonts w:hint="eastAsia" w:ascii="宋体" w:hAnsi="宋体" w:eastAsia="宋体" w:cs="宋体"/>
                <w:kern w:val="0"/>
              </w:rPr>
              <w:t>卸油区</w:t>
            </w:r>
          </w:p>
        </w:tc>
      </w:tr>
      <w:tr w14:paraId="082C3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580" w:type="dxa"/>
            <w:vAlign w:val="center"/>
          </w:tcPr>
          <w:p w14:paraId="6E9BBF8A">
            <w:pPr>
              <w:jc w:val="center"/>
              <w:rPr>
                <w:rFonts w:hint="eastAsia" w:ascii="宋体" w:hAnsi="宋体" w:eastAsia="宋体" w:cs="宋体"/>
                <w:kern w:val="0"/>
              </w:rPr>
            </w:pPr>
            <w:r>
              <w:rPr>
                <w:rFonts w:hint="eastAsia" w:ascii="宋体" w:hAnsi="宋体" w:eastAsia="宋体" w:cs="宋体"/>
                <w:kern w:val="0"/>
              </w:rPr>
              <w:t>3</w:t>
            </w:r>
          </w:p>
        </w:tc>
        <w:tc>
          <w:tcPr>
            <w:tcW w:w="2473" w:type="dxa"/>
            <w:vAlign w:val="center"/>
          </w:tcPr>
          <w:p w14:paraId="17D66F52">
            <w:pPr>
              <w:jc w:val="center"/>
              <w:rPr>
                <w:rFonts w:hint="eastAsia" w:ascii="宋体" w:hAnsi="宋体" w:eastAsia="宋体" w:cs="宋体"/>
                <w:kern w:val="0"/>
              </w:rPr>
            </w:pPr>
            <w:r>
              <w:rPr>
                <w:rFonts w:hint="eastAsia" w:ascii="宋体" w:hAnsi="宋体" w:cs="宋体"/>
                <w:kern w:val="0"/>
                <w:lang w:val="en-US" w:eastAsia="zh-CN"/>
              </w:rPr>
              <w:t>5</w:t>
            </w:r>
            <w:r>
              <w:rPr>
                <w:rFonts w:hint="eastAsia" w:ascii="宋体" w:hAnsi="宋体" w:eastAsia="宋体" w:cs="宋体"/>
                <w:kern w:val="0"/>
              </w:rPr>
              <w:t>kg</w:t>
            </w:r>
            <w:r>
              <w:rPr>
                <w:rFonts w:hint="eastAsia" w:ascii="宋体" w:hAnsi="宋体" w:cs="宋体"/>
                <w:kern w:val="0"/>
                <w:lang w:val="en-US" w:eastAsia="zh-CN"/>
              </w:rPr>
              <w:t>手提式</w:t>
            </w:r>
            <w:r>
              <w:rPr>
                <w:rFonts w:hint="eastAsia" w:ascii="宋体" w:hAnsi="宋体" w:eastAsia="宋体" w:cs="宋体"/>
                <w:kern w:val="0"/>
              </w:rPr>
              <w:t>干粉灭火器</w:t>
            </w:r>
          </w:p>
        </w:tc>
        <w:tc>
          <w:tcPr>
            <w:tcW w:w="1254" w:type="dxa"/>
            <w:vAlign w:val="center"/>
          </w:tcPr>
          <w:p w14:paraId="0E450AB1">
            <w:pPr>
              <w:jc w:val="center"/>
              <w:rPr>
                <w:rFonts w:hint="eastAsia" w:ascii="宋体" w:hAnsi="宋体" w:eastAsia="宋体" w:cs="宋体"/>
                <w:kern w:val="0"/>
                <w:lang w:val="en-US" w:eastAsia="zh-CN"/>
              </w:rPr>
            </w:pPr>
            <w:r>
              <w:rPr>
                <w:rFonts w:hint="eastAsia" w:ascii="宋体" w:hAnsi="宋体" w:eastAsia="宋体" w:cs="宋体"/>
                <w:kern w:val="0"/>
              </w:rPr>
              <w:t>MF</w:t>
            </w:r>
            <w:r>
              <w:rPr>
                <w:rFonts w:hint="eastAsia" w:ascii="宋体" w:hAnsi="宋体" w:cs="宋体"/>
                <w:kern w:val="0"/>
                <w:lang w:val="en-US" w:eastAsia="zh-CN"/>
              </w:rPr>
              <w:t>Z</w:t>
            </w:r>
            <w:r>
              <w:rPr>
                <w:rFonts w:hint="eastAsia" w:ascii="宋体" w:hAnsi="宋体" w:eastAsia="宋体" w:cs="宋体"/>
                <w:kern w:val="0"/>
              </w:rPr>
              <w:t>/ABC</w:t>
            </w:r>
            <w:r>
              <w:rPr>
                <w:rFonts w:hint="eastAsia" w:ascii="宋体" w:hAnsi="宋体" w:cs="宋体"/>
                <w:kern w:val="0"/>
                <w:lang w:val="en-US" w:eastAsia="zh-CN"/>
              </w:rPr>
              <w:t>8</w:t>
            </w:r>
          </w:p>
        </w:tc>
        <w:tc>
          <w:tcPr>
            <w:tcW w:w="765" w:type="dxa"/>
            <w:vAlign w:val="center"/>
          </w:tcPr>
          <w:p w14:paraId="6563A826">
            <w:pPr>
              <w:jc w:val="center"/>
              <w:rPr>
                <w:rFonts w:hint="eastAsia" w:ascii="宋体" w:hAnsi="宋体" w:eastAsia="宋体" w:cs="宋体"/>
                <w:kern w:val="0"/>
              </w:rPr>
            </w:pPr>
            <w:r>
              <w:rPr>
                <w:rFonts w:hint="eastAsia" w:ascii="宋体" w:hAnsi="宋体" w:eastAsia="宋体" w:cs="宋体"/>
                <w:kern w:val="0"/>
              </w:rPr>
              <w:t>只</w:t>
            </w:r>
          </w:p>
        </w:tc>
        <w:tc>
          <w:tcPr>
            <w:tcW w:w="929" w:type="dxa"/>
            <w:vAlign w:val="center"/>
          </w:tcPr>
          <w:p w14:paraId="28B0FC05">
            <w:pPr>
              <w:jc w:val="center"/>
              <w:rPr>
                <w:rFonts w:hint="eastAsia" w:ascii="宋体" w:hAnsi="宋体" w:eastAsia="宋体" w:cs="宋体"/>
                <w:kern w:val="0"/>
                <w:lang w:eastAsia="zh-CN"/>
              </w:rPr>
            </w:pPr>
            <w:r>
              <w:rPr>
                <w:rFonts w:hint="eastAsia" w:ascii="宋体" w:hAnsi="宋体" w:cs="宋体"/>
                <w:kern w:val="0"/>
                <w:lang w:val="en-US" w:eastAsia="zh-CN"/>
              </w:rPr>
              <w:t>4</w:t>
            </w:r>
          </w:p>
        </w:tc>
        <w:tc>
          <w:tcPr>
            <w:tcW w:w="2955" w:type="dxa"/>
            <w:vAlign w:val="center"/>
          </w:tcPr>
          <w:p w14:paraId="30F2C706">
            <w:pPr>
              <w:jc w:val="center"/>
              <w:rPr>
                <w:rFonts w:hint="eastAsia" w:ascii="宋体" w:hAnsi="宋体" w:eastAsia="宋体" w:cs="宋体"/>
                <w:kern w:val="0"/>
              </w:rPr>
            </w:pPr>
            <w:r>
              <w:rPr>
                <w:rFonts w:hint="eastAsia" w:ascii="宋体" w:hAnsi="宋体" w:eastAsia="宋体" w:cs="宋体"/>
                <w:kern w:val="0"/>
              </w:rPr>
              <w:t>加油岛</w:t>
            </w:r>
          </w:p>
        </w:tc>
      </w:tr>
      <w:tr w14:paraId="701AE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580" w:type="dxa"/>
            <w:vAlign w:val="center"/>
          </w:tcPr>
          <w:p w14:paraId="4195B144">
            <w:pPr>
              <w:jc w:val="center"/>
              <w:rPr>
                <w:rFonts w:hint="eastAsia" w:ascii="宋体" w:hAnsi="宋体" w:eastAsia="宋体" w:cs="宋体"/>
                <w:kern w:val="0"/>
              </w:rPr>
            </w:pPr>
            <w:r>
              <w:rPr>
                <w:rFonts w:hint="eastAsia" w:ascii="宋体" w:hAnsi="宋体" w:eastAsia="宋体" w:cs="宋体"/>
                <w:kern w:val="0"/>
              </w:rPr>
              <w:t>4</w:t>
            </w:r>
          </w:p>
        </w:tc>
        <w:tc>
          <w:tcPr>
            <w:tcW w:w="2473" w:type="dxa"/>
            <w:vAlign w:val="center"/>
          </w:tcPr>
          <w:p w14:paraId="0F9D1C89">
            <w:pPr>
              <w:jc w:val="center"/>
              <w:rPr>
                <w:rFonts w:hint="eastAsia" w:ascii="宋体" w:hAnsi="宋体" w:eastAsia="宋体" w:cs="宋体"/>
                <w:kern w:val="0"/>
              </w:rPr>
            </w:pPr>
            <w:r>
              <w:rPr>
                <w:rFonts w:hint="eastAsia" w:ascii="宋体" w:hAnsi="宋体" w:cs="宋体"/>
                <w:kern w:val="0"/>
                <w:lang w:val="en-US" w:eastAsia="zh-CN"/>
              </w:rPr>
              <w:t>5</w:t>
            </w:r>
            <w:r>
              <w:rPr>
                <w:rFonts w:hint="eastAsia" w:ascii="宋体" w:hAnsi="宋体" w:eastAsia="宋体" w:cs="宋体"/>
                <w:kern w:val="0"/>
              </w:rPr>
              <w:t>kg</w:t>
            </w:r>
            <w:r>
              <w:rPr>
                <w:rFonts w:hint="eastAsia" w:ascii="宋体" w:hAnsi="宋体" w:cs="宋体"/>
                <w:kern w:val="0"/>
                <w:lang w:val="en-US" w:eastAsia="zh-CN"/>
              </w:rPr>
              <w:t>手提式干粉</w:t>
            </w:r>
            <w:r>
              <w:rPr>
                <w:rFonts w:hint="eastAsia" w:ascii="宋体" w:hAnsi="宋体" w:eastAsia="宋体" w:cs="宋体"/>
                <w:kern w:val="0"/>
              </w:rPr>
              <w:t>灭火器</w:t>
            </w:r>
          </w:p>
        </w:tc>
        <w:tc>
          <w:tcPr>
            <w:tcW w:w="1254" w:type="dxa"/>
            <w:vAlign w:val="center"/>
          </w:tcPr>
          <w:p w14:paraId="6D10EBD0">
            <w:pPr>
              <w:jc w:val="center"/>
              <w:rPr>
                <w:rFonts w:hint="eastAsia" w:ascii="宋体" w:hAnsi="宋体" w:eastAsia="宋体" w:cs="宋体"/>
                <w:kern w:val="0"/>
              </w:rPr>
            </w:pPr>
            <w:r>
              <w:rPr>
                <w:rFonts w:hint="eastAsia" w:ascii="宋体" w:hAnsi="宋体" w:eastAsia="宋体" w:cs="宋体"/>
                <w:kern w:val="0"/>
              </w:rPr>
              <w:t>MFZ/ABC8</w:t>
            </w:r>
          </w:p>
        </w:tc>
        <w:tc>
          <w:tcPr>
            <w:tcW w:w="765" w:type="dxa"/>
            <w:vAlign w:val="center"/>
          </w:tcPr>
          <w:p w14:paraId="0104F918">
            <w:pPr>
              <w:jc w:val="center"/>
              <w:rPr>
                <w:rFonts w:hint="eastAsia" w:ascii="宋体" w:hAnsi="宋体" w:eastAsia="宋体" w:cs="宋体"/>
                <w:kern w:val="0"/>
              </w:rPr>
            </w:pPr>
            <w:r>
              <w:rPr>
                <w:rFonts w:hint="eastAsia" w:ascii="宋体" w:hAnsi="宋体" w:eastAsia="宋体" w:cs="宋体"/>
                <w:kern w:val="0"/>
              </w:rPr>
              <w:t>只</w:t>
            </w:r>
          </w:p>
        </w:tc>
        <w:tc>
          <w:tcPr>
            <w:tcW w:w="929" w:type="dxa"/>
            <w:vAlign w:val="center"/>
          </w:tcPr>
          <w:p w14:paraId="7804A5AA">
            <w:pPr>
              <w:jc w:val="center"/>
              <w:rPr>
                <w:rFonts w:hint="eastAsia" w:ascii="宋体" w:hAnsi="宋体" w:eastAsia="宋体" w:cs="宋体"/>
                <w:kern w:val="0"/>
                <w:lang w:eastAsia="zh-CN"/>
              </w:rPr>
            </w:pPr>
            <w:r>
              <w:rPr>
                <w:rFonts w:hint="eastAsia" w:ascii="宋体" w:hAnsi="宋体" w:cs="宋体"/>
                <w:kern w:val="0"/>
                <w:lang w:val="en-US" w:eastAsia="zh-CN"/>
              </w:rPr>
              <w:t>3</w:t>
            </w:r>
          </w:p>
        </w:tc>
        <w:tc>
          <w:tcPr>
            <w:tcW w:w="2955" w:type="dxa"/>
            <w:vAlign w:val="center"/>
          </w:tcPr>
          <w:p w14:paraId="3260A762">
            <w:pPr>
              <w:jc w:val="center"/>
              <w:rPr>
                <w:rFonts w:hint="default" w:ascii="宋体" w:hAnsi="宋体" w:eastAsia="宋体" w:cs="宋体"/>
                <w:kern w:val="0"/>
                <w:lang w:val="en-US" w:eastAsia="zh-CN"/>
              </w:rPr>
            </w:pPr>
            <w:r>
              <w:rPr>
                <w:rFonts w:hint="eastAsia" w:ascii="宋体" w:hAnsi="宋体" w:eastAsia="宋体" w:cs="宋体"/>
                <w:kern w:val="0"/>
              </w:rPr>
              <w:t>配电间</w:t>
            </w:r>
            <w:r>
              <w:rPr>
                <w:rFonts w:hint="eastAsia" w:ascii="宋体" w:hAnsi="宋体" w:cs="宋体"/>
                <w:kern w:val="0"/>
                <w:lang w:val="en-US" w:eastAsia="zh-CN"/>
              </w:rPr>
              <w:t>1，</w:t>
            </w:r>
            <w:r>
              <w:rPr>
                <w:rFonts w:hint="eastAsia" w:ascii="宋体" w:hAnsi="宋体" w:eastAsia="宋体" w:cs="宋体"/>
                <w:kern w:val="0"/>
              </w:rPr>
              <w:t>办公室</w:t>
            </w:r>
            <w:r>
              <w:rPr>
                <w:rFonts w:hint="eastAsia" w:ascii="宋体" w:hAnsi="宋体" w:cs="宋体"/>
                <w:kern w:val="0"/>
                <w:lang w:val="en-US" w:eastAsia="zh-CN"/>
              </w:rPr>
              <w:t>1，便利店1</w:t>
            </w:r>
          </w:p>
        </w:tc>
      </w:tr>
      <w:tr w14:paraId="028DD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580" w:type="dxa"/>
            <w:vAlign w:val="center"/>
          </w:tcPr>
          <w:p w14:paraId="21E96F58">
            <w:pPr>
              <w:jc w:val="center"/>
              <w:rPr>
                <w:rFonts w:hint="eastAsia" w:ascii="宋体" w:hAnsi="宋体" w:eastAsia="宋体" w:cs="宋体"/>
                <w:kern w:val="0"/>
              </w:rPr>
            </w:pPr>
            <w:r>
              <w:rPr>
                <w:rFonts w:hint="eastAsia" w:ascii="宋体" w:hAnsi="宋体" w:eastAsia="宋体" w:cs="宋体"/>
                <w:kern w:val="0"/>
              </w:rPr>
              <w:t>5</w:t>
            </w:r>
          </w:p>
        </w:tc>
        <w:tc>
          <w:tcPr>
            <w:tcW w:w="2473" w:type="dxa"/>
            <w:vAlign w:val="center"/>
          </w:tcPr>
          <w:p w14:paraId="6F6A976C">
            <w:pPr>
              <w:jc w:val="center"/>
              <w:rPr>
                <w:rFonts w:hint="eastAsia" w:ascii="宋体" w:hAnsi="宋体" w:eastAsia="宋体" w:cs="宋体"/>
                <w:kern w:val="0"/>
                <w:lang w:val="en-US" w:eastAsia="zh-CN"/>
              </w:rPr>
            </w:pPr>
            <w:r>
              <w:rPr>
                <w:rFonts w:hint="eastAsia" w:ascii="宋体" w:hAnsi="宋体" w:cs="宋体"/>
                <w:kern w:val="0"/>
                <w:lang w:val="en-US" w:eastAsia="zh-CN"/>
              </w:rPr>
              <w:t>手提式二氧化碳</w:t>
            </w:r>
            <w:r>
              <w:rPr>
                <w:rFonts w:hint="eastAsia" w:ascii="宋体" w:hAnsi="宋体" w:eastAsia="宋体" w:cs="宋体"/>
                <w:kern w:val="0"/>
              </w:rPr>
              <w:t>灭火</w:t>
            </w:r>
            <w:r>
              <w:rPr>
                <w:rFonts w:hint="eastAsia" w:ascii="宋体" w:hAnsi="宋体" w:cs="宋体"/>
                <w:kern w:val="0"/>
                <w:lang w:val="en-US" w:eastAsia="zh-CN"/>
              </w:rPr>
              <w:t>器</w:t>
            </w:r>
          </w:p>
        </w:tc>
        <w:tc>
          <w:tcPr>
            <w:tcW w:w="1254" w:type="dxa"/>
            <w:vAlign w:val="center"/>
          </w:tcPr>
          <w:p w14:paraId="189C7734">
            <w:pPr>
              <w:jc w:val="center"/>
              <w:rPr>
                <w:rFonts w:hint="default" w:ascii="宋体" w:hAnsi="宋体" w:eastAsia="宋体" w:cs="宋体"/>
                <w:kern w:val="0"/>
                <w:lang w:val="en-US" w:eastAsia="zh-CN"/>
              </w:rPr>
            </w:pPr>
            <w:r>
              <w:rPr>
                <w:rFonts w:hint="eastAsia" w:ascii="宋体" w:hAnsi="宋体" w:cs="宋体"/>
                <w:kern w:val="0"/>
                <w:lang w:val="en-US" w:eastAsia="zh-CN"/>
              </w:rPr>
              <w:t>MT/3</w:t>
            </w:r>
          </w:p>
        </w:tc>
        <w:tc>
          <w:tcPr>
            <w:tcW w:w="765" w:type="dxa"/>
            <w:vAlign w:val="center"/>
          </w:tcPr>
          <w:p w14:paraId="2F11E13F">
            <w:pPr>
              <w:jc w:val="center"/>
              <w:rPr>
                <w:rFonts w:hint="eastAsia" w:ascii="宋体" w:hAnsi="宋体" w:eastAsia="宋体" w:cs="宋体"/>
                <w:kern w:val="0"/>
                <w:lang w:eastAsia="zh-CN"/>
              </w:rPr>
            </w:pPr>
            <w:r>
              <w:rPr>
                <w:rFonts w:hint="eastAsia" w:ascii="宋体" w:hAnsi="宋体" w:cs="宋体"/>
                <w:kern w:val="0"/>
                <w:lang w:val="en-US" w:eastAsia="zh-CN"/>
              </w:rPr>
              <w:t>只</w:t>
            </w:r>
          </w:p>
        </w:tc>
        <w:tc>
          <w:tcPr>
            <w:tcW w:w="929" w:type="dxa"/>
            <w:vAlign w:val="center"/>
          </w:tcPr>
          <w:p w14:paraId="5AB7109A">
            <w:pPr>
              <w:jc w:val="center"/>
              <w:rPr>
                <w:rFonts w:hint="eastAsia" w:ascii="宋体" w:hAnsi="宋体" w:eastAsia="宋体" w:cs="宋体"/>
                <w:kern w:val="0"/>
                <w:lang w:eastAsia="zh-CN"/>
              </w:rPr>
            </w:pPr>
            <w:r>
              <w:rPr>
                <w:rFonts w:hint="eastAsia" w:ascii="宋体" w:hAnsi="宋体" w:cs="宋体"/>
                <w:kern w:val="0"/>
                <w:lang w:val="en-US" w:eastAsia="zh-CN"/>
              </w:rPr>
              <w:t>4</w:t>
            </w:r>
          </w:p>
        </w:tc>
        <w:tc>
          <w:tcPr>
            <w:tcW w:w="2955" w:type="dxa"/>
            <w:vAlign w:val="center"/>
          </w:tcPr>
          <w:p w14:paraId="724083F3">
            <w:pPr>
              <w:jc w:val="center"/>
              <w:rPr>
                <w:rFonts w:hint="eastAsia" w:ascii="宋体" w:hAnsi="宋体" w:eastAsia="宋体" w:cs="宋体"/>
                <w:kern w:val="0"/>
                <w:lang w:eastAsia="zh-CN"/>
              </w:rPr>
            </w:pPr>
            <w:r>
              <w:rPr>
                <w:rFonts w:hint="eastAsia" w:ascii="宋体" w:hAnsi="宋体" w:eastAsia="宋体" w:cs="宋体"/>
                <w:kern w:val="0"/>
              </w:rPr>
              <w:t>配电间1，办公室1，便利店1</w:t>
            </w:r>
          </w:p>
        </w:tc>
      </w:tr>
      <w:tr w14:paraId="6B241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580" w:type="dxa"/>
            <w:vAlign w:val="center"/>
          </w:tcPr>
          <w:p w14:paraId="709D0E2A">
            <w:pPr>
              <w:jc w:val="center"/>
              <w:rPr>
                <w:rFonts w:hint="eastAsia" w:ascii="宋体" w:hAnsi="宋体" w:eastAsia="宋体" w:cs="宋体"/>
                <w:kern w:val="0"/>
              </w:rPr>
            </w:pPr>
            <w:r>
              <w:rPr>
                <w:rFonts w:hint="eastAsia" w:ascii="宋体" w:hAnsi="宋体" w:eastAsia="宋体" w:cs="宋体"/>
                <w:kern w:val="0"/>
              </w:rPr>
              <w:t>6</w:t>
            </w:r>
          </w:p>
        </w:tc>
        <w:tc>
          <w:tcPr>
            <w:tcW w:w="2473" w:type="dxa"/>
            <w:vAlign w:val="center"/>
          </w:tcPr>
          <w:p w14:paraId="427BBBBB">
            <w:pPr>
              <w:jc w:val="center"/>
              <w:rPr>
                <w:rFonts w:hint="eastAsia" w:ascii="宋体" w:hAnsi="宋体" w:eastAsia="宋体" w:cs="宋体"/>
                <w:kern w:val="0"/>
              </w:rPr>
            </w:pPr>
            <w:r>
              <w:rPr>
                <w:rFonts w:hint="eastAsia" w:ascii="宋体" w:hAnsi="宋体" w:eastAsia="宋体" w:cs="宋体"/>
                <w:kern w:val="0"/>
              </w:rPr>
              <w:t>灭火毯</w:t>
            </w:r>
          </w:p>
        </w:tc>
        <w:tc>
          <w:tcPr>
            <w:tcW w:w="1254" w:type="dxa"/>
            <w:vAlign w:val="center"/>
          </w:tcPr>
          <w:p w14:paraId="20807C02">
            <w:pPr>
              <w:jc w:val="center"/>
              <w:rPr>
                <w:rFonts w:hint="eastAsia" w:ascii="宋体" w:hAnsi="宋体" w:eastAsia="宋体" w:cs="宋体"/>
                <w:kern w:val="0"/>
                <w:lang w:eastAsia="zh-CN"/>
              </w:rPr>
            </w:pPr>
            <w:r>
              <w:rPr>
                <w:rFonts w:hint="eastAsia" w:ascii="宋体" w:hAnsi="宋体" w:cs="宋体"/>
                <w:kern w:val="0"/>
                <w:lang w:val="en-US" w:eastAsia="zh-CN"/>
              </w:rPr>
              <w:t>/</w:t>
            </w:r>
          </w:p>
        </w:tc>
        <w:tc>
          <w:tcPr>
            <w:tcW w:w="765" w:type="dxa"/>
            <w:vAlign w:val="center"/>
          </w:tcPr>
          <w:p w14:paraId="54568A21">
            <w:pPr>
              <w:jc w:val="center"/>
              <w:rPr>
                <w:rFonts w:hint="eastAsia" w:ascii="宋体" w:hAnsi="宋体" w:eastAsia="宋体" w:cs="宋体"/>
                <w:kern w:val="0"/>
                <w:lang w:eastAsia="zh-CN"/>
              </w:rPr>
            </w:pPr>
            <w:r>
              <w:rPr>
                <w:rFonts w:hint="eastAsia" w:ascii="宋体" w:hAnsi="宋体" w:cs="宋体"/>
                <w:kern w:val="0"/>
                <w:lang w:val="en-US" w:eastAsia="zh-CN"/>
              </w:rPr>
              <w:t>块</w:t>
            </w:r>
          </w:p>
        </w:tc>
        <w:tc>
          <w:tcPr>
            <w:tcW w:w="929" w:type="dxa"/>
            <w:vAlign w:val="center"/>
          </w:tcPr>
          <w:p w14:paraId="21310B33">
            <w:pPr>
              <w:jc w:val="center"/>
              <w:rPr>
                <w:rFonts w:hint="eastAsia" w:ascii="宋体" w:hAnsi="宋体" w:eastAsia="宋体" w:cs="宋体"/>
                <w:kern w:val="0"/>
                <w:lang w:eastAsia="zh-CN"/>
              </w:rPr>
            </w:pPr>
            <w:r>
              <w:rPr>
                <w:rFonts w:hint="eastAsia" w:ascii="宋体" w:hAnsi="宋体" w:cs="宋体"/>
                <w:kern w:val="0"/>
                <w:lang w:val="en-US" w:eastAsia="zh-CN"/>
              </w:rPr>
              <w:t>9</w:t>
            </w:r>
          </w:p>
        </w:tc>
        <w:tc>
          <w:tcPr>
            <w:tcW w:w="2955" w:type="dxa"/>
            <w:vAlign w:val="center"/>
          </w:tcPr>
          <w:p w14:paraId="194DACB2">
            <w:pPr>
              <w:jc w:val="center"/>
              <w:rPr>
                <w:rFonts w:hint="eastAsia" w:ascii="宋体" w:hAnsi="宋体" w:eastAsia="宋体" w:cs="宋体"/>
                <w:kern w:val="0"/>
                <w:lang w:eastAsia="zh-CN"/>
              </w:rPr>
            </w:pPr>
            <w:r>
              <w:rPr>
                <w:rFonts w:hint="eastAsia" w:ascii="宋体" w:hAnsi="宋体" w:eastAsia="宋体" w:cs="宋体"/>
                <w:kern w:val="0"/>
              </w:rPr>
              <w:t>加油区</w:t>
            </w:r>
            <w:r>
              <w:rPr>
                <w:rFonts w:hint="eastAsia" w:ascii="宋体" w:hAnsi="宋体" w:cs="宋体"/>
                <w:kern w:val="0"/>
                <w:lang w:val="en-US" w:eastAsia="zh-CN"/>
              </w:rPr>
              <w:t>4</w:t>
            </w:r>
            <w:r>
              <w:rPr>
                <w:rFonts w:hint="eastAsia" w:ascii="宋体" w:hAnsi="宋体" w:eastAsia="宋体" w:cs="宋体"/>
                <w:kern w:val="0"/>
              </w:rPr>
              <w:t>和油罐区</w:t>
            </w:r>
            <w:r>
              <w:rPr>
                <w:rFonts w:hint="eastAsia" w:ascii="宋体" w:hAnsi="宋体" w:cs="宋体"/>
                <w:kern w:val="0"/>
                <w:lang w:val="en-US" w:eastAsia="zh-CN"/>
              </w:rPr>
              <w:t>5</w:t>
            </w:r>
          </w:p>
        </w:tc>
      </w:tr>
      <w:tr w14:paraId="47846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80" w:type="dxa"/>
            <w:vAlign w:val="center"/>
          </w:tcPr>
          <w:p w14:paraId="14E03609">
            <w:pPr>
              <w:jc w:val="center"/>
              <w:rPr>
                <w:rFonts w:hint="eastAsia" w:ascii="宋体" w:hAnsi="宋体" w:eastAsia="宋体" w:cs="宋体"/>
                <w:kern w:val="0"/>
              </w:rPr>
            </w:pPr>
            <w:r>
              <w:rPr>
                <w:rFonts w:hint="eastAsia" w:ascii="宋体" w:hAnsi="宋体" w:eastAsia="宋体" w:cs="宋体"/>
                <w:kern w:val="0"/>
              </w:rPr>
              <w:t>7</w:t>
            </w:r>
          </w:p>
        </w:tc>
        <w:tc>
          <w:tcPr>
            <w:tcW w:w="2473" w:type="dxa"/>
            <w:vAlign w:val="center"/>
          </w:tcPr>
          <w:p w14:paraId="63912917">
            <w:pPr>
              <w:jc w:val="center"/>
              <w:rPr>
                <w:rFonts w:hint="eastAsia" w:ascii="宋体" w:hAnsi="宋体" w:eastAsia="宋体" w:cs="宋体"/>
                <w:kern w:val="0"/>
              </w:rPr>
            </w:pPr>
            <w:r>
              <w:rPr>
                <w:rFonts w:hint="eastAsia" w:ascii="宋体" w:hAnsi="宋体" w:eastAsia="宋体" w:cs="宋体"/>
                <w:kern w:val="0"/>
              </w:rPr>
              <w:t>铜铲</w:t>
            </w:r>
          </w:p>
        </w:tc>
        <w:tc>
          <w:tcPr>
            <w:tcW w:w="1254" w:type="dxa"/>
            <w:vAlign w:val="center"/>
          </w:tcPr>
          <w:p w14:paraId="2ECBC724">
            <w:pPr>
              <w:jc w:val="center"/>
              <w:rPr>
                <w:rFonts w:hint="eastAsia" w:ascii="宋体" w:hAnsi="宋体" w:eastAsia="宋体" w:cs="宋体"/>
                <w:kern w:val="0"/>
              </w:rPr>
            </w:pPr>
            <w:r>
              <w:rPr>
                <w:rFonts w:hint="eastAsia" w:ascii="宋体" w:hAnsi="宋体" w:eastAsia="宋体" w:cs="宋体"/>
                <w:kern w:val="0"/>
              </w:rPr>
              <w:t>消防铲</w:t>
            </w:r>
          </w:p>
        </w:tc>
        <w:tc>
          <w:tcPr>
            <w:tcW w:w="765" w:type="dxa"/>
            <w:vAlign w:val="center"/>
          </w:tcPr>
          <w:p w14:paraId="6356DF22">
            <w:pPr>
              <w:jc w:val="center"/>
              <w:rPr>
                <w:rFonts w:hint="eastAsia" w:ascii="宋体" w:hAnsi="宋体" w:eastAsia="宋体" w:cs="宋体"/>
                <w:kern w:val="0"/>
              </w:rPr>
            </w:pPr>
            <w:r>
              <w:rPr>
                <w:rFonts w:hint="eastAsia" w:ascii="宋体" w:hAnsi="宋体" w:eastAsia="宋体" w:cs="宋体"/>
                <w:kern w:val="0"/>
              </w:rPr>
              <w:t>把</w:t>
            </w:r>
          </w:p>
        </w:tc>
        <w:tc>
          <w:tcPr>
            <w:tcW w:w="929" w:type="dxa"/>
            <w:vAlign w:val="center"/>
          </w:tcPr>
          <w:p w14:paraId="3EF7672E">
            <w:pPr>
              <w:jc w:val="center"/>
              <w:rPr>
                <w:rFonts w:hint="eastAsia" w:ascii="宋体" w:hAnsi="宋体" w:eastAsia="宋体" w:cs="宋体"/>
                <w:kern w:val="0"/>
                <w:lang w:eastAsia="zh-CN"/>
              </w:rPr>
            </w:pPr>
            <w:r>
              <w:rPr>
                <w:rFonts w:hint="eastAsia" w:ascii="宋体" w:hAnsi="宋体" w:cs="宋体"/>
                <w:kern w:val="0"/>
                <w:lang w:val="en-US" w:eastAsia="zh-CN"/>
              </w:rPr>
              <w:t>5</w:t>
            </w:r>
          </w:p>
        </w:tc>
        <w:tc>
          <w:tcPr>
            <w:tcW w:w="2955" w:type="dxa"/>
            <w:vAlign w:val="center"/>
          </w:tcPr>
          <w:p w14:paraId="1A0F9797">
            <w:pPr>
              <w:jc w:val="center"/>
              <w:rPr>
                <w:rFonts w:hint="eastAsia" w:ascii="宋体" w:hAnsi="宋体" w:eastAsia="宋体" w:cs="宋体"/>
                <w:kern w:val="0"/>
                <w:lang w:eastAsia="zh-CN"/>
              </w:rPr>
            </w:pPr>
            <w:r>
              <w:rPr>
                <w:rFonts w:hint="eastAsia" w:ascii="宋体" w:hAnsi="宋体" w:cs="宋体"/>
                <w:kern w:val="0"/>
                <w:lang w:val="en-US" w:eastAsia="zh-CN"/>
              </w:rPr>
              <w:t>消防沙池</w:t>
            </w:r>
          </w:p>
        </w:tc>
      </w:tr>
      <w:tr w14:paraId="2156D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80" w:type="dxa"/>
            <w:vAlign w:val="center"/>
          </w:tcPr>
          <w:p w14:paraId="5D52386A">
            <w:pPr>
              <w:jc w:val="center"/>
              <w:rPr>
                <w:rFonts w:hint="eastAsia" w:ascii="宋体" w:hAnsi="宋体" w:eastAsia="宋体" w:cs="宋体"/>
                <w:kern w:val="0"/>
                <w:lang w:val="en-US" w:eastAsia="zh-CN"/>
              </w:rPr>
            </w:pPr>
            <w:r>
              <w:rPr>
                <w:rFonts w:hint="eastAsia" w:ascii="宋体" w:hAnsi="宋体" w:cs="宋体"/>
                <w:kern w:val="0"/>
                <w:lang w:val="en-US" w:eastAsia="zh-CN"/>
              </w:rPr>
              <w:t>8</w:t>
            </w:r>
          </w:p>
        </w:tc>
        <w:tc>
          <w:tcPr>
            <w:tcW w:w="2473" w:type="dxa"/>
            <w:vAlign w:val="center"/>
          </w:tcPr>
          <w:p w14:paraId="0173B9C9">
            <w:pPr>
              <w:jc w:val="center"/>
              <w:rPr>
                <w:rFonts w:hint="eastAsia" w:ascii="宋体" w:hAnsi="宋体" w:eastAsia="宋体" w:cs="宋体"/>
                <w:kern w:val="0"/>
              </w:rPr>
            </w:pPr>
            <w:r>
              <w:rPr>
                <w:rFonts w:hint="eastAsia" w:ascii="宋体" w:hAnsi="宋体" w:eastAsia="宋体" w:cs="宋体"/>
                <w:kern w:val="0"/>
              </w:rPr>
              <w:t>消防沙池</w:t>
            </w:r>
          </w:p>
        </w:tc>
        <w:tc>
          <w:tcPr>
            <w:tcW w:w="1254" w:type="dxa"/>
            <w:vAlign w:val="center"/>
          </w:tcPr>
          <w:p w14:paraId="7B957DF7">
            <w:pPr>
              <w:jc w:val="center"/>
              <w:rPr>
                <w:rFonts w:hint="default" w:ascii="宋体" w:hAnsi="宋体" w:eastAsia="宋体" w:cs="宋体"/>
                <w:kern w:val="0"/>
                <w:lang w:val="en-US" w:eastAsia="zh-CN"/>
              </w:rPr>
            </w:pPr>
            <w:r>
              <w:rPr>
                <w:rFonts w:hint="eastAsia" w:ascii="宋体" w:hAnsi="宋体" w:cs="宋体"/>
                <w:kern w:val="0"/>
                <w:lang w:val="en-US" w:eastAsia="zh-CN"/>
              </w:rPr>
              <w:t>/</w:t>
            </w:r>
          </w:p>
        </w:tc>
        <w:tc>
          <w:tcPr>
            <w:tcW w:w="765" w:type="dxa"/>
            <w:vAlign w:val="center"/>
          </w:tcPr>
          <w:p w14:paraId="427C98F7">
            <w:pPr>
              <w:jc w:val="center"/>
              <w:rPr>
                <w:rFonts w:hint="default" w:ascii="宋体" w:hAnsi="宋体" w:eastAsia="宋体" w:cs="宋体"/>
                <w:kern w:val="0"/>
                <w:lang w:val="en-US" w:eastAsia="zh-CN"/>
              </w:rPr>
            </w:pPr>
            <w:r>
              <w:rPr>
                <w:rFonts w:hint="eastAsia" w:ascii="宋体" w:hAnsi="宋体" w:cs="宋体"/>
                <w:kern w:val="0"/>
                <w:lang w:val="en-US" w:eastAsia="zh-CN"/>
              </w:rPr>
              <w:t>个</w:t>
            </w:r>
          </w:p>
        </w:tc>
        <w:tc>
          <w:tcPr>
            <w:tcW w:w="929" w:type="dxa"/>
            <w:vAlign w:val="center"/>
          </w:tcPr>
          <w:p w14:paraId="58B2F6E9">
            <w:pPr>
              <w:jc w:val="center"/>
              <w:rPr>
                <w:rFonts w:hint="default" w:ascii="宋体" w:hAnsi="宋体" w:cs="宋体"/>
                <w:kern w:val="0"/>
                <w:lang w:val="en-US" w:eastAsia="zh-CN"/>
              </w:rPr>
            </w:pPr>
            <w:r>
              <w:rPr>
                <w:rFonts w:hint="eastAsia" w:ascii="宋体" w:hAnsi="宋体" w:cs="宋体"/>
                <w:kern w:val="0"/>
                <w:lang w:val="en-US" w:eastAsia="zh-CN"/>
              </w:rPr>
              <w:t>1</w:t>
            </w:r>
          </w:p>
        </w:tc>
        <w:tc>
          <w:tcPr>
            <w:tcW w:w="2955" w:type="dxa"/>
            <w:vAlign w:val="center"/>
          </w:tcPr>
          <w:p w14:paraId="63EBD1B1">
            <w:pPr>
              <w:jc w:val="center"/>
              <w:rPr>
                <w:rFonts w:hint="default" w:ascii="宋体" w:hAnsi="宋体" w:cs="宋体"/>
                <w:kern w:val="0"/>
                <w:lang w:val="en-US" w:eastAsia="zh-CN"/>
              </w:rPr>
            </w:pPr>
            <w:r>
              <w:rPr>
                <w:rFonts w:hint="eastAsia" w:ascii="宋体" w:hAnsi="宋体" w:cs="宋体"/>
                <w:kern w:val="0"/>
                <w:lang w:val="en-US" w:eastAsia="zh-CN"/>
              </w:rPr>
              <w:t>/</w:t>
            </w:r>
          </w:p>
        </w:tc>
      </w:tr>
    </w:tbl>
    <w:p w14:paraId="1E6724C5">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107" w:name="_Toc20986"/>
      <w:r>
        <w:rPr>
          <w:rFonts w:hint="eastAsia" w:ascii="楷体" w:hAnsi="楷体" w:eastAsia="楷体" w:cs="楷体"/>
          <w:sz w:val="32"/>
          <w:szCs w:val="32"/>
        </w:rPr>
        <w:t>2.5.</w:t>
      </w:r>
      <w:r>
        <w:rPr>
          <w:rFonts w:hint="eastAsia" w:ascii="楷体" w:hAnsi="楷体" w:eastAsia="楷体" w:cs="楷体"/>
          <w:sz w:val="32"/>
          <w:szCs w:val="32"/>
          <w:lang w:val="en-US" w:eastAsia="zh-CN"/>
        </w:rPr>
        <w:t>2</w:t>
      </w:r>
      <w:r>
        <w:rPr>
          <w:rFonts w:hint="eastAsia" w:ascii="楷体" w:hAnsi="楷体" w:eastAsia="楷体" w:cs="楷体"/>
          <w:sz w:val="32"/>
          <w:szCs w:val="32"/>
        </w:rPr>
        <w:t>安全设施</w:t>
      </w:r>
      <w:bookmarkEnd w:id="107"/>
    </w:p>
    <w:p w14:paraId="735F3273">
      <w:pPr>
        <w:spacing w:line="360" w:lineRule="auto"/>
        <w:ind w:firstLine="560" w:firstLineChars="200"/>
        <w:rPr>
          <w:rFonts w:hint="eastAsia" w:ascii="宋体" w:hAnsi="宋体" w:eastAsia="宋体" w:cs="宋体"/>
          <w:sz w:val="28"/>
          <w:szCs w:val="28"/>
        </w:rPr>
      </w:pPr>
      <w:r>
        <w:rPr>
          <w:rFonts w:hint="eastAsia" w:cs="宋体"/>
          <w:sz w:val="28"/>
          <w:szCs w:val="28"/>
        </w:rPr>
        <w:t>油储罐设有通气管，通气管口设有阻火器，汽油罐通气管另加装呼吸阀，通气管</w:t>
      </w:r>
      <w:r>
        <w:rPr>
          <w:rFonts w:hint="eastAsia" w:ascii="宋体" w:hAnsi="宋体" w:eastAsia="宋体" w:cs="宋体"/>
          <w:sz w:val="28"/>
          <w:szCs w:val="28"/>
        </w:rPr>
        <w:t>高4m。</w:t>
      </w:r>
    </w:p>
    <w:p w14:paraId="6419A364">
      <w:pPr>
        <w:spacing w:line="360" w:lineRule="auto"/>
        <w:ind w:firstLine="560" w:firstLineChars="200"/>
        <w:rPr>
          <w:rFonts w:cs="Times New Roman"/>
          <w:sz w:val="28"/>
          <w:szCs w:val="28"/>
        </w:rPr>
      </w:pPr>
      <w:r>
        <w:rPr>
          <w:rFonts w:hint="eastAsia" w:ascii="宋体" w:hAnsi="宋体" w:eastAsia="宋体" w:cs="宋体"/>
          <w:sz w:val="28"/>
          <w:szCs w:val="28"/>
        </w:rPr>
        <w:t>每台加油机上自</w:t>
      </w:r>
      <w:r>
        <w:rPr>
          <w:rFonts w:hint="eastAsia" w:cs="宋体"/>
          <w:sz w:val="28"/>
          <w:szCs w:val="28"/>
        </w:rPr>
        <w:t>带紧急切断按钮，且站房一内和站房一门口均安装紧急切断按钮。</w:t>
      </w:r>
    </w:p>
    <w:p w14:paraId="7983AEF7">
      <w:pPr>
        <w:spacing w:line="360" w:lineRule="auto"/>
        <w:ind w:firstLine="560" w:firstLineChars="200"/>
        <w:rPr>
          <w:rFonts w:cs="Times New Roman"/>
          <w:sz w:val="28"/>
          <w:szCs w:val="28"/>
        </w:rPr>
      </w:pPr>
      <w:r>
        <w:rPr>
          <w:rFonts w:hint="eastAsia" w:cs="宋体"/>
          <w:sz w:val="28"/>
          <w:szCs w:val="28"/>
        </w:rPr>
        <w:t>油储罐进油口、出油管、量油孔、通气管直接单独通往油罐，人孔盖上设有量油孔，量油孔为铝制。</w:t>
      </w:r>
    </w:p>
    <w:p w14:paraId="4027109F">
      <w:pPr>
        <w:spacing w:line="360" w:lineRule="auto"/>
        <w:ind w:firstLine="560" w:firstLineChars="200"/>
        <w:rPr>
          <w:rFonts w:cs="Times New Roman"/>
          <w:sz w:val="28"/>
          <w:szCs w:val="28"/>
        </w:rPr>
      </w:pPr>
      <w:r>
        <w:rPr>
          <w:rFonts w:hint="eastAsia" w:cs="宋体"/>
          <w:sz w:val="28"/>
          <w:szCs w:val="28"/>
        </w:rPr>
        <w:t>密闭卸油口附近设置有用于连接车辆的静电报警仪</w:t>
      </w:r>
      <w:r>
        <w:rPr>
          <w:rFonts w:hint="eastAsia" w:cs="宋体"/>
          <w:sz w:val="28"/>
          <w:szCs w:val="28"/>
          <w:lang w:val="en-US" w:eastAsia="zh-CN"/>
        </w:rPr>
        <w:t>及人体静电消除器。</w:t>
      </w:r>
      <w:r>
        <w:rPr>
          <w:rFonts w:hint="eastAsia" w:cs="宋体"/>
          <w:sz w:val="28"/>
          <w:szCs w:val="28"/>
        </w:rPr>
        <w:t>储罐及管道进行了静电接地，法兰连接处用铜片进行了跨接。卸油管采用内设金属丝的软管，可以和车辆的油罐和储油罐进行可靠的静电连接。</w:t>
      </w:r>
    </w:p>
    <w:p w14:paraId="2CE9B5F8">
      <w:pPr>
        <w:spacing w:line="360" w:lineRule="auto"/>
        <w:ind w:firstLine="560" w:firstLineChars="200"/>
        <w:rPr>
          <w:rFonts w:cs="Times New Roman"/>
          <w:kern w:val="0"/>
          <w:sz w:val="28"/>
          <w:szCs w:val="28"/>
        </w:rPr>
      </w:pPr>
      <w:r>
        <w:rPr>
          <w:rFonts w:hint="eastAsia" w:cs="宋体"/>
          <w:sz w:val="28"/>
          <w:szCs w:val="28"/>
        </w:rPr>
        <w:t>油罐设有高液位报警仪，卸油时油料达到油罐容量</w:t>
      </w:r>
      <w:r>
        <w:rPr>
          <w:rFonts w:hint="eastAsia" w:ascii="宋体" w:hAnsi="宋体" w:eastAsia="宋体" w:cs="宋体"/>
          <w:sz w:val="28"/>
          <w:szCs w:val="28"/>
        </w:rPr>
        <w:t>90％</w:t>
      </w:r>
      <w:r>
        <w:rPr>
          <w:rFonts w:hint="eastAsia" w:cs="宋体"/>
          <w:sz w:val="28"/>
          <w:szCs w:val="28"/>
        </w:rPr>
        <w:t>时，能触动高液位报警装置，</w:t>
      </w:r>
      <w:r>
        <w:rPr>
          <w:rFonts w:hint="eastAsia" w:cs="宋体"/>
          <w:kern w:val="0"/>
          <w:sz w:val="28"/>
          <w:szCs w:val="28"/>
        </w:rPr>
        <w:t>油料达到油罐容量</w:t>
      </w:r>
      <w:r>
        <w:rPr>
          <w:rFonts w:hint="eastAsia" w:ascii="宋体" w:hAnsi="宋体" w:eastAsia="宋体" w:cs="宋体"/>
          <w:kern w:val="0"/>
          <w:sz w:val="28"/>
          <w:szCs w:val="28"/>
        </w:rPr>
        <w:t>95％</w:t>
      </w:r>
      <w:r>
        <w:rPr>
          <w:rFonts w:hint="eastAsia" w:cs="宋体"/>
          <w:kern w:val="0"/>
          <w:sz w:val="28"/>
          <w:szCs w:val="28"/>
        </w:rPr>
        <w:t>时，能自动停止油料继续进罐。</w:t>
      </w:r>
    </w:p>
    <w:p w14:paraId="37A166A4">
      <w:pPr>
        <w:spacing w:line="600" w:lineRule="exact"/>
        <w:ind w:firstLine="560" w:firstLineChars="200"/>
        <w:rPr>
          <w:rFonts w:cs="Times New Roman"/>
        </w:rPr>
      </w:pPr>
      <w:r>
        <w:rPr>
          <w:rFonts w:hint="eastAsia" w:cs="宋体"/>
          <w:sz w:val="28"/>
          <w:szCs w:val="28"/>
          <w:lang w:val="en-US" w:eastAsia="zh-CN"/>
        </w:rPr>
        <w:t>加油站</w:t>
      </w:r>
      <w:r>
        <w:rPr>
          <w:rFonts w:hint="eastAsia" w:cs="宋体"/>
          <w:sz w:val="28"/>
          <w:szCs w:val="28"/>
        </w:rPr>
        <w:t>设双层油罐及双层管道防渗漏检测系统，双层油罐及管道共用渗漏检测集成平台控制器，由渗漏报警器和夹层渗漏检测仪表组成，防渗漏检测拟采用在线监测系统。在储罐检测空隙之间设置传感器，可对油罐进行在线检测。双层管线其最低点安装测漏传感器进行在线检测，并在</w:t>
      </w:r>
      <w:r>
        <w:rPr>
          <w:rFonts w:hint="eastAsia" w:cs="宋体"/>
          <w:kern w:val="0"/>
          <w:sz w:val="28"/>
          <w:szCs w:val="28"/>
        </w:rPr>
        <w:t>站房值班室</w:t>
      </w:r>
      <w:r>
        <w:rPr>
          <w:rFonts w:hint="eastAsia" w:cs="宋体"/>
          <w:sz w:val="28"/>
          <w:szCs w:val="28"/>
        </w:rPr>
        <w:t>安装报警设备。</w:t>
      </w:r>
    </w:p>
    <w:p w14:paraId="13345E00">
      <w:pPr>
        <w:ind w:firstLine="560" w:firstLineChars="200"/>
        <w:rPr>
          <w:rFonts w:cs="Times New Roman"/>
          <w:sz w:val="28"/>
          <w:szCs w:val="28"/>
        </w:rPr>
      </w:pPr>
      <w:r>
        <w:rPr>
          <w:rFonts w:hint="eastAsia" w:cs="宋体"/>
          <w:sz w:val="28"/>
          <w:szCs w:val="28"/>
        </w:rPr>
        <w:t>储罐区设置照明设施，加油机罩棚顶灯为防护型荧光灯，罩棚区设置事故照明，处于爆炸危险区域之外。</w:t>
      </w:r>
    </w:p>
    <w:p w14:paraId="18077F08">
      <w:pPr>
        <w:spacing w:line="360" w:lineRule="auto"/>
        <w:ind w:firstLine="560" w:firstLineChars="200"/>
        <w:rPr>
          <w:rFonts w:cs="Times New Roman"/>
          <w:sz w:val="28"/>
          <w:szCs w:val="28"/>
        </w:rPr>
      </w:pPr>
      <w:r>
        <w:rPr>
          <w:rFonts w:hint="eastAsia" w:cs="宋体"/>
          <w:sz w:val="28"/>
          <w:szCs w:val="28"/>
        </w:rPr>
        <w:t>输油管线采用地沟预埋式。</w:t>
      </w:r>
    </w:p>
    <w:p w14:paraId="075BA143">
      <w:pPr>
        <w:spacing w:line="360" w:lineRule="auto"/>
        <w:ind w:firstLine="560" w:firstLineChars="200"/>
        <w:rPr>
          <w:sz w:val="28"/>
          <w:szCs w:val="28"/>
        </w:rPr>
      </w:pPr>
      <w:r>
        <w:rPr>
          <w:rFonts w:hint="eastAsia" w:cs="宋体"/>
          <w:sz w:val="28"/>
          <w:szCs w:val="28"/>
        </w:rPr>
        <w:t>加油机采用防爆型自动计量加油机，防爆标志：</w:t>
      </w:r>
      <w:r>
        <w:rPr>
          <w:rFonts w:hint="eastAsia" w:ascii="宋体" w:hAnsi="宋体" w:eastAsia="宋体" w:cs="宋体"/>
          <w:sz w:val="28"/>
          <w:szCs w:val="28"/>
        </w:rPr>
        <w:t>Ex d ib mb ⅡA T3 Gb，</w:t>
      </w:r>
      <w:r>
        <w:rPr>
          <w:rFonts w:hint="eastAsia" w:cs="宋体"/>
          <w:sz w:val="28"/>
          <w:szCs w:val="28"/>
        </w:rPr>
        <w:t>加油机上设紧急停车按钮，同时站房内以及站房门口均设置紧急切断按钮。</w:t>
      </w:r>
      <w:r>
        <w:rPr>
          <w:sz w:val="28"/>
          <w:szCs w:val="28"/>
        </w:rPr>
        <w:t xml:space="preserve"> </w:t>
      </w:r>
    </w:p>
    <w:p w14:paraId="1914DD54">
      <w:pPr>
        <w:spacing w:line="360" w:lineRule="auto"/>
        <w:ind w:firstLine="560" w:firstLineChars="200"/>
        <w:rPr>
          <w:rFonts w:hint="eastAsia" w:eastAsia="宋体" w:cs="宋体"/>
          <w:sz w:val="28"/>
          <w:szCs w:val="28"/>
          <w:lang w:val="en-US" w:eastAsia="zh-CN"/>
        </w:rPr>
      </w:pPr>
      <w:r>
        <w:rPr>
          <w:rFonts w:hint="eastAsia" w:cs="宋体"/>
          <w:sz w:val="28"/>
          <w:szCs w:val="28"/>
        </w:rPr>
        <w:t>加油站罩棚顶、站房等设有接闪装置，所有设施均在防雷有效保护范围内，防雷装置</w:t>
      </w:r>
      <w:r>
        <w:rPr>
          <w:rFonts w:hint="eastAsia" w:ascii="宋体" w:hAnsi="宋体" w:eastAsia="宋体" w:cs="宋体"/>
          <w:sz w:val="28"/>
          <w:szCs w:val="28"/>
        </w:rPr>
        <w:t>经</w:t>
      </w:r>
      <w:r>
        <w:rPr>
          <w:rFonts w:hint="eastAsia" w:ascii="宋体" w:hAnsi="宋体" w:cs="宋体"/>
          <w:sz w:val="28"/>
          <w:szCs w:val="28"/>
          <w:lang w:val="en-US" w:eastAsia="zh-CN"/>
        </w:rPr>
        <w:t>江西赣象防雷检测中心有限公司上饶</w:t>
      </w:r>
      <w:r>
        <w:rPr>
          <w:rFonts w:hint="eastAsia" w:ascii="宋体" w:hAnsi="宋体" w:eastAsia="宋体" w:cs="宋体"/>
          <w:sz w:val="28"/>
          <w:szCs w:val="28"/>
        </w:rPr>
        <w:t>分公司检测合格</w:t>
      </w:r>
      <w:r>
        <w:rPr>
          <w:rFonts w:hint="eastAsia" w:ascii="宋体" w:hAnsi="宋体" w:cs="宋体"/>
          <w:sz w:val="28"/>
          <w:szCs w:val="28"/>
          <w:lang w:eastAsia="zh-CN"/>
        </w:rPr>
        <w:t>。</w:t>
      </w:r>
    </w:p>
    <w:p w14:paraId="1ABE2812">
      <w:pPr>
        <w:spacing w:line="360" w:lineRule="auto"/>
        <w:ind w:firstLine="560" w:firstLineChars="200"/>
        <w:rPr>
          <w:rFonts w:cs="Times New Roman"/>
          <w:sz w:val="28"/>
          <w:szCs w:val="28"/>
        </w:rPr>
      </w:pPr>
      <w:r>
        <w:rPr>
          <w:rFonts w:hint="eastAsia" w:cs="宋体"/>
          <w:sz w:val="28"/>
          <w:szCs w:val="28"/>
        </w:rPr>
        <w:t>站内采用地沟式电缆敷设到用电设备。</w:t>
      </w:r>
    </w:p>
    <w:p w14:paraId="5ABDF353">
      <w:pPr>
        <w:pStyle w:val="35"/>
        <w:ind w:firstLine="560" w:firstLineChars="200"/>
        <w:rPr>
          <w:rFonts w:cs="Times New Roman"/>
        </w:rPr>
      </w:pPr>
      <w:r>
        <w:rPr>
          <w:rFonts w:hint="eastAsia"/>
          <w:sz w:val="28"/>
          <w:szCs w:val="28"/>
        </w:rPr>
        <w:t>加油站在进口设置进站消防安全须知标识，加油岛及油罐区设置严禁烟火、禁打手机及停车熄火标识</w:t>
      </w:r>
      <w:r>
        <w:rPr>
          <w:rFonts w:hint="eastAsia"/>
          <w:sz w:val="28"/>
          <w:szCs w:val="28"/>
          <w:lang w:eastAsia="zh-CN"/>
        </w:rPr>
        <w:t>。</w:t>
      </w:r>
      <w:r>
        <w:rPr>
          <w:rFonts w:hint="eastAsia"/>
          <w:sz w:val="28"/>
          <w:szCs w:val="28"/>
        </w:rPr>
        <w:t>加油站门口设置了职业危害告知卡，且门口张贴了卸油规程八步法作业指导书。</w:t>
      </w:r>
    </w:p>
    <w:p w14:paraId="6E140D64">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108" w:name="_Toc22331"/>
      <w:r>
        <w:rPr>
          <w:rFonts w:hint="eastAsia" w:ascii="楷体" w:hAnsi="楷体" w:eastAsia="楷体" w:cs="楷体"/>
          <w:sz w:val="32"/>
          <w:szCs w:val="32"/>
        </w:rPr>
        <w:t>2.5.</w:t>
      </w:r>
      <w:r>
        <w:rPr>
          <w:rFonts w:hint="eastAsia" w:ascii="楷体" w:hAnsi="楷体" w:eastAsia="楷体" w:cs="楷体"/>
          <w:sz w:val="32"/>
          <w:szCs w:val="32"/>
          <w:lang w:val="en-US" w:eastAsia="zh-CN"/>
        </w:rPr>
        <w:t>3</w:t>
      </w:r>
      <w:r>
        <w:rPr>
          <w:rFonts w:hint="eastAsia" w:ascii="楷体" w:hAnsi="楷体" w:eastAsia="楷体" w:cs="楷体"/>
          <w:sz w:val="32"/>
          <w:szCs w:val="32"/>
        </w:rPr>
        <w:t>劳动保护用品</w:t>
      </w:r>
      <w:bookmarkEnd w:id="108"/>
    </w:p>
    <w:p w14:paraId="5D4AD8DA">
      <w:pPr>
        <w:spacing w:line="600" w:lineRule="exact"/>
        <w:ind w:firstLine="560" w:firstLineChars="200"/>
        <w:rPr>
          <w:rFonts w:hint="eastAsia" w:ascii="Times New Roman" w:hAnsi="Times New Roman" w:cs="宋体"/>
          <w:sz w:val="28"/>
          <w:szCs w:val="28"/>
        </w:rPr>
      </w:pPr>
      <w:r>
        <w:rPr>
          <w:rFonts w:hint="eastAsia" w:ascii="Times New Roman" w:hAnsi="Times New Roman" w:cs="宋体"/>
          <w:sz w:val="28"/>
          <w:szCs w:val="28"/>
        </w:rPr>
        <w:t>劳动保护用品主要包括防静电工作服，手套等，不允许穿带钉鞋进入工作岗位。</w:t>
      </w:r>
    </w:p>
    <w:p w14:paraId="1537A49A">
      <w:pPr>
        <w:bidi w:val="0"/>
        <w:jc w:val="center"/>
        <w:rPr>
          <w:rFonts w:hint="eastAsia" w:ascii="宋体" w:hAnsi="宋体" w:eastAsia="宋体" w:cs="宋体"/>
          <w:b/>
          <w:bCs/>
          <w:sz w:val="24"/>
          <w:szCs w:val="24"/>
        </w:rPr>
      </w:pPr>
    </w:p>
    <w:p w14:paraId="7DE422EB">
      <w:pPr>
        <w:bidi w:val="0"/>
        <w:jc w:val="center"/>
        <w:rPr>
          <w:rFonts w:hint="eastAsia" w:ascii="宋体" w:hAnsi="宋体" w:eastAsia="宋体" w:cs="宋体"/>
          <w:b/>
          <w:bCs/>
          <w:sz w:val="24"/>
          <w:szCs w:val="24"/>
        </w:rPr>
      </w:pPr>
      <w:r>
        <w:rPr>
          <w:rFonts w:hint="eastAsia" w:ascii="宋体" w:hAnsi="宋体" w:eastAsia="宋体" w:cs="宋体"/>
          <w:b/>
          <w:bCs/>
          <w:sz w:val="24"/>
          <w:szCs w:val="24"/>
        </w:rPr>
        <w:t>表2-</w:t>
      </w:r>
      <w:r>
        <w:rPr>
          <w:rFonts w:hint="eastAsia" w:ascii="宋体" w:hAnsi="宋体" w:eastAsia="宋体" w:cs="宋体"/>
          <w:b/>
          <w:bCs/>
          <w:sz w:val="24"/>
          <w:szCs w:val="24"/>
          <w:lang w:val="en-US" w:eastAsia="zh-CN"/>
        </w:rPr>
        <w:t>7劳动防护用品</w:t>
      </w:r>
      <w:r>
        <w:rPr>
          <w:rFonts w:hint="eastAsia" w:ascii="宋体" w:hAnsi="宋体" w:eastAsia="宋体" w:cs="宋体"/>
          <w:b/>
          <w:bCs/>
          <w:sz w:val="24"/>
          <w:szCs w:val="24"/>
        </w:rPr>
        <w:t>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1"/>
        <w:gridCol w:w="2147"/>
        <w:gridCol w:w="2215"/>
        <w:gridCol w:w="1501"/>
        <w:gridCol w:w="1580"/>
      </w:tblGrid>
      <w:tr w14:paraId="33962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911" w:type="dxa"/>
          </w:tcPr>
          <w:p w14:paraId="66B7F34F">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序号</w:t>
            </w:r>
          </w:p>
        </w:tc>
        <w:tc>
          <w:tcPr>
            <w:tcW w:w="2147" w:type="dxa"/>
          </w:tcPr>
          <w:p w14:paraId="4F5EEE1D">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劳动防护用品</w:t>
            </w:r>
          </w:p>
        </w:tc>
        <w:tc>
          <w:tcPr>
            <w:tcW w:w="2215" w:type="dxa"/>
          </w:tcPr>
          <w:p w14:paraId="1DE15711">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使用人员</w:t>
            </w:r>
          </w:p>
        </w:tc>
        <w:tc>
          <w:tcPr>
            <w:tcW w:w="1501" w:type="dxa"/>
          </w:tcPr>
          <w:p w14:paraId="637C2009">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单位</w:t>
            </w:r>
          </w:p>
        </w:tc>
        <w:tc>
          <w:tcPr>
            <w:tcW w:w="1580" w:type="dxa"/>
          </w:tcPr>
          <w:p w14:paraId="6F5954A2">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数量</w:t>
            </w:r>
          </w:p>
        </w:tc>
      </w:tr>
      <w:tr w14:paraId="2D56A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tcPr>
          <w:p w14:paraId="3E93FBD5">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1</w:t>
            </w:r>
          </w:p>
        </w:tc>
        <w:tc>
          <w:tcPr>
            <w:tcW w:w="2147" w:type="dxa"/>
          </w:tcPr>
          <w:p w14:paraId="37B757E6">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耐油、防静电工作鞋</w:t>
            </w:r>
          </w:p>
        </w:tc>
        <w:tc>
          <w:tcPr>
            <w:tcW w:w="2215" w:type="dxa"/>
          </w:tcPr>
          <w:p w14:paraId="6E827298">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员工、管理人员</w:t>
            </w:r>
          </w:p>
        </w:tc>
        <w:tc>
          <w:tcPr>
            <w:tcW w:w="1501" w:type="dxa"/>
          </w:tcPr>
          <w:p w14:paraId="5A63348D">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双</w:t>
            </w:r>
          </w:p>
        </w:tc>
        <w:tc>
          <w:tcPr>
            <w:tcW w:w="1580" w:type="dxa"/>
          </w:tcPr>
          <w:p w14:paraId="480D2589">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2</w:t>
            </w:r>
          </w:p>
        </w:tc>
      </w:tr>
      <w:tr w14:paraId="6F62D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tcPr>
          <w:p w14:paraId="7E21A9B1">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2</w:t>
            </w:r>
          </w:p>
        </w:tc>
        <w:tc>
          <w:tcPr>
            <w:tcW w:w="2147" w:type="dxa"/>
          </w:tcPr>
          <w:p w14:paraId="1368C870">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耐油溶剂手套</w:t>
            </w:r>
          </w:p>
        </w:tc>
        <w:tc>
          <w:tcPr>
            <w:tcW w:w="2215" w:type="dxa"/>
          </w:tcPr>
          <w:p w14:paraId="14804CF7">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员工</w:t>
            </w:r>
          </w:p>
        </w:tc>
        <w:tc>
          <w:tcPr>
            <w:tcW w:w="1501" w:type="dxa"/>
          </w:tcPr>
          <w:p w14:paraId="23722FFF">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双</w:t>
            </w:r>
          </w:p>
        </w:tc>
        <w:tc>
          <w:tcPr>
            <w:tcW w:w="1580" w:type="dxa"/>
          </w:tcPr>
          <w:p w14:paraId="6D3E16B0">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1</w:t>
            </w:r>
          </w:p>
        </w:tc>
      </w:tr>
      <w:tr w14:paraId="0F948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tcPr>
          <w:p w14:paraId="1F93436C">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3</w:t>
            </w:r>
          </w:p>
        </w:tc>
        <w:tc>
          <w:tcPr>
            <w:tcW w:w="2147" w:type="dxa"/>
          </w:tcPr>
          <w:p w14:paraId="17A0329A">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安全帽</w:t>
            </w:r>
          </w:p>
        </w:tc>
        <w:tc>
          <w:tcPr>
            <w:tcW w:w="2215" w:type="dxa"/>
          </w:tcPr>
          <w:p w14:paraId="49262CB2">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员工</w:t>
            </w:r>
          </w:p>
        </w:tc>
        <w:tc>
          <w:tcPr>
            <w:tcW w:w="1501" w:type="dxa"/>
          </w:tcPr>
          <w:p w14:paraId="72F7A21F">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顶</w:t>
            </w:r>
          </w:p>
        </w:tc>
        <w:tc>
          <w:tcPr>
            <w:tcW w:w="1580" w:type="dxa"/>
          </w:tcPr>
          <w:p w14:paraId="218C7E0F">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1</w:t>
            </w:r>
          </w:p>
        </w:tc>
      </w:tr>
      <w:tr w14:paraId="6C22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tcPr>
          <w:p w14:paraId="0727E96A">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4</w:t>
            </w:r>
          </w:p>
        </w:tc>
        <w:tc>
          <w:tcPr>
            <w:tcW w:w="2147" w:type="dxa"/>
          </w:tcPr>
          <w:p w14:paraId="2B8AA977">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反光背心</w:t>
            </w:r>
          </w:p>
        </w:tc>
        <w:tc>
          <w:tcPr>
            <w:tcW w:w="2215" w:type="dxa"/>
          </w:tcPr>
          <w:p w14:paraId="55B38985">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员工</w:t>
            </w:r>
          </w:p>
        </w:tc>
        <w:tc>
          <w:tcPr>
            <w:tcW w:w="1501" w:type="dxa"/>
          </w:tcPr>
          <w:p w14:paraId="3DEFF51D">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件</w:t>
            </w:r>
          </w:p>
        </w:tc>
        <w:tc>
          <w:tcPr>
            <w:tcW w:w="1580" w:type="dxa"/>
          </w:tcPr>
          <w:p w14:paraId="78805529">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2</w:t>
            </w:r>
          </w:p>
        </w:tc>
      </w:tr>
      <w:tr w14:paraId="41604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tcPr>
          <w:p w14:paraId="75464181">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5</w:t>
            </w:r>
          </w:p>
        </w:tc>
        <w:tc>
          <w:tcPr>
            <w:tcW w:w="2147" w:type="dxa"/>
          </w:tcPr>
          <w:p w14:paraId="2188E967">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雨衣、雨靴</w:t>
            </w:r>
          </w:p>
        </w:tc>
        <w:tc>
          <w:tcPr>
            <w:tcW w:w="2215" w:type="dxa"/>
          </w:tcPr>
          <w:p w14:paraId="5F544741">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员工</w:t>
            </w:r>
          </w:p>
        </w:tc>
        <w:tc>
          <w:tcPr>
            <w:tcW w:w="1501" w:type="dxa"/>
          </w:tcPr>
          <w:p w14:paraId="1AEE5B21">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双</w:t>
            </w:r>
          </w:p>
        </w:tc>
        <w:tc>
          <w:tcPr>
            <w:tcW w:w="1580" w:type="dxa"/>
          </w:tcPr>
          <w:p w14:paraId="3F5B0603">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1</w:t>
            </w:r>
          </w:p>
        </w:tc>
      </w:tr>
      <w:tr w14:paraId="334DD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tcPr>
          <w:p w14:paraId="33697E68">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6</w:t>
            </w:r>
          </w:p>
        </w:tc>
        <w:tc>
          <w:tcPr>
            <w:tcW w:w="2147" w:type="dxa"/>
          </w:tcPr>
          <w:p w14:paraId="0E857D35">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口罩</w:t>
            </w:r>
          </w:p>
        </w:tc>
        <w:tc>
          <w:tcPr>
            <w:tcW w:w="2215" w:type="dxa"/>
          </w:tcPr>
          <w:p w14:paraId="426D9446">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员工/检维修人员</w:t>
            </w:r>
          </w:p>
        </w:tc>
        <w:tc>
          <w:tcPr>
            <w:tcW w:w="1501" w:type="dxa"/>
          </w:tcPr>
          <w:p w14:paraId="21A3F3D1">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只</w:t>
            </w:r>
          </w:p>
        </w:tc>
        <w:tc>
          <w:tcPr>
            <w:tcW w:w="1580" w:type="dxa"/>
          </w:tcPr>
          <w:p w14:paraId="075E8FC7">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20</w:t>
            </w:r>
          </w:p>
        </w:tc>
      </w:tr>
      <w:tr w14:paraId="2BB79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tcPr>
          <w:p w14:paraId="424F1FC9">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7</w:t>
            </w:r>
          </w:p>
        </w:tc>
        <w:tc>
          <w:tcPr>
            <w:tcW w:w="2147" w:type="dxa"/>
          </w:tcPr>
          <w:p w14:paraId="08D4FDB9">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绝缘保护用品</w:t>
            </w:r>
          </w:p>
        </w:tc>
        <w:tc>
          <w:tcPr>
            <w:tcW w:w="2215" w:type="dxa"/>
          </w:tcPr>
          <w:p w14:paraId="4DA499AF">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员工/检维修人员</w:t>
            </w:r>
          </w:p>
        </w:tc>
        <w:tc>
          <w:tcPr>
            <w:tcW w:w="1501" w:type="dxa"/>
          </w:tcPr>
          <w:p w14:paraId="6D5186C9">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套</w:t>
            </w:r>
          </w:p>
        </w:tc>
        <w:tc>
          <w:tcPr>
            <w:tcW w:w="1580" w:type="dxa"/>
          </w:tcPr>
          <w:p w14:paraId="3404DCC7">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kern w:val="0"/>
              </w:rPr>
            </w:pPr>
            <w:r>
              <w:rPr>
                <w:rFonts w:hint="eastAsia" w:ascii="宋体" w:hAnsi="宋体" w:eastAsia="宋体" w:cs="宋体"/>
                <w:kern w:val="0"/>
              </w:rPr>
              <w:t>2</w:t>
            </w:r>
          </w:p>
        </w:tc>
      </w:tr>
    </w:tbl>
    <w:p w14:paraId="578FF146">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109" w:name="_Toc32237"/>
      <w:r>
        <w:rPr>
          <w:rFonts w:hint="eastAsia" w:ascii="楷体" w:hAnsi="楷体" w:eastAsia="楷体" w:cs="楷体"/>
          <w:sz w:val="32"/>
          <w:szCs w:val="32"/>
        </w:rPr>
        <w:t>2.5.</w:t>
      </w:r>
      <w:r>
        <w:rPr>
          <w:rFonts w:hint="eastAsia" w:ascii="楷体" w:hAnsi="楷体" w:eastAsia="楷体" w:cs="楷体"/>
          <w:sz w:val="32"/>
          <w:szCs w:val="32"/>
          <w:lang w:val="en-US" w:eastAsia="zh-CN"/>
        </w:rPr>
        <w:t>4</w:t>
      </w:r>
      <w:r>
        <w:rPr>
          <w:rFonts w:hint="eastAsia" w:ascii="楷体" w:hAnsi="楷体" w:eastAsia="楷体" w:cs="楷体"/>
          <w:sz w:val="32"/>
          <w:szCs w:val="32"/>
        </w:rPr>
        <w:t>消防验收</w:t>
      </w:r>
      <w:bookmarkEnd w:id="109"/>
    </w:p>
    <w:p w14:paraId="1EE0BCBF">
      <w:pPr>
        <w:spacing w:line="600" w:lineRule="exact"/>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该加油站于2003年6月1</w:t>
      </w:r>
      <w:r>
        <w:rPr>
          <w:rFonts w:hint="eastAsia" w:ascii="宋体" w:hAnsi="宋体" w:cs="宋体"/>
          <w:sz w:val="28"/>
          <w:szCs w:val="28"/>
          <w:lang w:val="en-US" w:eastAsia="zh-CN"/>
        </w:rPr>
        <w:t>4</w:t>
      </w:r>
      <w:r>
        <w:rPr>
          <w:rFonts w:hint="eastAsia" w:ascii="宋体" w:hAnsi="宋体" w:eastAsia="宋体" w:cs="宋体"/>
          <w:sz w:val="28"/>
          <w:szCs w:val="28"/>
        </w:rPr>
        <w:t>日取得了由余干县公安消防大队下发的建筑工程消防验收意见书。</w:t>
      </w:r>
      <w:r>
        <w:rPr>
          <w:rFonts w:hint="eastAsia" w:ascii="宋体" w:hAnsi="宋体" w:cs="宋体"/>
          <w:sz w:val="28"/>
          <w:szCs w:val="28"/>
          <w:lang w:eastAsia="zh-CN"/>
        </w:rPr>
        <w:t>（</w:t>
      </w:r>
      <w:r>
        <w:rPr>
          <w:rFonts w:hint="eastAsia" w:ascii="宋体" w:hAnsi="宋体" w:cs="宋体"/>
          <w:sz w:val="28"/>
          <w:szCs w:val="28"/>
          <w:lang w:val="en-US" w:eastAsia="zh-CN"/>
        </w:rPr>
        <w:t>见附图</w:t>
      </w:r>
      <w:r>
        <w:rPr>
          <w:rFonts w:hint="eastAsia" w:ascii="宋体" w:hAnsi="宋体" w:cs="宋体"/>
          <w:sz w:val="28"/>
          <w:szCs w:val="28"/>
          <w:lang w:eastAsia="zh-CN"/>
        </w:rPr>
        <w:t>）</w:t>
      </w:r>
    </w:p>
    <w:p w14:paraId="598E28FF">
      <w:pPr>
        <w:pStyle w:val="5"/>
        <w:keepNext/>
        <w:keepLines/>
        <w:pageBreakBefore w:val="0"/>
        <w:widowControl w:val="0"/>
        <w:kinsoku/>
        <w:wordWrap/>
        <w:overflowPunct/>
        <w:topLinePunct w:val="0"/>
        <w:autoSpaceDE/>
        <w:autoSpaceDN/>
        <w:bidi w:val="0"/>
        <w:adjustRightInd/>
        <w:snapToGrid/>
        <w:textAlignment w:val="auto"/>
        <w:outlineLvl w:val="1"/>
        <w:rPr>
          <w:rFonts w:hint="eastAsia" w:ascii="楷体" w:hAnsi="楷体" w:eastAsia="楷体" w:cs="楷体"/>
          <w:sz w:val="32"/>
          <w:szCs w:val="32"/>
        </w:rPr>
      </w:pPr>
      <w:bookmarkStart w:id="110" w:name="_Toc24678"/>
      <w:bookmarkStart w:id="111" w:name="_Toc22076"/>
      <w:bookmarkStart w:id="112" w:name="_Toc8808"/>
      <w:bookmarkStart w:id="113" w:name="_Toc22484"/>
      <w:r>
        <w:rPr>
          <w:rFonts w:hint="eastAsia" w:ascii="楷体" w:hAnsi="楷体" w:eastAsia="楷体" w:cs="楷体"/>
          <w:sz w:val="32"/>
          <w:szCs w:val="32"/>
        </w:rPr>
        <w:t>2.6安全管理体系</w:t>
      </w:r>
      <w:bookmarkEnd w:id="110"/>
      <w:bookmarkEnd w:id="111"/>
      <w:bookmarkEnd w:id="112"/>
      <w:bookmarkEnd w:id="113"/>
    </w:p>
    <w:p w14:paraId="25DB62E2">
      <w:pPr>
        <w:spacing w:line="600" w:lineRule="exact"/>
        <w:ind w:firstLine="560" w:firstLineChars="200"/>
        <w:rPr>
          <w:rFonts w:hint="eastAsia" w:ascii="宋体" w:hAnsi="宋体" w:eastAsia="宋体" w:cs="宋体"/>
          <w:sz w:val="28"/>
          <w:szCs w:val="28"/>
          <w:lang w:eastAsia="zh-CN"/>
        </w:rPr>
      </w:pPr>
      <w:r>
        <w:rPr>
          <w:rFonts w:hint="eastAsia" w:ascii="宋体" w:hAnsi="宋体" w:eastAsia="宋体" w:cs="宋体"/>
          <w:sz w:val="28"/>
          <w:szCs w:val="28"/>
          <w:lang w:val="en-US" w:eastAsia="zh-CN"/>
        </w:rPr>
        <w:t>（1）</w:t>
      </w:r>
      <w:r>
        <w:rPr>
          <w:rFonts w:hint="eastAsia" w:ascii="宋体" w:hAnsi="宋体" w:eastAsia="宋体" w:cs="宋体"/>
          <w:sz w:val="28"/>
          <w:szCs w:val="28"/>
        </w:rPr>
        <w:t>该加油站制定了各岗位安全生产职责，明确规定了各级领导和各岗位人员的安全生产职责和要求。</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见附图</w:t>
      </w:r>
      <w:r>
        <w:rPr>
          <w:rFonts w:hint="eastAsia" w:ascii="宋体" w:hAnsi="宋体" w:eastAsia="宋体" w:cs="宋体"/>
          <w:sz w:val="28"/>
          <w:szCs w:val="28"/>
          <w:lang w:eastAsia="zh-CN"/>
        </w:rPr>
        <w:t>）</w:t>
      </w:r>
    </w:p>
    <w:p w14:paraId="065BA8DC">
      <w:pPr>
        <w:spacing w:line="600" w:lineRule="exact"/>
        <w:ind w:firstLine="560" w:firstLineChars="200"/>
        <w:rPr>
          <w:rFonts w:hint="eastAsia" w:ascii="Times New Roman" w:hAnsi="Times New Roman" w:eastAsia="宋体" w:cs="Times New Roman"/>
          <w:sz w:val="28"/>
          <w:szCs w:val="28"/>
          <w:lang w:eastAsia="zh-CN"/>
        </w:rPr>
      </w:pPr>
      <w:r>
        <w:rPr>
          <w:rFonts w:hint="eastAsia" w:ascii="宋体" w:hAnsi="宋体" w:eastAsia="宋体" w:cs="宋体"/>
          <w:sz w:val="28"/>
          <w:szCs w:val="28"/>
          <w:lang w:val="en-US" w:eastAsia="zh-CN"/>
        </w:rPr>
        <w:t>（2）</w:t>
      </w:r>
      <w:r>
        <w:rPr>
          <w:rFonts w:hint="eastAsia" w:ascii="宋体" w:hAnsi="宋体" w:eastAsia="宋体" w:cs="宋体"/>
          <w:sz w:val="28"/>
          <w:szCs w:val="28"/>
        </w:rPr>
        <w:t>制</w:t>
      </w:r>
      <w:r>
        <w:rPr>
          <w:rFonts w:hint="eastAsia" w:ascii="Times New Roman" w:hAnsi="Times New Roman" w:cs="宋体"/>
          <w:sz w:val="28"/>
          <w:szCs w:val="28"/>
        </w:rPr>
        <w:t>定了各种安全管理制度，包括：安全教育、培训制度，电气安全管理制度，防火巡查、检查制度，值班制度，消防设施、器材维护管理制度，火源管理制度，消防小组职责等。制定了加油、卸油的安全操作技术规程。</w:t>
      </w:r>
      <w:r>
        <w:rPr>
          <w:rFonts w:hint="eastAsia" w:ascii="Times New Roman" w:hAnsi="Times New Roman" w:cs="宋体"/>
          <w:sz w:val="28"/>
          <w:szCs w:val="28"/>
          <w:lang w:eastAsia="zh-CN"/>
        </w:rPr>
        <w:t>（</w:t>
      </w:r>
      <w:r>
        <w:rPr>
          <w:rFonts w:hint="eastAsia" w:ascii="Times New Roman" w:hAnsi="Times New Roman" w:cs="宋体"/>
          <w:sz w:val="28"/>
          <w:szCs w:val="28"/>
          <w:lang w:val="en-US" w:eastAsia="zh-CN"/>
        </w:rPr>
        <w:t>见附图</w:t>
      </w:r>
      <w:r>
        <w:rPr>
          <w:rFonts w:hint="eastAsia" w:ascii="Times New Roman" w:hAnsi="Times New Roman" w:cs="宋体"/>
          <w:sz w:val="28"/>
          <w:szCs w:val="28"/>
          <w:lang w:eastAsia="zh-CN"/>
        </w:rPr>
        <w:t>）</w:t>
      </w:r>
    </w:p>
    <w:p w14:paraId="61120C8C">
      <w:pPr>
        <w:spacing w:line="600" w:lineRule="exact"/>
        <w:ind w:firstLine="560" w:firstLineChars="200"/>
        <w:rPr>
          <w:rFonts w:hint="eastAsia" w:ascii="宋体" w:hAnsi="宋体" w:eastAsia="宋体" w:cs="宋体"/>
          <w:sz w:val="28"/>
          <w:szCs w:val="28"/>
          <w:lang w:eastAsia="zh-CN"/>
        </w:rPr>
      </w:pPr>
      <w:r>
        <w:rPr>
          <w:rFonts w:hint="eastAsia" w:ascii="宋体" w:hAnsi="宋体" w:eastAsia="宋体" w:cs="宋体"/>
          <w:sz w:val="28"/>
          <w:szCs w:val="28"/>
          <w:lang w:val="en-US" w:eastAsia="zh-CN"/>
        </w:rPr>
        <w:t>（3）</w:t>
      </w:r>
      <w:r>
        <w:rPr>
          <w:rFonts w:hint="eastAsia" w:ascii="宋体" w:hAnsi="宋体" w:eastAsia="宋体" w:cs="宋体"/>
          <w:sz w:val="28"/>
          <w:szCs w:val="28"/>
        </w:rPr>
        <w:t>制定了事故应急救援预案，并于202</w:t>
      </w:r>
      <w:r>
        <w:rPr>
          <w:rFonts w:hint="eastAsia" w:ascii="宋体" w:hAnsi="宋体" w:eastAsia="宋体" w:cs="宋体"/>
          <w:sz w:val="28"/>
          <w:szCs w:val="28"/>
          <w:lang w:val="en-US" w:eastAsia="zh-CN"/>
        </w:rPr>
        <w:t>3</w:t>
      </w:r>
      <w:r>
        <w:rPr>
          <w:rFonts w:hint="eastAsia" w:ascii="宋体" w:hAnsi="宋体" w:eastAsia="宋体" w:cs="宋体"/>
          <w:sz w:val="28"/>
          <w:szCs w:val="28"/>
        </w:rPr>
        <w:t>年</w:t>
      </w:r>
      <w:r>
        <w:rPr>
          <w:rFonts w:hint="eastAsia" w:ascii="宋体" w:hAnsi="宋体" w:eastAsia="宋体" w:cs="宋体"/>
          <w:sz w:val="28"/>
          <w:szCs w:val="28"/>
          <w:lang w:val="en-US" w:eastAsia="zh-CN"/>
        </w:rPr>
        <w:t>3</w:t>
      </w:r>
      <w:r>
        <w:rPr>
          <w:rFonts w:hint="eastAsia" w:ascii="宋体" w:hAnsi="宋体" w:eastAsia="宋体" w:cs="宋体"/>
          <w:sz w:val="28"/>
          <w:szCs w:val="28"/>
        </w:rPr>
        <w:t>月1</w:t>
      </w:r>
      <w:r>
        <w:rPr>
          <w:rFonts w:hint="eastAsia" w:ascii="宋体" w:hAnsi="宋体" w:eastAsia="宋体" w:cs="宋体"/>
          <w:sz w:val="28"/>
          <w:szCs w:val="28"/>
          <w:lang w:val="en-US" w:eastAsia="zh-CN"/>
        </w:rPr>
        <w:t>5</w:t>
      </w:r>
      <w:r>
        <w:rPr>
          <w:rFonts w:hint="eastAsia" w:ascii="宋体" w:hAnsi="宋体" w:eastAsia="宋体" w:cs="宋体"/>
          <w:sz w:val="28"/>
          <w:szCs w:val="28"/>
        </w:rPr>
        <w:t>日向上饶市应急管理局进行应急预案备案。</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见附图</w:t>
      </w:r>
      <w:r>
        <w:rPr>
          <w:rFonts w:hint="eastAsia" w:ascii="宋体" w:hAnsi="宋体" w:eastAsia="宋体" w:cs="宋体"/>
          <w:sz w:val="28"/>
          <w:szCs w:val="28"/>
          <w:lang w:eastAsia="zh-CN"/>
        </w:rPr>
        <w:t>）</w:t>
      </w:r>
    </w:p>
    <w:p w14:paraId="68D37FCD">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Times New Roman" w:hAnsi="Times New Roman"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4</w:t>
      </w:r>
      <w:r>
        <w:rPr>
          <w:rFonts w:hint="eastAsia" w:ascii="宋体" w:hAnsi="宋体" w:eastAsia="宋体" w:cs="宋体"/>
          <w:sz w:val="28"/>
          <w:szCs w:val="28"/>
          <w:lang w:eastAsia="zh-CN"/>
        </w:rPr>
        <w:t>）加油站对站内存在的主要危险物质进行了辨识，该站存在的汽油、柴油为危险化学</w:t>
      </w:r>
      <w:r>
        <w:rPr>
          <w:rFonts w:hint="eastAsia" w:ascii="Times New Roman" w:hAnsi="Times New Roman" w:cs="宋体"/>
          <w:sz w:val="28"/>
          <w:szCs w:val="28"/>
          <w:lang w:eastAsia="zh-CN"/>
        </w:rPr>
        <w:t>品，具有易燃、易爆特点，存在火灾、爆炸、中毒的危险有害因素。站内将风险区域划分为加油区、承重油罐区、站房、卸油口等区域，其中加油区、油罐区、卸油口、站房配电间为三级风险区，其余为四级风险区。</w:t>
      </w:r>
    </w:p>
    <w:p w14:paraId="492EA6D7">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Times New Roman" w:hAnsi="Times New Roman" w:cs="宋体"/>
          <w:sz w:val="28"/>
          <w:szCs w:val="28"/>
          <w:lang w:eastAsia="zh-CN"/>
        </w:rPr>
      </w:pPr>
      <w:r>
        <w:rPr>
          <w:rFonts w:hint="eastAsia" w:ascii="Times New Roman" w:hAnsi="Times New Roman" w:cs="宋体"/>
          <w:sz w:val="28"/>
          <w:szCs w:val="28"/>
          <w:lang w:val="en-US" w:eastAsia="zh-CN"/>
        </w:rPr>
        <w:t>（5）</w:t>
      </w:r>
      <w:r>
        <w:rPr>
          <w:rFonts w:hint="eastAsia" w:ascii="Times New Roman" w:hAnsi="Times New Roman" w:cs="宋体"/>
          <w:sz w:val="28"/>
          <w:szCs w:val="28"/>
          <w:lang w:eastAsia="zh-CN"/>
        </w:rPr>
        <w:t>该站采用配备消防设施和安全设施等方面对站内风险进行管控，在加油站站房、加油区设置干粉灭火器和灭火毯，在</w:t>
      </w:r>
      <w:r>
        <w:rPr>
          <w:rFonts w:hint="eastAsia" w:ascii="Times New Roman" w:hAnsi="Times New Roman" w:cs="宋体"/>
          <w:sz w:val="28"/>
          <w:szCs w:val="28"/>
          <w:lang w:val="en-US" w:eastAsia="zh-CN"/>
        </w:rPr>
        <w:t>卸油</w:t>
      </w:r>
      <w:r>
        <w:rPr>
          <w:rFonts w:hint="eastAsia" w:ascii="Times New Roman" w:hAnsi="Times New Roman" w:cs="宋体"/>
          <w:sz w:val="28"/>
          <w:szCs w:val="28"/>
          <w:lang w:eastAsia="zh-CN"/>
        </w:rPr>
        <w:t>区设置1台推车式干粉灭火器，油罐区设置消防沙等灭火器材。站内油罐设置通气管加阻火器和呼吸阀，油罐设有高液位监测报警系统，超量充装至95%时自动切断卸油，油罐卸油采用密闭卸油方式。油罐及管道进行了静电接地，法兰连接处进行跨接，卸油管采用金属丝软管，输油管线采用地沟预埋式。加油机采用防爆型自动计量加油机，同时设有卸油和加油油气回收系统，潜油泵底部供油管道上设有剪切阀，加油机上设置拉断阀。</w:t>
      </w:r>
    </w:p>
    <w:p w14:paraId="6AF10F78">
      <w:pPr>
        <w:pStyle w:val="18"/>
        <w:keepNext w:val="0"/>
        <w:keepLines w:val="0"/>
        <w:pageBreakBefore w:val="0"/>
        <w:widowControl/>
        <w:kinsoku/>
        <w:wordWrap/>
        <w:overflowPunct/>
        <w:topLinePunct w:val="0"/>
        <w:autoSpaceDE w:val="0"/>
        <w:autoSpaceDN w:val="0"/>
        <w:bidi w:val="0"/>
        <w:adjustRightInd w:val="0"/>
        <w:snapToGrid/>
        <w:spacing w:before="0" w:beforeAutospacing="0" w:line="240" w:lineRule="atLeast"/>
        <w:ind w:firstLine="527"/>
        <w:textAlignment w:val="auto"/>
        <w:rPr>
          <w:rFonts w:hint="eastAsia" w:ascii="Times New Roman" w:hAnsi="Times New Roman" w:eastAsia="宋体" w:cs="宋体"/>
          <w:kern w:val="2"/>
          <w:sz w:val="28"/>
          <w:szCs w:val="28"/>
          <w:lang w:val="en-US" w:eastAsia="zh-CN" w:bidi="ar-SA"/>
        </w:rPr>
      </w:pPr>
      <w:r>
        <w:rPr>
          <w:rFonts w:hint="eastAsia" w:ascii="宋体" w:hAnsi="宋体" w:eastAsia="宋体" w:cs="宋体"/>
          <w:kern w:val="2"/>
          <w:sz w:val="28"/>
          <w:szCs w:val="28"/>
          <w:lang w:val="en-US" w:eastAsia="zh-CN" w:bidi="ar-SA"/>
        </w:rPr>
        <w:t>（5）该加油站有1</w:t>
      </w:r>
      <w:r>
        <w:rPr>
          <w:rFonts w:hint="eastAsia" w:ascii="Times New Roman" w:hAnsi="Times New Roman" w:eastAsia="宋体" w:cs="宋体"/>
          <w:kern w:val="2"/>
          <w:sz w:val="28"/>
          <w:szCs w:val="28"/>
          <w:lang w:val="en-US" w:eastAsia="zh-CN" w:bidi="ar-SA"/>
        </w:rPr>
        <w:t>名主要负责人和1名安全生产管理人员。</w:t>
      </w:r>
    </w:p>
    <w:p w14:paraId="15C419AD">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表2</w:t>
      </w:r>
      <w:r>
        <w:rPr>
          <w:rFonts w:hint="eastAsia" w:ascii="宋体" w:hAnsi="宋体" w:eastAsia="宋体" w:cs="宋体"/>
          <w:b/>
          <w:bCs/>
          <w:sz w:val="24"/>
          <w:szCs w:val="24"/>
          <w:lang w:val="en-US" w:eastAsia="zh-CN"/>
        </w:rPr>
        <w:t>-8</w:t>
      </w:r>
      <w:r>
        <w:rPr>
          <w:rFonts w:hint="eastAsia" w:ascii="宋体" w:hAnsi="宋体" w:eastAsia="宋体" w:cs="宋体"/>
          <w:b/>
          <w:bCs/>
          <w:sz w:val="24"/>
          <w:szCs w:val="24"/>
          <w:lang w:eastAsia="zh-CN"/>
        </w:rPr>
        <w:t>主要负责人和安全管理人员资格证取证情况一览表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5"/>
        <w:gridCol w:w="875"/>
        <w:gridCol w:w="1883"/>
        <w:gridCol w:w="1342"/>
        <w:gridCol w:w="942"/>
        <w:gridCol w:w="1233"/>
        <w:gridCol w:w="1192"/>
        <w:gridCol w:w="1008"/>
      </w:tblGrid>
      <w:tr w14:paraId="23B7A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565" w:type="dxa"/>
          </w:tcPr>
          <w:p w14:paraId="6C46E816">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b/>
                <w:bCs/>
                <w:sz w:val="15"/>
                <w:szCs w:val="15"/>
                <w:vertAlign w:val="baseline"/>
                <w:lang w:val="en-US" w:eastAsia="zh-CN"/>
              </w:rPr>
            </w:pPr>
            <w:r>
              <w:rPr>
                <w:rFonts w:hint="eastAsia"/>
                <w:b/>
                <w:bCs/>
                <w:sz w:val="15"/>
                <w:szCs w:val="15"/>
                <w:vertAlign w:val="baseline"/>
                <w:lang w:val="en-US" w:eastAsia="zh-CN"/>
              </w:rPr>
              <w:t>序号</w:t>
            </w:r>
          </w:p>
        </w:tc>
        <w:tc>
          <w:tcPr>
            <w:tcW w:w="875" w:type="dxa"/>
          </w:tcPr>
          <w:p w14:paraId="059EC29B">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b/>
                <w:bCs/>
                <w:sz w:val="15"/>
                <w:szCs w:val="15"/>
                <w:vertAlign w:val="baseline"/>
                <w:lang w:val="en-US" w:eastAsia="zh-CN"/>
              </w:rPr>
            </w:pPr>
            <w:r>
              <w:rPr>
                <w:rFonts w:hint="eastAsia"/>
                <w:b/>
                <w:bCs/>
                <w:sz w:val="15"/>
                <w:szCs w:val="15"/>
                <w:vertAlign w:val="baseline"/>
                <w:lang w:val="en-US" w:eastAsia="zh-CN"/>
              </w:rPr>
              <w:t>姓名</w:t>
            </w:r>
          </w:p>
        </w:tc>
        <w:tc>
          <w:tcPr>
            <w:tcW w:w="1883" w:type="dxa"/>
          </w:tcPr>
          <w:p w14:paraId="5E4863F7">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eastAsia"/>
                <w:b/>
                <w:bCs/>
                <w:sz w:val="15"/>
                <w:szCs w:val="15"/>
                <w:vertAlign w:val="baseline"/>
                <w:lang w:eastAsia="zh-CN"/>
              </w:rPr>
            </w:pPr>
            <w:r>
              <w:rPr>
                <w:rFonts w:hint="eastAsia"/>
                <w:b/>
                <w:bCs/>
                <w:sz w:val="15"/>
                <w:szCs w:val="15"/>
                <w:vertAlign w:val="baseline"/>
                <w:lang w:eastAsia="zh-CN"/>
              </w:rPr>
              <w:t>资格证件号</w:t>
            </w:r>
          </w:p>
        </w:tc>
        <w:tc>
          <w:tcPr>
            <w:tcW w:w="1342" w:type="dxa"/>
          </w:tcPr>
          <w:p w14:paraId="11FCA804">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eastAsia"/>
                <w:b/>
                <w:bCs/>
                <w:sz w:val="15"/>
                <w:szCs w:val="15"/>
                <w:vertAlign w:val="baseline"/>
                <w:lang w:eastAsia="zh-CN"/>
              </w:rPr>
            </w:pPr>
            <w:r>
              <w:rPr>
                <w:rFonts w:hint="eastAsia"/>
                <w:b/>
                <w:bCs/>
                <w:sz w:val="15"/>
                <w:szCs w:val="15"/>
                <w:vertAlign w:val="baseline"/>
                <w:lang w:eastAsia="zh-CN"/>
              </w:rPr>
              <w:t>资格类型</w:t>
            </w:r>
          </w:p>
        </w:tc>
        <w:tc>
          <w:tcPr>
            <w:tcW w:w="942" w:type="dxa"/>
          </w:tcPr>
          <w:p w14:paraId="5210DE35">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eastAsia"/>
                <w:b/>
                <w:bCs/>
                <w:sz w:val="15"/>
                <w:szCs w:val="15"/>
                <w:vertAlign w:val="baseline"/>
                <w:lang w:eastAsia="zh-CN"/>
              </w:rPr>
            </w:pPr>
            <w:r>
              <w:rPr>
                <w:rFonts w:hint="eastAsia"/>
                <w:b/>
                <w:bCs/>
                <w:sz w:val="15"/>
                <w:szCs w:val="15"/>
                <w:vertAlign w:val="baseline"/>
                <w:lang w:eastAsia="zh-CN"/>
              </w:rPr>
              <w:t>发证机构</w:t>
            </w:r>
          </w:p>
        </w:tc>
        <w:tc>
          <w:tcPr>
            <w:tcW w:w="1233" w:type="dxa"/>
          </w:tcPr>
          <w:p w14:paraId="6944ACE8">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eastAsia"/>
                <w:b/>
                <w:bCs/>
                <w:sz w:val="15"/>
                <w:szCs w:val="15"/>
                <w:vertAlign w:val="baseline"/>
                <w:lang w:eastAsia="zh-CN"/>
              </w:rPr>
            </w:pPr>
            <w:r>
              <w:rPr>
                <w:rFonts w:hint="eastAsia"/>
                <w:b/>
                <w:bCs/>
                <w:sz w:val="15"/>
                <w:szCs w:val="15"/>
                <w:vertAlign w:val="baseline"/>
                <w:lang w:eastAsia="zh-CN"/>
              </w:rPr>
              <w:t>发证时间</w:t>
            </w:r>
          </w:p>
        </w:tc>
        <w:tc>
          <w:tcPr>
            <w:tcW w:w="1192" w:type="dxa"/>
          </w:tcPr>
          <w:p w14:paraId="2A50CED5">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b/>
                <w:bCs/>
                <w:sz w:val="15"/>
                <w:szCs w:val="15"/>
                <w:vertAlign w:val="baseline"/>
                <w:lang w:val="en-US" w:eastAsia="zh-CN"/>
              </w:rPr>
            </w:pPr>
            <w:r>
              <w:rPr>
                <w:rFonts w:hint="eastAsia"/>
                <w:b/>
                <w:bCs/>
                <w:sz w:val="15"/>
                <w:szCs w:val="15"/>
                <w:vertAlign w:val="baseline"/>
                <w:lang w:val="en-US" w:eastAsia="zh-CN"/>
              </w:rPr>
              <w:t>有效期</w:t>
            </w:r>
          </w:p>
        </w:tc>
        <w:tc>
          <w:tcPr>
            <w:tcW w:w="1008" w:type="dxa"/>
          </w:tcPr>
          <w:p w14:paraId="2709C332">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b/>
                <w:bCs/>
                <w:sz w:val="15"/>
                <w:szCs w:val="15"/>
                <w:vertAlign w:val="baseline"/>
                <w:lang w:val="en-US" w:eastAsia="zh-CN"/>
              </w:rPr>
            </w:pPr>
            <w:r>
              <w:rPr>
                <w:rFonts w:hint="eastAsia"/>
                <w:b/>
                <w:bCs/>
                <w:sz w:val="15"/>
                <w:szCs w:val="15"/>
                <w:vertAlign w:val="baseline"/>
                <w:lang w:val="en-US" w:eastAsia="zh-CN"/>
              </w:rPr>
              <w:t>检查结论</w:t>
            </w:r>
          </w:p>
        </w:tc>
      </w:tr>
      <w:tr w14:paraId="4E760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tcPr>
          <w:p w14:paraId="394D69BE">
            <w:pPr>
              <w:pStyle w:val="18"/>
              <w:keepNext w:val="0"/>
              <w:keepLines w:val="0"/>
              <w:pageBreakBefore w:val="0"/>
              <w:widowControl/>
              <w:kinsoku/>
              <w:wordWrap/>
              <w:overflowPunct/>
              <w:topLinePunct w:val="0"/>
              <w:autoSpaceDE w:val="0"/>
              <w:autoSpaceDN w:val="0"/>
              <w:bidi w:val="0"/>
              <w:adjustRightInd w:val="0"/>
              <w:snapToGrid/>
              <w:ind w:left="0" w:leftChars="0"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1</w:t>
            </w:r>
          </w:p>
        </w:tc>
        <w:tc>
          <w:tcPr>
            <w:tcW w:w="875" w:type="dxa"/>
          </w:tcPr>
          <w:p w14:paraId="7DB86FB7">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查宏辉</w:t>
            </w:r>
          </w:p>
        </w:tc>
        <w:tc>
          <w:tcPr>
            <w:tcW w:w="1883" w:type="dxa"/>
          </w:tcPr>
          <w:p w14:paraId="2CC02B11">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362531197912190052</w:t>
            </w:r>
          </w:p>
        </w:tc>
        <w:tc>
          <w:tcPr>
            <w:tcW w:w="1342" w:type="dxa"/>
          </w:tcPr>
          <w:p w14:paraId="121FCAB1">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主要负责人</w:t>
            </w:r>
          </w:p>
        </w:tc>
        <w:tc>
          <w:tcPr>
            <w:tcW w:w="942" w:type="dxa"/>
          </w:tcPr>
          <w:p w14:paraId="2C67850C">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上饶市应急管理局</w:t>
            </w:r>
          </w:p>
        </w:tc>
        <w:tc>
          <w:tcPr>
            <w:tcW w:w="1233" w:type="dxa"/>
          </w:tcPr>
          <w:p w14:paraId="4341D03E">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2022.11.28</w:t>
            </w:r>
          </w:p>
        </w:tc>
        <w:tc>
          <w:tcPr>
            <w:tcW w:w="1192" w:type="dxa"/>
          </w:tcPr>
          <w:p w14:paraId="61CE60F2">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2025.11.27</w:t>
            </w:r>
          </w:p>
        </w:tc>
        <w:tc>
          <w:tcPr>
            <w:tcW w:w="1008" w:type="dxa"/>
          </w:tcPr>
          <w:p w14:paraId="5DF727B4">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符合要求</w:t>
            </w:r>
          </w:p>
        </w:tc>
      </w:tr>
      <w:tr w14:paraId="4FC03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565" w:type="dxa"/>
          </w:tcPr>
          <w:p w14:paraId="5A852F41">
            <w:pPr>
              <w:pStyle w:val="18"/>
              <w:keepNext w:val="0"/>
              <w:keepLines w:val="0"/>
              <w:pageBreakBefore w:val="0"/>
              <w:widowControl/>
              <w:kinsoku/>
              <w:wordWrap/>
              <w:overflowPunct/>
              <w:topLinePunct w:val="0"/>
              <w:autoSpaceDE w:val="0"/>
              <w:autoSpaceDN w:val="0"/>
              <w:bidi w:val="0"/>
              <w:adjustRightInd w:val="0"/>
              <w:snapToGrid/>
              <w:ind w:left="0" w:leftChars="0" w:firstLine="0" w:firstLineChars="0"/>
              <w:jc w:val="center"/>
              <w:textAlignment w:val="auto"/>
              <w:rPr>
                <w:rFonts w:hint="default"/>
                <w:sz w:val="18"/>
                <w:szCs w:val="18"/>
                <w:vertAlign w:val="baseline"/>
                <w:lang w:val="en-US" w:eastAsia="zh-CN"/>
              </w:rPr>
            </w:pPr>
            <w:r>
              <w:rPr>
                <w:rFonts w:hint="eastAsia"/>
                <w:sz w:val="18"/>
                <w:szCs w:val="18"/>
                <w:vertAlign w:val="baseline"/>
                <w:lang w:val="en-US" w:eastAsia="zh-CN"/>
              </w:rPr>
              <w:t>2</w:t>
            </w:r>
          </w:p>
        </w:tc>
        <w:tc>
          <w:tcPr>
            <w:tcW w:w="875" w:type="dxa"/>
          </w:tcPr>
          <w:p w14:paraId="689C8C80">
            <w:pPr>
              <w:bidi w:val="0"/>
              <w:jc w:val="center"/>
              <w:rPr>
                <w:rFonts w:hint="default"/>
                <w:sz w:val="18"/>
                <w:szCs w:val="18"/>
                <w:vertAlign w:val="baseline"/>
                <w:lang w:val="en-US" w:eastAsia="zh-CN"/>
              </w:rPr>
            </w:pPr>
            <w:r>
              <w:rPr>
                <w:rFonts w:hint="eastAsia"/>
                <w:sz w:val="18"/>
                <w:szCs w:val="18"/>
                <w:lang w:val="en-US" w:eastAsia="zh-CN"/>
              </w:rPr>
              <w:t>齐浩</w:t>
            </w:r>
          </w:p>
        </w:tc>
        <w:tc>
          <w:tcPr>
            <w:tcW w:w="1883" w:type="dxa"/>
          </w:tcPr>
          <w:p w14:paraId="794BAA93">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362329198407285757</w:t>
            </w:r>
          </w:p>
        </w:tc>
        <w:tc>
          <w:tcPr>
            <w:tcW w:w="1342" w:type="dxa"/>
          </w:tcPr>
          <w:p w14:paraId="6F88AA29">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安全管理人员</w:t>
            </w:r>
          </w:p>
        </w:tc>
        <w:tc>
          <w:tcPr>
            <w:tcW w:w="942" w:type="dxa"/>
          </w:tcPr>
          <w:p w14:paraId="0213B0E7">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eastAsia"/>
                <w:sz w:val="18"/>
                <w:szCs w:val="18"/>
                <w:vertAlign w:val="baseline"/>
                <w:lang w:eastAsia="zh-CN"/>
              </w:rPr>
            </w:pPr>
            <w:r>
              <w:rPr>
                <w:rFonts w:hint="eastAsia"/>
                <w:sz w:val="18"/>
                <w:szCs w:val="18"/>
                <w:vertAlign w:val="baseline"/>
                <w:lang w:eastAsia="zh-CN"/>
              </w:rPr>
              <w:t>上饶市应急管理局</w:t>
            </w:r>
          </w:p>
        </w:tc>
        <w:tc>
          <w:tcPr>
            <w:tcW w:w="1233" w:type="dxa"/>
          </w:tcPr>
          <w:p w14:paraId="3B508798">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2022.11.28</w:t>
            </w:r>
          </w:p>
        </w:tc>
        <w:tc>
          <w:tcPr>
            <w:tcW w:w="1192" w:type="dxa"/>
          </w:tcPr>
          <w:p w14:paraId="61DC3963">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2025.11.27</w:t>
            </w:r>
          </w:p>
        </w:tc>
        <w:tc>
          <w:tcPr>
            <w:tcW w:w="1008" w:type="dxa"/>
          </w:tcPr>
          <w:p w14:paraId="7F3F6332">
            <w:pPr>
              <w:pStyle w:val="18"/>
              <w:keepNext w:val="0"/>
              <w:keepLines w:val="0"/>
              <w:pageBreakBefore w:val="0"/>
              <w:widowControl/>
              <w:kinsoku/>
              <w:wordWrap/>
              <w:overflowPunct/>
              <w:topLinePunct w:val="0"/>
              <w:autoSpaceDE w:val="0"/>
              <w:autoSpaceDN w:val="0"/>
              <w:bidi w:val="0"/>
              <w:adjustRightInd w:val="0"/>
              <w:snapToGrid/>
              <w:ind w:firstLine="0"/>
              <w:jc w:val="center"/>
              <w:textAlignment w:val="auto"/>
              <w:rPr>
                <w:rFonts w:hint="default"/>
                <w:sz w:val="18"/>
                <w:szCs w:val="18"/>
                <w:vertAlign w:val="baseline"/>
                <w:lang w:val="en-US" w:eastAsia="zh-CN"/>
              </w:rPr>
            </w:pPr>
            <w:r>
              <w:rPr>
                <w:rFonts w:hint="eastAsia"/>
                <w:sz w:val="18"/>
                <w:szCs w:val="18"/>
                <w:vertAlign w:val="baseline"/>
                <w:lang w:val="en-US" w:eastAsia="zh-CN"/>
              </w:rPr>
              <w:t>符合要求</w:t>
            </w:r>
          </w:p>
        </w:tc>
      </w:tr>
    </w:tbl>
    <w:p w14:paraId="1A067984">
      <w:pPr>
        <w:pStyle w:val="18"/>
        <w:spacing w:before="0" w:beforeAutospacing="0" w:after="0" w:afterAutospacing="0" w:line="240" w:lineRule="auto"/>
        <w:ind w:left="0" w:leftChars="0" w:firstLine="0" w:firstLineChars="0"/>
        <w:rPr>
          <w:rFonts w:hint="eastAsia"/>
          <w:lang w:eastAsia="zh-CN"/>
        </w:rPr>
      </w:pPr>
    </w:p>
    <w:p w14:paraId="077DCA99">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6</w:t>
      </w:r>
      <w:r>
        <w:rPr>
          <w:rFonts w:hint="eastAsia" w:ascii="宋体" w:hAnsi="宋体" w:eastAsia="宋体" w:cs="宋体"/>
          <w:sz w:val="28"/>
          <w:szCs w:val="28"/>
          <w:lang w:eastAsia="zh-CN"/>
        </w:rPr>
        <w:t>）</w:t>
      </w:r>
      <w:r>
        <w:rPr>
          <w:rFonts w:hint="eastAsia" w:ascii="宋体" w:hAnsi="宋体" w:eastAsia="宋体" w:cs="宋体"/>
          <w:sz w:val="28"/>
          <w:szCs w:val="28"/>
        </w:rPr>
        <w:t>该加油站定期进行隐患排查和员工教育培训，并形成相关记录</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见附图</w:t>
      </w:r>
      <w:r>
        <w:rPr>
          <w:rFonts w:hint="eastAsia" w:ascii="宋体" w:hAnsi="宋体" w:eastAsia="宋体" w:cs="宋体"/>
          <w:sz w:val="28"/>
          <w:szCs w:val="28"/>
          <w:lang w:eastAsia="zh-CN"/>
        </w:rPr>
        <w:t>）</w:t>
      </w:r>
    </w:p>
    <w:p w14:paraId="67AF2B3D">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Times New Roman" w:hAnsi="Times New Roman"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7</w:t>
      </w:r>
      <w:r>
        <w:rPr>
          <w:rFonts w:hint="eastAsia" w:ascii="宋体" w:hAnsi="宋体" w:eastAsia="宋体" w:cs="宋体"/>
          <w:sz w:val="28"/>
          <w:szCs w:val="28"/>
          <w:lang w:eastAsia="zh-CN"/>
        </w:rPr>
        <w:t>）</w:t>
      </w:r>
      <w:r>
        <w:rPr>
          <w:rFonts w:hint="eastAsia" w:ascii="宋体" w:hAnsi="宋体" w:eastAsia="宋体" w:cs="宋体"/>
          <w:sz w:val="28"/>
          <w:szCs w:val="28"/>
        </w:rPr>
        <w:t>该加油站定期</w:t>
      </w:r>
      <w:r>
        <w:rPr>
          <w:rFonts w:hint="eastAsia" w:ascii="Times New Roman" w:hAnsi="Times New Roman" w:cs="宋体"/>
          <w:sz w:val="28"/>
          <w:szCs w:val="28"/>
        </w:rPr>
        <w:t>进行应急演练，最近一次演练时间在</w:t>
      </w:r>
      <w:r>
        <w:rPr>
          <w:rFonts w:hint="eastAsia" w:ascii="宋体" w:hAnsi="宋体" w:eastAsia="宋体" w:cs="宋体"/>
          <w:sz w:val="28"/>
          <w:szCs w:val="28"/>
        </w:rPr>
        <w:t>202</w:t>
      </w:r>
      <w:r>
        <w:rPr>
          <w:rFonts w:hint="eastAsia" w:ascii="宋体" w:hAnsi="宋体" w:eastAsia="宋体" w:cs="宋体"/>
          <w:sz w:val="28"/>
          <w:szCs w:val="28"/>
          <w:lang w:val="en-US" w:eastAsia="zh-CN"/>
        </w:rPr>
        <w:t>4</w:t>
      </w:r>
      <w:r>
        <w:rPr>
          <w:rFonts w:hint="eastAsia" w:ascii="宋体" w:hAnsi="宋体" w:eastAsia="宋体" w:cs="宋体"/>
          <w:sz w:val="28"/>
          <w:szCs w:val="28"/>
        </w:rPr>
        <w:t>年</w:t>
      </w:r>
      <w:r>
        <w:rPr>
          <w:rFonts w:hint="eastAsia" w:ascii="宋体" w:hAnsi="宋体" w:eastAsia="宋体" w:cs="宋体"/>
          <w:sz w:val="28"/>
          <w:szCs w:val="28"/>
          <w:lang w:val="en-US" w:eastAsia="zh-CN"/>
        </w:rPr>
        <w:t>2</w:t>
      </w:r>
      <w:r>
        <w:rPr>
          <w:rFonts w:hint="eastAsia" w:ascii="宋体" w:hAnsi="宋体" w:eastAsia="宋体" w:cs="宋体"/>
          <w:sz w:val="28"/>
          <w:szCs w:val="28"/>
        </w:rPr>
        <w:t>月19</w:t>
      </w:r>
      <w:r>
        <w:rPr>
          <w:rFonts w:hint="eastAsia" w:ascii="Times New Roman" w:hAnsi="Times New Roman" w:cs="宋体"/>
          <w:sz w:val="28"/>
          <w:szCs w:val="28"/>
        </w:rPr>
        <w:t>日，有相关的应急预案演练记录。</w:t>
      </w:r>
      <w:r>
        <w:rPr>
          <w:rFonts w:hint="eastAsia" w:ascii="Times New Roman" w:hAnsi="Times New Roman" w:cs="宋体"/>
          <w:sz w:val="28"/>
          <w:szCs w:val="28"/>
          <w:lang w:eastAsia="zh-CN"/>
        </w:rPr>
        <w:t>（</w:t>
      </w:r>
      <w:r>
        <w:rPr>
          <w:rFonts w:hint="eastAsia" w:ascii="Times New Roman" w:hAnsi="Times New Roman" w:cs="宋体"/>
          <w:sz w:val="28"/>
          <w:szCs w:val="28"/>
          <w:lang w:val="en-US" w:eastAsia="zh-CN"/>
        </w:rPr>
        <w:t>见附图</w:t>
      </w:r>
      <w:r>
        <w:rPr>
          <w:rFonts w:hint="eastAsia" w:ascii="Times New Roman" w:hAnsi="Times New Roman" w:cs="宋体"/>
          <w:sz w:val="28"/>
          <w:szCs w:val="28"/>
          <w:lang w:eastAsia="zh-CN"/>
        </w:rPr>
        <w:t>）</w:t>
      </w:r>
    </w:p>
    <w:p w14:paraId="39FDFD7E">
      <w:pPr>
        <w:pStyle w:val="18"/>
        <w:keepNext w:val="0"/>
        <w:keepLines w:val="0"/>
        <w:pageBreakBefore w:val="0"/>
        <w:widowControl/>
        <w:kinsoku/>
        <w:wordWrap/>
        <w:overflowPunct/>
        <w:topLinePunct w:val="0"/>
        <w:autoSpaceDE w:val="0"/>
        <w:autoSpaceDN w:val="0"/>
        <w:bidi w:val="0"/>
        <w:adjustRightInd w:val="0"/>
        <w:snapToGrid/>
        <w:spacing w:before="0" w:beforeAutospacing="0" w:line="240" w:lineRule="atLeast"/>
        <w:ind w:firstLine="527"/>
        <w:textAlignment w:val="auto"/>
        <w:rPr>
          <w:rFonts w:hint="default"/>
          <w:lang w:val="en-US"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8</w:t>
      </w:r>
      <w:r>
        <w:rPr>
          <w:rFonts w:hint="eastAsia" w:ascii="宋体" w:hAnsi="宋体" w:eastAsia="宋体" w:cs="宋体"/>
          <w:sz w:val="28"/>
          <w:szCs w:val="28"/>
          <w:lang w:eastAsia="zh-CN"/>
        </w:rPr>
        <w:t>）该加</w:t>
      </w:r>
      <w:r>
        <w:rPr>
          <w:rFonts w:hint="eastAsia" w:ascii="Times New Roman" w:hAnsi="Times New Roman" w:cs="宋体"/>
          <w:sz w:val="28"/>
          <w:szCs w:val="28"/>
          <w:lang w:eastAsia="zh-CN"/>
        </w:rPr>
        <w:t>油站</w:t>
      </w:r>
      <w:r>
        <w:rPr>
          <w:rFonts w:hint="eastAsia" w:ascii="Times New Roman" w:hAnsi="Times New Roman" w:cs="宋体"/>
          <w:sz w:val="28"/>
          <w:szCs w:val="28"/>
          <w:lang w:val="en-US" w:eastAsia="zh-CN"/>
        </w:rPr>
        <w:t>为工作人员缴纳基本医疗保险和工伤保险，并形成记录。（见附图）</w:t>
      </w:r>
    </w:p>
    <w:p w14:paraId="5213B0BA">
      <w:pPr>
        <w:pStyle w:val="5"/>
        <w:keepNext/>
        <w:keepLines/>
        <w:pageBreakBefore w:val="0"/>
        <w:widowControl w:val="0"/>
        <w:kinsoku/>
        <w:wordWrap/>
        <w:overflowPunct/>
        <w:topLinePunct w:val="0"/>
        <w:autoSpaceDE/>
        <w:autoSpaceDN/>
        <w:bidi w:val="0"/>
        <w:adjustRightInd/>
        <w:snapToGrid/>
        <w:textAlignment w:val="auto"/>
        <w:outlineLvl w:val="1"/>
        <w:rPr>
          <w:rFonts w:hint="eastAsia" w:ascii="楷体" w:hAnsi="楷体" w:eastAsia="楷体" w:cs="楷体"/>
          <w:sz w:val="32"/>
          <w:szCs w:val="32"/>
        </w:rPr>
      </w:pPr>
      <w:bookmarkStart w:id="114" w:name="_Toc22414"/>
      <w:bookmarkStart w:id="115" w:name="_Toc1918"/>
      <w:bookmarkStart w:id="116" w:name="_Toc27846"/>
      <w:bookmarkStart w:id="117" w:name="_Toc9442"/>
      <w:bookmarkStart w:id="118" w:name="_Toc30702"/>
      <w:r>
        <w:rPr>
          <w:rFonts w:hint="eastAsia" w:ascii="楷体" w:hAnsi="楷体" w:eastAsia="楷体" w:cs="楷体"/>
          <w:sz w:val="32"/>
          <w:szCs w:val="32"/>
        </w:rPr>
        <w:t>2.7加油站近三年变化情况</w:t>
      </w:r>
      <w:bookmarkEnd w:id="114"/>
      <w:bookmarkEnd w:id="115"/>
      <w:bookmarkEnd w:id="116"/>
      <w:bookmarkEnd w:id="117"/>
      <w:bookmarkEnd w:id="118"/>
    </w:p>
    <w:p w14:paraId="61B8FC5E">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中国石化销售有限公司江西余干石油分公司社庚加油站自20</w:t>
      </w:r>
      <w:r>
        <w:rPr>
          <w:rFonts w:hint="eastAsia" w:ascii="宋体" w:hAnsi="宋体" w:eastAsia="宋体" w:cs="宋体"/>
          <w:sz w:val="28"/>
          <w:szCs w:val="28"/>
          <w:lang w:val="en-US" w:eastAsia="zh-CN"/>
        </w:rPr>
        <w:t>21</w:t>
      </w:r>
      <w:r>
        <w:rPr>
          <w:rFonts w:hint="eastAsia" w:ascii="宋体" w:hAnsi="宋体" w:eastAsia="宋体" w:cs="宋体"/>
          <w:sz w:val="28"/>
          <w:szCs w:val="28"/>
        </w:rPr>
        <w:t>年7月份换证以来未发生人员死亡、受伤及中毒事故。该加油站自20</w:t>
      </w:r>
      <w:r>
        <w:rPr>
          <w:rFonts w:hint="eastAsia" w:ascii="宋体" w:hAnsi="宋体" w:eastAsia="宋体" w:cs="宋体"/>
          <w:sz w:val="28"/>
          <w:szCs w:val="28"/>
          <w:lang w:val="en-US" w:eastAsia="zh-CN"/>
        </w:rPr>
        <w:t>21</w:t>
      </w:r>
      <w:r>
        <w:rPr>
          <w:rFonts w:hint="eastAsia" w:ascii="宋体" w:hAnsi="宋体" w:eastAsia="宋体" w:cs="宋体"/>
          <w:sz w:val="28"/>
          <w:szCs w:val="28"/>
        </w:rPr>
        <w:t>年7月份换证以来油罐容量</w:t>
      </w:r>
      <w:r>
        <w:rPr>
          <w:rFonts w:hint="eastAsia" w:ascii="宋体" w:hAnsi="宋体" w:cs="宋体"/>
          <w:sz w:val="28"/>
          <w:szCs w:val="28"/>
          <w:lang w:eastAsia="zh-CN"/>
        </w:rPr>
        <w:t>、</w:t>
      </w:r>
      <w:r>
        <w:rPr>
          <w:rFonts w:hint="eastAsia" w:ascii="宋体" w:hAnsi="宋体" w:eastAsia="宋体" w:cs="宋体"/>
          <w:sz w:val="28"/>
          <w:szCs w:val="28"/>
        </w:rPr>
        <w:t>加油机</w:t>
      </w:r>
      <w:r>
        <w:rPr>
          <w:rFonts w:hint="eastAsia" w:ascii="宋体" w:hAnsi="宋体" w:cs="宋体"/>
          <w:sz w:val="28"/>
          <w:szCs w:val="28"/>
          <w:lang w:val="en-US" w:eastAsia="zh-CN"/>
        </w:rPr>
        <w:t>和周边环境</w:t>
      </w:r>
      <w:r>
        <w:rPr>
          <w:rFonts w:hint="eastAsia" w:ascii="宋体" w:hAnsi="宋体" w:eastAsia="宋体" w:cs="宋体"/>
          <w:sz w:val="28"/>
          <w:szCs w:val="28"/>
        </w:rPr>
        <w:t>均未发生改变。</w:t>
      </w:r>
    </w:p>
    <w:p w14:paraId="02750499">
      <w:pPr>
        <w:rPr>
          <w:rFonts w:hint="eastAsia" w:ascii="宋体" w:hAnsi="宋体" w:eastAsia="宋体" w:cs="宋体"/>
          <w:sz w:val="28"/>
          <w:szCs w:val="28"/>
        </w:rPr>
      </w:pPr>
      <w:r>
        <w:rPr>
          <w:rFonts w:hint="eastAsia" w:ascii="宋体" w:hAnsi="宋体" w:eastAsia="宋体" w:cs="宋体"/>
          <w:sz w:val="28"/>
          <w:szCs w:val="28"/>
        </w:rPr>
        <w:br w:type="page"/>
      </w:r>
    </w:p>
    <w:p w14:paraId="2EA9AC89">
      <w:pPr>
        <w:keepNext w:val="0"/>
        <w:keepLines w:val="0"/>
        <w:pageBreakBefore w:val="0"/>
        <w:widowControl w:val="0"/>
        <w:kinsoku/>
        <w:wordWrap/>
        <w:overflowPunct/>
        <w:topLinePunct w:val="0"/>
        <w:autoSpaceDE/>
        <w:autoSpaceDN/>
        <w:bidi w:val="0"/>
        <w:adjustRightInd/>
        <w:snapToGrid/>
        <w:spacing w:line="600" w:lineRule="exact"/>
        <w:textAlignment w:val="auto"/>
        <w:outlineLvl w:val="0"/>
        <w:rPr>
          <w:rStyle w:val="39"/>
          <w:rFonts w:hint="eastAsia" w:ascii="楷体" w:hAnsi="楷体" w:eastAsia="楷体" w:cs="楷体"/>
          <w:sz w:val="32"/>
          <w:szCs w:val="32"/>
        </w:rPr>
      </w:pPr>
      <w:bookmarkStart w:id="119" w:name="_Toc350517378"/>
      <w:bookmarkStart w:id="120" w:name="_Toc18947"/>
      <w:bookmarkStart w:id="121" w:name="_Toc19948"/>
      <w:bookmarkStart w:id="122" w:name="_Toc28699"/>
      <w:r>
        <w:rPr>
          <w:rStyle w:val="24"/>
          <w:rFonts w:hint="eastAsia" w:ascii="楷体" w:hAnsi="楷体" w:eastAsia="楷体" w:cs="楷体"/>
          <w:b/>
          <w:bCs/>
          <w:sz w:val="32"/>
          <w:szCs w:val="32"/>
        </w:rPr>
        <w:t>3主要危险、有害因素分析</w:t>
      </w:r>
      <w:bookmarkEnd w:id="119"/>
      <w:bookmarkEnd w:id="120"/>
      <w:bookmarkEnd w:id="121"/>
      <w:bookmarkEnd w:id="122"/>
    </w:p>
    <w:p w14:paraId="4F206339">
      <w:pPr>
        <w:pStyle w:val="5"/>
        <w:keepNext/>
        <w:keepLines/>
        <w:pageBreakBefore w:val="0"/>
        <w:widowControl w:val="0"/>
        <w:kinsoku/>
        <w:wordWrap/>
        <w:overflowPunct/>
        <w:topLinePunct w:val="0"/>
        <w:autoSpaceDE/>
        <w:autoSpaceDN/>
        <w:bidi w:val="0"/>
        <w:adjustRightInd/>
        <w:snapToGrid/>
        <w:textAlignment w:val="auto"/>
        <w:outlineLvl w:val="1"/>
        <w:rPr>
          <w:rFonts w:hint="eastAsia" w:ascii="楷体" w:hAnsi="楷体" w:eastAsia="楷体" w:cs="楷体"/>
          <w:sz w:val="32"/>
          <w:szCs w:val="32"/>
        </w:rPr>
      </w:pPr>
      <w:bookmarkStart w:id="123" w:name="_Toc20480"/>
      <w:bookmarkStart w:id="124" w:name="_Toc350517379"/>
      <w:bookmarkStart w:id="125" w:name="_Toc68"/>
      <w:bookmarkStart w:id="126" w:name="_Toc27161"/>
      <w:r>
        <w:rPr>
          <w:rFonts w:hint="eastAsia" w:ascii="楷体" w:hAnsi="楷体" w:eastAsia="楷体" w:cs="楷体"/>
          <w:sz w:val="32"/>
          <w:szCs w:val="32"/>
        </w:rPr>
        <w:t>3.1物料的危险、有害因素分析</w:t>
      </w:r>
      <w:bookmarkEnd w:id="123"/>
      <w:bookmarkEnd w:id="124"/>
      <w:bookmarkEnd w:id="125"/>
      <w:bookmarkEnd w:id="126"/>
    </w:p>
    <w:p w14:paraId="043AFEA7">
      <w:pPr>
        <w:spacing w:line="600" w:lineRule="exact"/>
        <w:ind w:firstLine="560" w:firstLineChars="200"/>
        <w:rPr>
          <w:rFonts w:hint="eastAsia"/>
        </w:rPr>
      </w:pPr>
      <w:r>
        <w:rPr>
          <w:rFonts w:hint="eastAsia" w:ascii="宋体" w:hAnsi="宋体" w:eastAsia="宋体" w:cs="宋体"/>
          <w:sz w:val="28"/>
          <w:szCs w:val="28"/>
        </w:rPr>
        <w:t>根据《危险化学品目录》（2022年版），</w:t>
      </w:r>
      <w:r>
        <w:rPr>
          <w:rFonts w:hint="eastAsia" w:ascii="宋体" w:hAnsi="宋体" w:cs="宋体"/>
          <w:sz w:val="28"/>
          <w:szCs w:val="28"/>
          <w:lang w:val="en-US" w:eastAsia="zh-CN"/>
        </w:rPr>
        <w:t>该加油站</w:t>
      </w:r>
      <w:r>
        <w:rPr>
          <w:rFonts w:hint="eastAsia" w:ascii="宋体" w:hAnsi="宋体" w:eastAsia="宋体" w:cs="宋体"/>
          <w:sz w:val="28"/>
          <w:szCs w:val="28"/>
        </w:rPr>
        <w:t>的危险化学品物质是汽油和柴油，汽油和柴油危险特性见下表所示。</w:t>
      </w:r>
    </w:p>
    <w:p w14:paraId="3EE3658D">
      <w:pPr>
        <w:keepNext w:val="0"/>
        <w:keepLines w:val="0"/>
        <w:pageBreakBefore w:val="0"/>
        <w:widowControl w:val="0"/>
        <w:tabs>
          <w:tab w:val="left" w:pos="3465"/>
        </w:tabs>
        <w:kinsoku/>
        <w:wordWrap/>
        <w:overflowPunct/>
        <w:topLinePunct w:val="0"/>
        <w:autoSpaceDE/>
        <w:autoSpaceDN/>
        <w:bidi w:val="0"/>
        <w:adjustRightInd/>
        <w:snapToGrid/>
        <w:spacing w:before="313" w:beforeLines="100"/>
        <w:jc w:val="center"/>
        <w:textAlignment w:val="auto"/>
        <w:rPr>
          <w:sz w:val="24"/>
          <w:szCs w:val="24"/>
        </w:rPr>
      </w:pPr>
      <w:r>
        <w:rPr>
          <w:rFonts w:hint="eastAsia" w:ascii="宋体" w:hAnsi="宋体" w:eastAsia="宋体" w:cs="宋体"/>
          <w:b/>
          <w:bCs/>
          <w:sz w:val="24"/>
          <w:szCs w:val="24"/>
        </w:rPr>
        <w:t>表3-1汽油</w:t>
      </w:r>
    </w:p>
    <w:tbl>
      <w:tblPr>
        <w:tblStyle w:val="19"/>
        <w:tblW w:w="9052"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1948"/>
        <w:gridCol w:w="1428"/>
        <w:gridCol w:w="1428"/>
        <w:gridCol w:w="1573"/>
        <w:gridCol w:w="1608"/>
      </w:tblGrid>
      <w:tr w14:paraId="496E3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067" w:type="dxa"/>
            <w:vAlign w:val="center"/>
          </w:tcPr>
          <w:p w14:paraId="16153F92">
            <w:pPr>
              <w:spacing w:line="260" w:lineRule="exact"/>
              <w:jc w:val="center"/>
              <w:rPr>
                <w:rFonts w:hint="eastAsia" w:ascii="宋体" w:hAnsi="宋体" w:eastAsia="宋体" w:cs="宋体"/>
                <w:b/>
                <w:bCs/>
              </w:rPr>
            </w:pPr>
            <w:r>
              <w:rPr>
                <w:rFonts w:hint="eastAsia" w:ascii="宋体" w:hAnsi="宋体" w:eastAsia="宋体" w:cs="宋体"/>
                <w:b/>
                <w:bCs/>
              </w:rPr>
              <w:t>品名</w:t>
            </w:r>
          </w:p>
        </w:tc>
        <w:tc>
          <w:tcPr>
            <w:tcW w:w="1948" w:type="dxa"/>
            <w:vAlign w:val="center"/>
          </w:tcPr>
          <w:p w14:paraId="24460251">
            <w:pPr>
              <w:spacing w:line="260" w:lineRule="exact"/>
              <w:jc w:val="center"/>
              <w:rPr>
                <w:rFonts w:hint="eastAsia" w:ascii="宋体" w:hAnsi="宋体" w:eastAsia="宋体" w:cs="宋体"/>
              </w:rPr>
            </w:pPr>
            <w:r>
              <w:rPr>
                <w:rFonts w:hint="eastAsia" w:ascii="宋体" w:hAnsi="宋体" w:eastAsia="宋体" w:cs="宋体"/>
                <w:b w:val="0"/>
                <w:bCs w:val="0"/>
              </w:rPr>
              <w:t>汽油</w:t>
            </w:r>
          </w:p>
        </w:tc>
        <w:tc>
          <w:tcPr>
            <w:tcW w:w="1428" w:type="dxa"/>
            <w:vAlign w:val="center"/>
          </w:tcPr>
          <w:p w14:paraId="6A18891B">
            <w:pPr>
              <w:spacing w:line="260" w:lineRule="exact"/>
              <w:jc w:val="center"/>
              <w:rPr>
                <w:rFonts w:hint="eastAsia" w:ascii="宋体" w:hAnsi="宋体" w:eastAsia="宋体" w:cs="宋体"/>
                <w:b/>
                <w:bCs/>
              </w:rPr>
            </w:pPr>
            <w:r>
              <w:rPr>
                <w:rFonts w:hint="eastAsia" w:ascii="宋体" w:hAnsi="宋体" w:eastAsia="宋体" w:cs="宋体"/>
                <w:b/>
                <w:bCs/>
              </w:rPr>
              <w:t>别名</w:t>
            </w:r>
          </w:p>
        </w:tc>
        <w:tc>
          <w:tcPr>
            <w:tcW w:w="1428" w:type="dxa"/>
            <w:vAlign w:val="center"/>
          </w:tcPr>
          <w:p w14:paraId="2E24A6BD">
            <w:pPr>
              <w:spacing w:line="260" w:lineRule="exact"/>
              <w:jc w:val="center"/>
              <w:rPr>
                <w:rFonts w:hint="eastAsia" w:ascii="宋体" w:hAnsi="宋体" w:eastAsia="宋体" w:cs="宋体"/>
                <w:lang w:val="en-US" w:eastAsia="zh-CN"/>
              </w:rPr>
            </w:pPr>
            <w:r>
              <w:rPr>
                <w:rFonts w:hint="eastAsia" w:ascii="宋体" w:hAnsi="宋体" w:eastAsia="宋体" w:cs="宋体"/>
                <w:lang w:val="en-US" w:eastAsia="zh-CN"/>
              </w:rPr>
              <w:t>/</w:t>
            </w:r>
          </w:p>
        </w:tc>
        <w:tc>
          <w:tcPr>
            <w:tcW w:w="1573" w:type="dxa"/>
            <w:vAlign w:val="center"/>
          </w:tcPr>
          <w:p w14:paraId="58DD3685">
            <w:pPr>
              <w:spacing w:line="240" w:lineRule="exact"/>
              <w:jc w:val="center"/>
              <w:rPr>
                <w:rFonts w:hint="eastAsia" w:ascii="宋体" w:hAnsi="宋体" w:eastAsia="宋体" w:cs="宋体"/>
                <w:b/>
                <w:bCs/>
              </w:rPr>
            </w:pPr>
            <w:r>
              <w:rPr>
                <w:rFonts w:hint="eastAsia" w:ascii="宋体" w:hAnsi="宋体" w:eastAsia="宋体" w:cs="宋体"/>
                <w:b/>
                <w:bCs/>
              </w:rPr>
              <w:t>CAS号</w:t>
            </w:r>
          </w:p>
        </w:tc>
        <w:tc>
          <w:tcPr>
            <w:tcW w:w="1608" w:type="dxa"/>
            <w:vAlign w:val="center"/>
          </w:tcPr>
          <w:p w14:paraId="531F6AFC">
            <w:pPr>
              <w:spacing w:line="240" w:lineRule="exact"/>
              <w:ind w:firstLine="210" w:firstLineChars="100"/>
              <w:rPr>
                <w:rFonts w:hint="eastAsia" w:ascii="宋体" w:hAnsi="宋体" w:eastAsia="宋体" w:cs="宋体"/>
              </w:rPr>
            </w:pPr>
            <w:r>
              <w:rPr>
                <w:rFonts w:hint="eastAsia" w:ascii="宋体" w:hAnsi="宋体" w:eastAsia="宋体" w:cs="宋体"/>
                <w:b w:val="0"/>
                <w:bCs w:val="0"/>
              </w:rPr>
              <w:t>8006-61-9</w:t>
            </w:r>
          </w:p>
        </w:tc>
      </w:tr>
      <w:tr w14:paraId="1D44E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067" w:type="dxa"/>
            <w:vAlign w:val="center"/>
          </w:tcPr>
          <w:p w14:paraId="48DAA0B8">
            <w:pPr>
              <w:spacing w:line="260" w:lineRule="exact"/>
              <w:jc w:val="center"/>
              <w:rPr>
                <w:rFonts w:hint="eastAsia" w:ascii="宋体" w:hAnsi="宋体" w:eastAsia="宋体" w:cs="宋体"/>
                <w:b/>
                <w:bCs/>
              </w:rPr>
            </w:pPr>
            <w:r>
              <w:rPr>
                <w:rFonts w:hint="eastAsia" w:ascii="宋体" w:hAnsi="宋体" w:eastAsia="宋体" w:cs="宋体"/>
                <w:b/>
                <w:bCs/>
              </w:rPr>
              <w:t>英文名称</w:t>
            </w:r>
          </w:p>
        </w:tc>
        <w:tc>
          <w:tcPr>
            <w:tcW w:w="1948" w:type="dxa"/>
            <w:vAlign w:val="center"/>
          </w:tcPr>
          <w:p w14:paraId="1C5F53C9">
            <w:pPr>
              <w:spacing w:line="260" w:lineRule="exact"/>
              <w:jc w:val="left"/>
              <w:rPr>
                <w:rFonts w:hint="eastAsia" w:ascii="宋体" w:hAnsi="宋体" w:eastAsia="宋体" w:cs="宋体"/>
              </w:rPr>
            </w:pPr>
            <w:r>
              <w:rPr>
                <w:rFonts w:hint="eastAsia" w:ascii="宋体" w:hAnsi="宋体" w:eastAsia="宋体" w:cs="宋体"/>
                <w:b w:val="0"/>
                <w:bCs w:val="0"/>
              </w:rPr>
              <w:t>Gasoline；Petrol</w:t>
            </w:r>
          </w:p>
        </w:tc>
        <w:tc>
          <w:tcPr>
            <w:tcW w:w="1428" w:type="dxa"/>
            <w:vAlign w:val="center"/>
          </w:tcPr>
          <w:p w14:paraId="48F292CA">
            <w:pPr>
              <w:spacing w:line="260" w:lineRule="exact"/>
              <w:jc w:val="center"/>
              <w:rPr>
                <w:rFonts w:hint="eastAsia" w:ascii="宋体" w:hAnsi="宋体" w:eastAsia="宋体" w:cs="宋体"/>
                <w:b/>
                <w:bCs/>
              </w:rPr>
            </w:pPr>
            <w:r>
              <w:rPr>
                <w:rFonts w:hint="eastAsia" w:ascii="宋体" w:hAnsi="宋体" w:eastAsia="宋体" w:cs="宋体"/>
                <w:b/>
                <w:bCs/>
              </w:rPr>
              <w:t>分子式</w:t>
            </w:r>
          </w:p>
        </w:tc>
        <w:tc>
          <w:tcPr>
            <w:tcW w:w="1428" w:type="dxa"/>
            <w:vAlign w:val="center"/>
          </w:tcPr>
          <w:p w14:paraId="2DAC1317">
            <w:pPr>
              <w:spacing w:line="260" w:lineRule="exact"/>
              <w:jc w:val="center"/>
              <w:rPr>
                <w:rFonts w:hint="eastAsia" w:ascii="宋体" w:hAnsi="宋体" w:eastAsia="宋体" w:cs="宋体"/>
              </w:rPr>
            </w:pPr>
            <w:r>
              <w:rPr>
                <w:rFonts w:hint="eastAsia" w:ascii="宋体" w:hAnsi="宋体" w:eastAsia="宋体" w:cs="宋体"/>
                <w:b w:val="0"/>
                <w:bCs w:val="0"/>
              </w:rPr>
              <w:t>C4-C12（烃）</w:t>
            </w:r>
          </w:p>
        </w:tc>
        <w:tc>
          <w:tcPr>
            <w:tcW w:w="1573" w:type="dxa"/>
            <w:vAlign w:val="center"/>
          </w:tcPr>
          <w:p w14:paraId="425EB0BB">
            <w:pPr>
              <w:spacing w:line="260" w:lineRule="exact"/>
              <w:jc w:val="center"/>
              <w:rPr>
                <w:rFonts w:hint="eastAsia" w:ascii="宋体" w:hAnsi="宋体" w:eastAsia="宋体" w:cs="宋体"/>
                <w:b/>
                <w:bCs/>
              </w:rPr>
            </w:pPr>
            <w:r>
              <w:rPr>
                <w:rFonts w:hint="eastAsia" w:ascii="宋体" w:hAnsi="宋体" w:eastAsia="宋体" w:cs="宋体"/>
                <w:b/>
                <w:bCs/>
              </w:rPr>
              <w:t>分子量</w:t>
            </w:r>
          </w:p>
        </w:tc>
        <w:tc>
          <w:tcPr>
            <w:tcW w:w="1608" w:type="dxa"/>
            <w:vAlign w:val="center"/>
          </w:tcPr>
          <w:p w14:paraId="64EC89AB">
            <w:pPr>
              <w:spacing w:line="260" w:lineRule="exact"/>
              <w:ind w:left="-195" w:hanging="2"/>
              <w:jc w:val="center"/>
              <w:rPr>
                <w:rFonts w:hint="eastAsia" w:ascii="宋体" w:hAnsi="宋体" w:eastAsia="宋体" w:cs="宋体"/>
                <w:lang w:val="en-US" w:eastAsia="zh-CN"/>
              </w:rPr>
            </w:pPr>
            <w:r>
              <w:rPr>
                <w:rFonts w:hint="eastAsia" w:ascii="宋体" w:hAnsi="宋体" w:eastAsia="宋体" w:cs="宋体"/>
                <w:lang w:val="en-US" w:eastAsia="zh-CN"/>
              </w:rPr>
              <w:t>/</w:t>
            </w:r>
          </w:p>
        </w:tc>
      </w:tr>
      <w:tr w14:paraId="20C16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atLeast"/>
        </w:trPr>
        <w:tc>
          <w:tcPr>
            <w:tcW w:w="1067" w:type="dxa"/>
            <w:vAlign w:val="center"/>
          </w:tcPr>
          <w:p w14:paraId="375080E3">
            <w:pPr>
              <w:spacing w:line="260" w:lineRule="exact"/>
              <w:jc w:val="center"/>
              <w:rPr>
                <w:rFonts w:hint="eastAsia" w:ascii="宋体" w:hAnsi="宋体" w:eastAsia="宋体" w:cs="宋体"/>
                <w:b w:val="0"/>
                <w:bCs w:val="0"/>
              </w:rPr>
            </w:pPr>
            <w:r>
              <w:rPr>
                <w:rFonts w:hint="eastAsia" w:ascii="宋体" w:hAnsi="宋体" w:eastAsia="宋体" w:cs="宋体"/>
                <w:b w:val="0"/>
                <w:bCs w:val="0"/>
              </w:rPr>
              <w:t>危险性</w:t>
            </w:r>
          </w:p>
          <w:p w14:paraId="5DB7C15A">
            <w:pPr>
              <w:spacing w:line="260" w:lineRule="exact"/>
              <w:jc w:val="center"/>
              <w:rPr>
                <w:rFonts w:hint="eastAsia" w:ascii="宋体" w:hAnsi="宋体" w:eastAsia="宋体" w:cs="宋体"/>
                <w:b w:val="0"/>
                <w:bCs w:val="0"/>
              </w:rPr>
            </w:pPr>
            <w:r>
              <w:rPr>
                <w:rFonts w:hint="eastAsia" w:ascii="宋体" w:hAnsi="宋体" w:eastAsia="宋体" w:cs="宋体"/>
                <w:b w:val="0"/>
                <w:bCs w:val="0"/>
              </w:rPr>
              <w:t>类别</w:t>
            </w:r>
          </w:p>
        </w:tc>
        <w:tc>
          <w:tcPr>
            <w:tcW w:w="7985" w:type="dxa"/>
            <w:gridSpan w:val="5"/>
            <w:vAlign w:val="center"/>
          </w:tcPr>
          <w:p w14:paraId="6E7D6653">
            <w:pPr>
              <w:spacing w:line="240" w:lineRule="exact"/>
              <w:rPr>
                <w:rFonts w:hint="eastAsia" w:ascii="宋体" w:hAnsi="宋体" w:eastAsia="宋体" w:cs="宋体"/>
              </w:rPr>
            </w:pPr>
            <w:r>
              <w:rPr>
                <w:rFonts w:hint="eastAsia" w:ascii="宋体" w:hAnsi="宋体" w:eastAsia="宋体" w:cs="宋体"/>
              </w:rPr>
              <w:t>危险货物编号：31001</w:t>
            </w:r>
            <w:r>
              <w:rPr>
                <w:rFonts w:hint="eastAsia" w:ascii="宋体" w:hAnsi="宋体" w:eastAsia="宋体" w:cs="宋体"/>
                <w:lang w:val="en-US" w:eastAsia="zh-CN"/>
              </w:rPr>
              <w:t xml:space="preserve">     </w:t>
            </w:r>
            <w:r>
              <w:rPr>
                <w:rFonts w:hint="eastAsia" w:ascii="宋体" w:hAnsi="宋体" w:eastAsia="宋体" w:cs="宋体"/>
              </w:rPr>
              <w:t>建筑火险分级：甲</w:t>
            </w:r>
          </w:p>
          <w:p w14:paraId="5720233E">
            <w:pPr>
              <w:widowControl/>
              <w:spacing w:line="240" w:lineRule="exact"/>
              <w:rPr>
                <w:rFonts w:hint="eastAsia" w:ascii="宋体" w:hAnsi="宋体" w:eastAsia="宋体" w:cs="宋体"/>
              </w:rPr>
            </w:pPr>
            <w:r>
              <w:rPr>
                <w:rFonts w:hint="eastAsia" w:ascii="宋体" w:hAnsi="宋体" w:eastAsia="宋体" w:cs="宋体"/>
              </w:rPr>
              <w:t>易燃液体,类别2                生殖细胞致突变性,类别1B</w:t>
            </w:r>
          </w:p>
          <w:p w14:paraId="332E4CEE">
            <w:pPr>
              <w:widowControl/>
              <w:spacing w:line="240" w:lineRule="exact"/>
              <w:rPr>
                <w:rFonts w:hint="eastAsia" w:ascii="宋体" w:hAnsi="宋体" w:eastAsia="宋体" w:cs="宋体"/>
              </w:rPr>
            </w:pPr>
            <w:r>
              <w:rPr>
                <w:rFonts w:hint="eastAsia" w:ascii="宋体" w:hAnsi="宋体" w:eastAsia="宋体" w:cs="宋体"/>
              </w:rPr>
              <w:t>致癌性,类别2                   吸入危害,类别1</w:t>
            </w:r>
          </w:p>
          <w:p w14:paraId="570B51E0">
            <w:pPr>
              <w:pStyle w:val="37"/>
              <w:spacing w:line="240" w:lineRule="exact"/>
              <w:rPr>
                <w:rFonts w:hint="eastAsia" w:ascii="宋体" w:hAnsi="宋体" w:eastAsia="宋体" w:cs="宋体"/>
              </w:rPr>
            </w:pPr>
            <w:r>
              <w:rPr>
                <w:rFonts w:hint="eastAsia" w:ascii="宋体" w:hAnsi="宋体" w:eastAsia="宋体" w:cs="宋体"/>
              </w:rPr>
              <w:t>危害水生环境-急性危害,类别2       危害水生环境-长期危害,类别2</w:t>
            </w:r>
          </w:p>
        </w:tc>
      </w:tr>
      <w:tr w14:paraId="44F09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27" w:hRule="atLeast"/>
        </w:trPr>
        <w:tc>
          <w:tcPr>
            <w:tcW w:w="1067" w:type="dxa"/>
            <w:vAlign w:val="center"/>
          </w:tcPr>
          <w:p w14:paraId="4EE2300F">
            <w:pPr>
              <w:spacing w:line="260" w:lineRule="exact"/>
              <w:jc w:val="center"/>
              <w:rPr>
                <w:rFonts w:hint="eastAsia" w:ascii="宋体" w:hAnsi="宋体" w:eastAsia="宋体" w:cs="宋体"/>
                <w:b w:val="0"/>
                <w:bCs w:val="0"/>
              </w:rPr>
            </w:pPr>
            <w:r>
              <w:rPr>
                <w:rFonts w:hint="eastAsia" w:ascii="宋体" w:hAnsi="宋体" w:eastAsia="宋体" w:cs="宋体"/>
                <w:b w:val="0"/>
                <w:bCs w:val="0"/>
              </w:rPr>
              <w:t>理</w:t>
            </w:r>
          </w:p>
          <w:p w14:paraId="78B1F97A">
            <w:pPr>
              <w:spacing w:line="260" w:lineRule="exact"/>
              <w:jc w:val="center"/>
              <w:rPr>
                <w:rFonts w:hint="eastAsia" w:ascii="宋体" w:hAnsi="宋体" w:eastAsia="宋体" w:cs="宋体"/>
                <w:b w:val="0"/>
                <w:bCs w:val="0"/>
              </w:rPr>
            </w:pPr>
            <w:r>
              <w:rPr>
                <w:rFonts w:hint="eastAsia" w:ascii="宋体" w:hAnsi="宋体" w:eastAsia="宋体" w:cs="宋体"/>
                <w:b w:val="0"/>
                <w:bCs w:val="0"/>
              </w:rPr>
              <w:t>化</w:t>
            </w:r>
          </w:p>
          <w:p w14:paraId="19013CB9">
            <w:pPr>
              <w:spacing w:line="260" w:lineRule="exact"/>
              <w:jc w:val="center"/>
              <w:rPr>
                <w:rFonts w:hint="eastAsia" w:ascii="宋体" w:hAnsi="宋体" w:eastAsia="宋体" w:cs="宋体"/>
                <w:b w:val="0"/>
                <w:bCs w:val="0"/>
              </w:rPr>
            </w:pPr>
            <w:r>
              <w:rPr>
                <w:rFonts w:hint="eastAsia" w:ascii="宋体" w:hAnsi="宋体" w:eastAsia="宋体" w:cs="宋体"/>
                <w:b w:val="0"/>
                <w:bCs w:val="0"/>
              </w:rPr>
              <w:t>性</w:t>
            </w:r>
          </w:p>
          <w:p w14:paraId="0E000619">
            <w:pPr>
              <w:spacing w:line="260" w:lineRule="exact"/>
              <w:jc w:val="center"/>
              <w:rPr>
                <w:rFonts w:hint="eastAsia" w:ascii="宋体" w:hAnsi="宋体" w:eastAsia="宋体" w:cs="宋体"/>
                <w:b w:val="0"/>
                <w:bCs w:val="0"/>
              </w:rPr>
            </w:pPr>
            <w:r>
              <w:rPr>
                <w:rFonts w:hint="eastAsia" w:ascii="宋体" w:hAnsi="宋体" w:eastAsia="宋体" w:cs="宋体"/>
                <w:b w:val="0"/>
                <w:bCs w:val="0"/>
              </w:rPr>
              <w:t>质</w:t>
            </w:r>
          </w:p>
        </w:tc>
        <w:tc>
          <w:tcPr>
            <w:tcW w:w="7985" w:type="dxa"/>
            <w:gridSpan w:val="5"/>
            <w:vAlign w:val="center"/>
          </w:tcPr>
          <w:p w14:paraId="7EC8A758">
            <w:pPr>
              <w:spacing w:line="260" w:lineRule="exact"/>
              <w:jc w:val="left"/>
              <w:rPr>
                <w:rFonts w:hint="eastAsia" w:ascii="宋体" w:hAnsi="宋体" w:eastAsia="宋体" w:cs="宋体"/>
              </w:rPr>
            </w:pPr>
            <w:r>
              <w:rPr>
                <w:rFonts w:hint="eastAsia" w:ascii="宋体" w:hAnsi="宋体" w:eastAsia="宋体" w:cs="宋体"/>
              </w:rPr>
              <w:t>外观与性状：无色或淡黄色易挥发液体，具有特殊臭味。</w:t>
            </w:r>
          </w:p>
          <w:p w14:paraId="1087CA4D">
            <w:pPr>
              <w:spacing w:line="260" w:lineRule="exact"/>
              <w:jc w:val="left"/>
              <w:rPr>
                <w:rFonts w:hint="eastAsia" w:ascii="宋体" w:hAnsi="宋体" w:eastAsia="宋体" w:cs="宋体"/>
                <w:lang w:eastAsia="zh-CN"/>
              </w:rPr>
            </w:pPr>
            <w:r>
              <w:rPr>
                <w:rFonts w:hint="eastAsia" w:ascii="宋体" w:hAnsi="宋体" w:eastAsia="宋体" w:cs="宋体"/>
              </w:rPr>
              <w:t>熔点（℃）：&lt;-60               沸点（℃）：40～200</w:t>
            </w:r>
          </w:p>
          <w:p w14:paraId="64648836">
            <w:pPr>
              <w:spacing w:line="260" w:lineRule="exact"/>
              <w:jc w:val="left"/>
              <w:rPr>
                <w:rFonts w:hint="eastAsia" w:ascii="宋体" w:hAnsi="宋体" w:eastAsia="宋体" w:cs="宋体"/>
                <w:lang w:eastAsia="zh-CN"/>
              </w:rPr>
            </w:pPr>
            <w:r>
              <w:rPr>
                <w:rFonts w:hint="eastAsia" w:ascii="宋体" w:hAnsi="宋体" w:eastAsia="宋体" w:cs="宋体"/>
              </w:rPr>
              <w:t>相对密度（水＝1）：0.70-0.79     相对密度（空气＝1）：3.5</w:t>
            </w:r>
          </w:p>
          <w:p w14:paraId="0A08D477">
            <w:pPr>
              <w:spacing w:line="260" w:lineRule="exact"/>
              <w:jc w:val="left"/>
              <w:rPr>
                <w:rFonts w:hint="eastAsia" w:ascii="宋体" w:hAnsi="宋体" w:eastAsia="宋体" w:cs="宋体"/>
                <w:lang w:eastAsia="zh-CN"/>
              </w:rPr>
            </w:pPr>
            <w:r>
              <w:rPr>
                <w:rFonts w:hint="eastAsia" w:ascii="宋体" w:hAnsi="宋体" w:eastAsia="宋体" w:cs="宋体"/>
              </w:rPr>
              <w:t xml:space="preserve">饱和蒸气压（kPa）：无资料         燃烧热（Kj/mol）：无资料 </w:t>
            </w:r>
          </w:p>
          <w:p w14:paraId="06034A03">
            <w:pPr>
              <w:spacing w:line="260" w:lineRule="exact"/>
              <w:jc w:val="left"/>
              <w:rPr>
                <w:rFonts w:hint="eastAsia" w:ascii="宋体" w:hAnsi="宋体" w:eastAsia="宋体" w:cs="宋体"/>
              </w:rPr>
            </w:pPr>
            <w:r>
              <w:rPr>
                <w:rFonts w:hint="eastAsia" w:ascii="宋体" w:hAnsi="宋体" w:eastAsia="宋体" w:cs="宋体"/>
              </w:rPr>
              <w:t>溶解性：不溶于水，易溶于苯、二硫化碳、醇、脂肪。</w:t>
            </w:r>
          </w:p>
        </w:tc>
      </w:tr>
      <w:tr w14:paraId="1774B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2" w:hRule="atLeast"/>
        </w:trPr>
        <w:tc>
          <w:tcPr>
            <w:tcW w:w="1067" w:type="dxa"/>
            <w:vAlign w:val="center"/>
          </w:tcPr>
          <w:p w14:paraId="74AEF9A8">
            <w:pPr>
              <w:spacing w:line="260" w:lineRule="exact"/>
              <w:jc w:val="center"/>
              <w:rPr>
                <w:rFonts w:hint="eastAsia" w:ascii="宋体" w:hAnsi="宋体" w:eastAsia="宋体" w:cs="宋体"/>
                <w:b w:val="0"/>
                <w:bCs w:val="0"/>
              </w:rPr>
            </w:pPr>
            <w:r>
              <w:rPr>
                <w:rFonts w:hint="eastAsia" w:ascii="宋体" w:hAnsi="宋体" w:eastAsia="宋体" w:cs="宋体"/>
                <w:b w:val="0"/>
                <w:bCs w:val="0"/>
              </w:rPr>
              <w:t>燃</w:t>
            </w:r>
          </w:p>
          <w:p w14:paraId="6106EEE7">
            <w:pPr>
              <w:spacing w:line="260" w:lineRule="exact"/>
              <w:jc w:val="center"/>
              <w:rPr>
                <w:rFonts w:hint="eastAsia" w:ascii="宋体" w:hAnsi="宋体" w:eastAsia="宋体" w:cs="宋体"/>
                <w:b w:val="0"/>
                <w:bCs w:val="0"/>
              </w:rPr>
            </w:pPr>
            <w:r>
              <w:rPr>
                <w:rFonts w:hint="eastAsia" w:ascii="宋体" w:hAnsi="宋体" w:eastAsia="宋体" w:cs="宋体"/>
                <w:b w:val="0"/>
                <w:bCs w:val="0"/>
              </w:rPr>
              <w:t>烧</w:t>
            </w:r>
          </w:p>
          <w:p w14:paraId="6E63A10F">
            <w:pPr>
              <w:spacing w:line="260" w:lineRule="exact"/>
              <w:jc w:val="center"/>
              <w:rPr>
                <w:rFonts w:hint="eastAsia" w:ascii="宋体" w:hAnsi="宋体" w:eastAsia="宋体" w:cs="宋体"/>
                <w:b w:val="0"/>
                <w:bCs w:val="0"/>
              </w:rPr>
            </w:pPr>
            <w:r>
              <w:rPr>
                <w:rFonts w:hint="eastAsia" w:ascii="宋体" w:hAnsi="宋体" w:eastAsia="宋体" w:cs="宋体"/>
                <w:b w:val="0"/>
                <w:bCs w:val="0"/>
              </w:rPr>
              <w:t>爆</w:t>
            </w:r>
          </w:p>
          <w:p w14:paraId="33B783B7">
            <w:pPr>
              <w:spacing w:line="260" w:lineRule="exact"/>
              <w:jc w:val="center"/>
              <w:rPr>
                <w:rFonts w:hint="eastAsia" w:ascii="宋体" w:hAnsi="宋体" w:eastAsia="宋体" w:cs="宋体"/>
                <w:b w:val="0"/>
                <w:bCs w:val="0"/>
              </w:rPr>
            </w:pPr>
            <w:r>
              <w:rPr>
                <w:rFonts w:hint="eastAsia" w:ascii="宋体" w:hAnsi="宋体" w:eastAsia="宋体" w:cs="宋体"/>
                <w:b w:val="0"/>
                <w:bCs w:val="0"/>
              </w:rPr>
              <w:t>炸</w:t>
            </w:r>
          </w:p>
          <w:p w14:paraId="779DF35E">
            <w:pPr>
              <w:spacing w:line="260" w:lineRule="exact"/>
              <w:jc w:val="center"/>
              <w:rPr>
                <w:rFonts w:hint="eastAsia" w:ascii="宋体" w:hAnsi="宋体" w:eastAsia="宋体" w:cs="宋体"/>
                <w:b w:val="0"/>
                <w:bCs w:val="0"/>
              </w:rPr>
            </w:pPr>
            <w:r>
              <w:rPr>
                <w:rFonts w:hint="eastAsia" w:ascii="宋体" w:hAnsi="宋体" w:eastAsia="宋体" w:cs="宋体"/>
                <w:b w:val="0"/>
                <w:bCs w:val="0"/>
              </w:rPr>
              <w:t>危</w:t>
            </w:r>
          </w:p>
          <w:p w14:paraId="08B0EF05">
            <w:pPr>
              <w:spacing w:line="260" w:lineRule="exact"/>
              <w:jc w:val="center"/>
              <w:rPr>
                <w:rFonts w:hint="eastAsia" w:ascii="宋体" w:hAnsi="宋体" w:eastAsia="宋体" w:cs="宋体"/>
                <w:b w:val="0"/>
                <w:bCs w:val="0"/>
              </w:rPr>
            </w:pPr>
            <w:r>
              <w:rPr>
                <w:rFonts w:hint="eastAsia" w:ascii="宋体" w:hAnsi="宋体" w:eastAsia="宋体" w:cs="宋体"/>
                <w:b w:val="0"/>
                <w:bCs w:val="0"/>
              </w:rPr>
              <w:t>险</w:t>
            </w:r>
          </w:p>
          <w:p w14:paraId="35CFA39E">
            <w:pPr>
              <w:spacing w:line="260" w:lineRule="exact"/>
              <w:jc w:val="center"/>
              <w:rPr>
                <w:rFonts w:hint="eastAsia" w:ascii="宋体" w:hAnsi="宋体" w:eastAsia="宋体" w:cs="宋体"/>
                <w:b w:val="0"/>
                <w:bCs w:val="0"/>
              </w:rPr>
            </w:pPr>
            <w:r>
              <w:rPr>
                <w:rFonts w:hint="eastAsia" w:ascii="宋体" w:hAnsi="宋体" w:eastAsia="宋体" w:cs="宋体"/>
                <w:b w:val="0"/>
                <w:bCs w:val="0"/>
              </w:rPr>
              <w:t>性</w:t>
            </w:r>
          </w:p>
        </w:tc>
        <w:tc>
          <w:tcPr>
            <w:tcW w:w="7985" w:type="dxa"/>
            <w:gridSpan w:val="5"/>
          </w:tcPr>
          <w:p w14:paraId="60C495A7">
            <w:pPr>
              <w:spacing w:line="260" w:lineRule="exact"/>
              <w:rPr>
                <w:rFonts w:hint="eastAsia" w:ascii="宋体" w:hAnsi="宋体" w:eastAsia="宋体" w:cs="宋体"/>
              </w:rPr>
            </w:pPr>
            <w:r>
              <w:rPr>
                <w:rFonts w:hint="eastAsia" w:ascii="宋体" w:hAnsi="宋体" w:eastAsia="宋体" w:cs="宋体"/>
              </w:rPr>
              <w:t>燃烧性：易燃     建规火险等级：甲类</w:t>
            </w:r>
          </w:p>
          <w:p w14:paraId="7389E098">
            <w:pPr>
              <w:spacing w:line="260" w:lineRule="exact"/>
              <w:rPr>
                <w:rFonts w:hint="eastAsia" w:ascii="宋体" w:hAnsi="宋体" w:eastAsia="宋体" w:cs="宋体"/>
              </w:rPr>
            </w:pPr>
            <w:r>
              <w:rPr>
                <w:rFonts w:hint="eastAsia" w:ascii="宋体" w:hAnsi="宋体" w:eastAsia="宋体" w:cs="宋体"/>
              </w:rPr>
              <w:t>闪点：-50℃-10℃   爆炸下限（V%）：1.3-6.0   自燃温度：210℃</w:t>
            </w:r>
          </w:p>
          <w:p w14:paraId="383AC5D3">
            <w:pPr>
              <w:spacing w:line="260" w:lineRule="exact"/>
              <w:rPr>
                <w:rFonts w:hint="eastAsia" w:ascii="宋体" w:hAnsi="宋体" w:eastAsia="宋体" w:cs="宋体"/>
              </w:rPr>
            </w:pPr>
            <w:r>
              <w:rPr>
                <w:rFonts w:hint="eastAsia" w:ascii="宋体" w:hAnsi="宋体" w:eastAsia="宋体" w:cs="宋体"/>
              </w:rPr>
              <w:t>危险特性：其蒸汽与空气形成爆炸性气体，遇明火、高热易燃烧爆炸。与氧化剂能发生强烈反应。其蒸气比空气重，能在较低处扩散到相当远的地方，遇明火会引着回燃。</w:t>
            </w:r>
          </w:p>
          <w:p w14:paraId="0D25C887">
            <w:pPr>
              <w:spacing w:line="260" w:lineRule="exact"/>
              <w:rPr>
                <w:rFonts w:hint="eastAsia" w:ascii="宋体" w:hAnsi="宋体" w:eastAsia="宋体" w:cs="宋体"/>
              </w:rPr>
            </w:pPr>
            <w:r>
              <w:rPr>
                <w:rFonts w:hint="eastAsia" w:ascii="宋体" w:hAnsi="宋体" w:eastAsia="宋体" w:cs="宋体"/>
              </w:rPr>
              <w:t>燃烧分解产物：一氧化碳、二氧化碳。</w:t>
            </w:r>
          </w:p>
          <w:p w14:paraId="75D1D4C1">
            <w:pPr>
              <w:spacing w:line="260" w:lineRule="exact"/>
              <w:rPr>
                <w:rFonts w:hint="eastAsia" w:ascii="宋体" w:hAnsi="宋体" w:eastAsia="宋体" w:cs="宋体"/>
              </w:rPr>
            </w:pPr>
            <w:r>
              <w:rPr>
                <w:rFonts w:hint="eastAsia" w:ascii="宋体" w:hAnsi="宋体" w:eastAsia="宋体" w:cs="宋体"/>
              </w:rPr>
              <w:t>稳定性：稳定            聚合危害：无</w:t>
            </w:r>
          </w:p>
          <w:p w14:paraId="30D21AE0">
            <w:pPr>
              <w:spacing w:line="260" w:lineRule="exact"/>
              <w:rPr>
                <w:rFonts w:hint="eastAsia" w:ascii="宋体" w:hAnsi="宋体" w:eastAsia="宋体" w:cs="宋体"/>
              </w:rPr>
            </w:pPr>
            <w:r>
              <w:rPr>
                <w:rFonts w:hint="eastAsia" w:ascii="宋体" w:hAnsi="宋体" w:eastAsia="宋体" w:cs="宋体"/>
              </w:rPr>
              <w:t>禁忌物：强氧化剂。</w:t>
            </w:r>
          </w:p>
          <w:p w14:paraId="105F4FE0">
            <w:pPr>
              <w:spacing w:line="260" w:lineRule="exact"/>
              <w:rPr>
                <w:rFonts w:hint="eastAsia" w:ascii="宋体" w:hAnsi="宋体" w:eastAsia="宋体" w:cs="宋体"/>
              </w:rPr>
            </w:pPr>
            <w:r>
              <w:rPr>
                <w:rFonts w:hint="eastAsia" w:ascii="宋体" w:hAnsi="宋体" w:eastAsia="宋体" w:cs="宋体"/>
              </w:rPr>
              <w:t>灭火方法：泡沫、二氧化碳、干粉。用水灭火无效。</w:t>
            </w:r>
          </w:p>
        </w:tc>
      </w:tr>
      <w:tr w14:paraId="3D254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6" w:hRule="atLeast"/>
        </w:trPr>
        <w:tc>
          <w:tcPr>
            <w:tcW w:w="1067" w:type="dxa"/>
            <w:vAlign w:val="center"/>
          </w:tcPr>
          <w:p w14:paraId="67D73FBD">
            <w:pPr>
              <w:spacing w:line="260" w:lineRule="exact"/>
              <w:jc w:val="center"/>
              <w:rPr>
                <w:rFonts w:hint="eastAsia" w:ascii="宋体" w:hAnsi="宋体" w:eastAsia="宋体" w:cs="宋体"/>
                <w:b w:val="0"/>
                <w:bCs w:val="0"/>
              </w:rPr>
            </w:pPr>
            <w:r>
              <w:rPr>
                <w:rFonts w:hint="eastAsia" w:ascii="宋体" w:hAnsi="宋体" w:eastAsia="宋体" w:cs="宋体"/>
                <w:b w:val="0"/>
                <w:bCs w:val="0"/>
              </w:rPr>
              <w:t>包</w:t>
            </w:r>
          </w:p>
          <w:p w14:paraId="205EBBB0">
            <w:pPr>
              <w:spacing w:line="260" w:lineRule="exact"/>
              <w:jc w:val="center"/>
              <w:rPr>
                <w:rFonts w:hint="eastAsia" w:ascii="宋体" w:hAnsi="宋体" w:eastAsia="宋体" w:cs="宋体"/>
                <w:b w:val="0"/>
                <w:bCs w:val="0"/>
              </w:rPr>
            </w:pPr>
            <w:r>
              <w:rPr>
                <w:rFonts w:hint="eastAsia" w:ascii="宋体" w:hAnsi="宋体" w:eastAsia="宋体" w:cs="宋体"/>
                <w:b w:val="0"/>
                <w:bCs w:val="0"/>
              </w:rPr>
              <w:t>装</w:t>
            </w:r>
          </w:p>
          <w:p w14:paraId="2E7670A7">
            <w:pPr>
              <w:spacing w:line="260" w:lineRule="exact"/>
              <w:jc w:val="center"/>
              <w:rPr>
                <w:rFonts w:hint="eastAsia" w:ascii="宋体" w:hAnsi="宋体" w:eastAsia="宋体" w:cs="宋体"/>
                <w:b w:val="0"/>
                <w:bCs w:val="0"/>
              </w:rPr>
            </w:pPr>
            <w:r>
              <w:rPr>
                <w:rFonts w:hint="eastAsia" w:ascii="宋体" w:hAnsi="宋体" w:eastAsia="宋体" w:cs="宋体"/>
                <w:b w:val="0"/>
                <w:bCs w:val="0"/>
              </w:rPr>
              <w:t>与</w:t>
            </w:r>
          </w:p>
          <w:p w14:paraId="7B8CDFF6">
            <w:pPr>
              <w:spacing w:line="260" w:lineRule="exact"/>
              <w:jc w:val="center"/>
              <w:rPr>
                <w:rFonts w:hint="eastAsia" w:ascii="宋体" w:hAnsi="宋体" w:eastAsia="宋体" w:cs="宋体"/>
                <w:b w:val="0"/>
                <w:bCs w:val="0"/>
              </w:rPr>
            </w:pPr>
            <w:r>
              <w:rPr>
                <w:rFonts w:hint="eastAsia" w:ascii="宋体" w:hAnsi="宋体" w:eastAsia="宋体" w:cs="宋体"/>
                <w:b w:val="0"/>
                <w:bCs w:val="0"/>
              </w:rPr>
              <w:t>储</w:t>
            </w:r>
          </w:p>
          <w:p w14:paraId="7BE79C78">
            <w:pPr>
              <w:spacing w:line="260" w:lineRule="exact"/>
              <w:jc w:val="center"/>
              <w:rPr>
                <w:rFonts w:hint="eastAsia" w:ascii="宋体" w:hAnsi="宋体" w:eastAsia="宋体" w:cs="宋体"/>
                <w:b w:val="0"/>
                <w:bCs w:val="0"/>
              </w:rPr>
            </w:pPr>
            <w:r>
              <w:rPr>
                <w:rFonts w:hint="eastAsia" w:ascii="宋体" w:hAnsi="宋体" w:eastAsia="宋体" w:cs="宋体"/>
                <w:b w:val="0"/>
                <w:bCs w:val="0"/>
              </w:rPr>
              <w:t>运</w:t>
            </w:r>
          </w:p>
        </w:tc>
        <w:tc>
          <w:tcPr>
            <w:tcW w:w="7985" w:type="dxa"/>
            <w:gridSpan w:val="5"/>
            <w:vAlign w:val="center"/>
          </w:tcPr>
          <w:p w14:paraId="16966FB8">
            <w:pPr>
              <w:spacing w:line="260" w:lineRule="exact"/>
              <w:rPr>
                <w:rFonts w:hint="eastAsia" w:ascii="宋体" w:hAnsi="宋体" w:eastAsia="宋体" w:cs="宋体"/>
              </w:rPr>
            </w:pPr>
            <w:r>
              <w:rPr>
                <w:rFonts w:hint="eastAsia" w:ascii="宋体" w:hAnsi="宋体" w:eastAsia="宋体" w:cs="宋体"/>
              </w:rPr>
              <w:t>危险货物包装标志：7    包装类别：Ⅰ</w:t>
            </w:r>
          </w:p>
          <w:p w14:paraId="083ECC44">
            <w:pPr>
              <w:spacing w:line="260" w:lineRule="exact"/>
              <w:rPr>
                <w:rFonts w:hint="eastAsia" w:ascii="宋体" w:hAnsi="宋体" w:eastAsia="宋体" w:cs="宋体"/>
              </w:rPr>
            </w:pPr>
            <w:r>
              <w:rPr>
                <w:rFonts w:hint="eastAsia" w:ascii="宋体" w:hAnsi="宋体" w:eastAsia="宋体" w:cs="宋体"/>
              </w:rPr>
              <w:t>储存于阴凉、通风仓间内。远离火种、热源。仓内温度不宜超过30℃。防止阳光直射。保持容器密封。应与氧化剂分开存放。储存间内的照明、通风等设施应采用防爆型，开关设在仓外。桶装堆垛不可过大，应留墙距，顶距、柱距及必要的防火检查走道。罐储时要有防火防爆技术措施。禁止使用易产生火花的机械设备和工具。灌装时应注意流速（不超过3m/s），且有接地装置。防止静电积聚。搬运时要轻装轻卸，防止包装及容器损坏。</w:t>
            </w:r>
          </w:p>
        </w:tc>
      </w:tr>
      <w:tr w14:paraId="2F4A1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6" w:hRule="atLeast"/>
        </w:trPr>
        <w:tc>
          <w:tcPr>
            <w:tcW w:w="1067" w:type="dxa"/>
            <w:vAlign w:val="center"/>
          </w:tcPr>
          <w:p w14:paraId="6948E54C">
            <w:pPr>
              <w:spacing w:line="260" w:lineRule="exact"/>
              <w:jc w:val="center"/>
              <w:rPr>
                <w:rFonts w:hint="eastAsia" w:ascii="宋体" w:hAnsi="宋体" w:eastAsia="宋体" w:cs="宋体"/>
                <w:b w:val="0"/>
                <w:bCs w:val="0"/>
              </w:rPr>
            </w:pPr>
            <w:r>
              <w:rPr>
                <w:rFonts w:hint="eastAsia" w:ascii="宋体" w:hAnsi="宋体" w:eastAsia="宋体" w:cs="宋体"/>
                <w:b w:val="0"/>
                <w:bCs w:val="0"/>
              </w:rPr>
              <w:t>毒性</w:t>
            </w:r>
          </w:p>
          <w:p w14:paraId="3D79C487">
            <w:pPr>
              <w:spacing w:line="260" w:lineRule="exact"/>
              <w:jc w:val="center"/>
              <w:rPr>
                <w:rFonts w:hint="eastAsia" w:ascii="宋体" w:hAnsi="宋体" w:eastAsia="宋体" w:cs="宋体"/>
                <w:b w:val="0"/>
                <w:bCs w:val="0"/>
              </w:rPr>
            </w:pPr>
            <w:r>
              <w:rPr>
                <w:rFonts w:hint="eastAsia" w:ascii="宋体" w:hAnsi="宋体" w:eastAsia="宋体" w:cs="宋体"/>
                <w:b w:val="0"/>
                <w:bCs w:val="0"/>
              </w:rPr>
              <w:t>及</w:t>
            </w:r>
          </w:p>
          <w:p w14:paraId="30884465">
            <w:pPr>
              <w:spacing w:line="260" w:lineRule="exact"/>
              <w:jc w:val="center"/>
              <w:rPr>
                <w:rFonts w:hint="eastAsia" w:ascii="宋体" w:hAnsi="宋体" w:eastAsia="宋体" w:cs="宋体"/>
                <w:b w:val="0"/>
                <w:bCs w:val="0"/>
              </w:rPr>
            </w:pPr>
            <w:r>
              <w:rPr>
                <w:rFonts w:hint="eastAsia" w:ascii="宋体" w:hAnsi="宋体" w:eastAsia="宋体" w:cs="宋体"/>
                <w:b w:val="0"/>
                <w:bCs w:val="0"/>
              </w:rPr>
              <w:t>健康</w:t>
            </w:r>
          </w:p>
          <w:p w14:paraId="5F1F3873">
            <w:pPr>
              <w:spacing w:line="260" w:lineRule="exact"/>
              <w:jc w:val="center"/>
              <w:rPr>
                <w:rFonts w:hint="eastAsia" w:ascii="宋体" w:hAnsi="宋体" w:eastAsia="宋体" w:cs="宋体"/>
                <w:b w:val="0"/>
                <w:bCs w:val="0"/>
              </w:rPr>
            </w:pPr>
            <w:r>
              <w:rPr>
                <w:rFonts w:hint="eastAsia" w:ascii="宋体" w:hAnsi="宋体" w:eastAsia="宋体" w:cs="宋体"/>
                <w:b w:val="0"/>
                <w:bCs w:val="0"/>
              </w:rPr>
              <w:t>危害</w:t>
            </w:r>
          </w:p>
          <w:p w14:paraId="621E9D1C">
            <w:pPr>
              <w:spacing w:line="260" w:lineRule="exact"/>
              <w:jc w:val="center"/>
              <w:rPr>
                <w:rFonts w:hint="eastAsia" w:ascii="宋体" w:hAnsi="宋体" w:eastAsia="宋体" w:cs="宋体"/>
                <w:b w:val="0"/>
                <w:bCs w:val="0"/>
              </w:rPr>
            </w:pPr>
            <w:r>
              <w:rPr>
                <w:rFonts w:hint="eastAsia" w:ascii="宋体" w:hAnsi="宋体" w:eastAsia="宋体" w:cs="宋体"/>
                <w:b w:val="0"/>
                <w:bCs w:val="0"/>
              </w:rPr>
              <w:t>性</w:t>
            </w:r>
          </w:p>
        </w:tc>
        <w:tc>
          <w:tcPr>
            <w:tcW w:w="7985" w:type="dxa"/>
            <w:gridSpan w:val="5"/>
            <w:vAlign w:val="center"/>
          </w:tcPr>
          <w:p w14:paraId="0167111D">
            <w:pPr>
              <w:spacing w:line="260" w:lineRule="exact"/>
              <w:rPr>
                <w:rFonts w:hint="eastAsia" w:ascii="宋体" w:hAnsi="宋体" w:eastAsia="宋体" w:cs="宋体"/>
              </w:rPr>
            </w:pPr>
            <w:r>
              <w:rPr>
                <w:rFonts w:hint="eastAsia" w:ascii="宋体" w:hAnsi="宋体" w:eastAsia="宋体" w:cs="宋体"/>
              </w:rPr>
              <w:t>接触限值：中国MAC：300mg/m3（溶剂汽油）。</w:t>
            </w:r>
          </w:p>
          <w:p w14:paraId="38F09BFA">
            <w:pPr>
              <w:spacing w:line="260" w:lineRule="exact"/>
              <w:rPr>
                <w:rFonts w:hint="eastAsia" w:ascii="宋体" w:hAnsi="宋体" w:eastAsia="宋体" w:cs="宋体"/>
              </w:rPr>
            </w:pPr>
            <w:r>
              <w:rPr>
                <w:rFonts w:hint="eastAsia" w:ascii="宋体" w:hAnsi="宋体" w:eastAsia="宋体" w:cs="宋体"/>
              </w:rPr>
              <w:t>侵入途径：吸入，食入，经皮吸收。</w:t>
            </w:r>
          </w:p>
          <w:p w14:paraId="1EE436C8">
            <w:pPr>
              <w:spacing w:line="260" w:lineRule="exact"/>
              <w:rPr>
                <w:rFonts w:hint="eastAsia" w:ascii="宋体" w:hAnsi="宋体" w:eastAsia="宋体" w:cs="宋体"/>
              </w:rPr>
            </w:pPr>
            <w:r>
              <w:rPr>
                <w:rFonts w:hint="eastAsia" w:ascii="宋体" w:hAnsi="宋体" w:eastAsia="宋体" w:cs="宋体"/>
              </w:rPr>
              <w:t>健康危害：主要作用于中枢神经系统。急性中毒症状有头晕、头痛、恶心、呕吐、步态不稳、共济失调。高浓度吸入出现中毒性脑病。极高浓度吸入引起意识突然丧失、反射性呼吸停止及化学性肺炎。可伴有中毒性周围神经病。液体吸入呼吸道致吸入性肺炎。溅入眼内，可致角膜溃疡、穿孔，甚至失明。皮肤接触致急性接触性皮炎或过敏性皮炎。急性经口中毒引起急性胃肠炎；重者出现类似急性吸入中毒症状。慢性中毒：神经衰弱综合征，周围神经病，皮肤损害。</w:t>
            </w:r>
          </w:p>
        </w:tc>
      </w:tr>
      <w:tr w14:paraId="40D44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trPr>
        <w:tc>
          <w:tcPr>
            <w:tcW w:w="1067" w:type="dxa"/>
            <w:vAlign w:val="center"/>
          </w:tcPr>
          <w:p w14:paraId="67ADFA80">
            <w:pPr>
              <w:spacing w:line="260" w:lineRule="exact"/>
              <w:jc w:val="center"/>
              <w:rPr>
                <w:rFonts w:hint="eastAsia" w:ascii="宋体" w:hAnsi="宋体" w:eastAsia="宋体" w:cs="宋体"/>
                <w:b w:val="0"/>
                <w:bCs w:val="0"/>
              </w:rPr>
            </w:pPr>
            <w:r>
              <w:rPr>
                <w:rFonts w:hint="eastAsia" w:ascii="宋体" w:hAnsi="宋体" w:eastAsia="宋体" w:cs="宋体"/>
                <w:b w:val="0"/>
                <w:bCs w:val="0"/>
              </w:rPr>
              <w:t>急救</w:t>
            </w:r>
          </w:p>
        </w:tc>
        <w:tc>
          <w:tcPr>
            <w:tcW w:w="7985" w:type="dxa"/>
            <w:gridSpan w:val="5"/>
            <w:vAlign w:val="center"/>
          </w:tcPr>
          <w:p w14:paraId="4ADD7061">
            <w:pPr>
              <w:spacing w:line="260" w:lineRule="exact"/>
              <w:rPr>
                <w:rFonts w:hint="eastAsia" w:ascii="宋体" w:hAnsi="宋体" w:eastAsia="宋体" w:cs="宋体"/>
              </w:rPr>
            </w:pPr>
            <w:r>
              <w:rPr>
                <w:rFonts w:hint="eastAsia" w:ascii="宋体" w:hAnsi="宋体" w:eastAsia="宋体" w:cs="宋体"/>
              </w:rPr>
              <w:t>吸入：迅速脱离污染区，注意保暖，保持呼吸道通畅，呼吸困难时给氧，必要时进行人工呼吸，就医。</w:t>
            </w:r>
          </w:p>
          <w:p w14:paraId="72F96864">
            <w:pPr>
              <w:spacing w:line="260" w:lineRule="exact"/>
              <w:rPr>
                <w:rFonts w:hint="eastAsia" w:ascii="宋体" w:hAnsi="宋体" w:eastAsia="宋体" w:cs="宋体"/>
              </w:rPr>
            </w:pPr>
            <w:r>
              <w:rPr>
                <w:rFonts w:hint="eastAsia" w:ascii="宋体" w:hAnsi="宋体" w:eastAsia="宋体" w:cs="宋体"/>
              </w:rPr>
              <w:t>食入：给牛奶、蛋清、植物油等口服，洗胃，就医。</w:t>
            </w:r>
          </w:p>
          <w:p w14:paraId="67AA9113">
            <w:pPr>
              <w:spacing w:line="260" w:lineRule="exact"/>
              <w:rPr>
                <w:rFonts w:hint="eastAsia" w:ascii="宋体" w:hAnsi="宋体" w:eastAsia="宋体" w:cs="宋体"/>
              </w:rPr>
            </w:pPr>
            <w:r>
              <w:rPr>
                <w:rFonts w:hint="eastAsia" w:ascii="宋体" w:hAnsi="宋体" w:eastAsia="宋体" w:cs="宋体"/>
              </w:rPr>
              <w:t>眼睛接触：立即提起眼睑，用流动清水或生理盐水冲洗至少15分钟，就医。皮肤接触：脱去污染的衣着，立即用流动清水彻底冲洗。</w:t>
            </w:r>
          </w:p>
          <w:p w14:paraId="7B4055EB">
            <w:pPr>
              <w:spacing w:line="260" w:lineRule="exact"/>
              <w:rPr>
                <w:rFonts w:hint="eastAsia" w:ascii="宋体" w:hAnsi="宋体" w:eastAsia="宋体" w:cs="宋体"/>
              </w:rPr>
            </w:pPr>
            <w:r>
              <w:rPr>
                <w:rFonts w:hint="eastAsia" w:ascii="宋体" w:hAnsi="宋体" w:eastAsia="宋体" w:cs="宋体"/>
              </w:rPr>
              <w:t>浓度超标时，戴防毒面具</w:t>
            </w:r>
            <w:r>
              <w:rPr>
                <w:rFonts w:hint="eastAsia" w:ascii="宋体" w:hAnsi="宋体" w:eastAsia="宋体" w:cs="宋体"/>
              </w:rPr>
              <w:tab/>
            </w:r>
            <w:r>
              <w:rPr>
                <w:rFonts w:hint="eastAsia" w:ascii="宋体" w:hAnsi="宋体" w:eastAsia="宋体" w:cs="宋体"/>
              </w:rPr>
              <w:t>生产过程密闭，全面通风，工作场所禁止吸烟，高浓度时戴化学防护眼镜</w:t>
            </w:r>
            <w:r>
              <w:rPr>
                <w:rFonts w:hint="eastAsia" w:ascii="宋体" w:hAnsi="宋体" w:eastAsia="宋体" w:cs="宋体"/>
              </w:rPr>
              <w:tab/>
            </w:r>
            <w:r>
              <w:rPr>
                <w:rFonts w:hint="eastAsia" w:ascii="宋体" w:hAnsi="宋体" w:eastAsia="宋体" w:cs="宋体"/>
              </w:rPr>
              <w:t>，穿防静电工作服，戴防护手套。</w:t>
            </w:r>
          </w:p>
        </w:tc>
      </w:tr>
      <w:tr w14:paraId="6AF2F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6" w:hRule="atLeast"/>
        </w:trPr>
        <w:tc>
          <w:tcPr>
            <w:tcW w:w="1067" w:type="dxa"/>
            <w:vAlign w:val="center"/>
          </w:tcPr>
          <w:p w14:paraId="30FD14BA">
            <w:pPr>
              <w:spacing w:line="260" w:lineRule="exact"/>
              <w:jc w:val="center"/>
              <w:rPr>
                <w:rFonts w:hint="eastAsia" w:ascii="宋体" w:hAnsi="宋体" w:eastAsia="宋体" w:cs="宋体"/>
                <w:b w:val="0"/>
                <w:bCs w:val="0"/>
              </w:rPr>
            </w:pPr>
            <w:r>
              <w:rPr>
                <w:rFonts w:hint="eastAsia" w:ascii="宋体" w:hAnsi="宋体" w:eastAsia="宋体" w:cs="宋体"/>
                <w:b w:val="0"/>
                <w:bCs w:val="0"/>
              </w:rPr>
              <w:t>泄漏</w:t>
            </w:r>
          </w:p>
          <w:p w14:paraId="1FD3387B">
            <w:pPr>
              <w:spacing w:line="260" w:lineRule="exact"/>
              <w:jc w:val="center"/>
              <w:rPr>
                <w:rFonts w:hint="eastAsia" w:ascii="宋体" w:hAnsi="宋体" w:eastAsia="宋体" w:cs="宋体"/>
                <w:b w:val="0"/>
                <w:bCs w:val="0"/>
              </w:rPr>
            </w:pPr>
            <w:r>
              <w:rPr>
                <w:rFonts w:hint="eastAsia" w:ascii="宋体" w:hAnsi="宋体" w:eastAsia="宋体" w:cs="宋体"/>
                <w:b w:val="0"/>
                <w:bCs w:val="0"/>
              </w:rPr>
              <w:t>处置</w:t>
            </w:r>
          </w:p>
        </w:tc>
        <w:tc>
          <w:tcPr>
            <w:tcW w:w="7985" w:type="dxa"/>
            <w:gridSpan w:val="5"/>
            <w:vAlign w:val="center"/>
          </w:tcPr>
          <w:p w14:paraId="32C521BF">
            <w:pPr>
              <w:spacing w:line="260" w:lineRule="exact"/>
              <w:ind w:firstLine="420" w:firstLineChars="200"/>
              <w:rPr>
                <w:rFonts w:hint="eastAsia" w:ascii="宋体" w:hAnsi="宋体" w:eastAsia="宋体" w:cs="宋体"/>
              </w:rPr>
            </w:pPr>
            <w:r>
              <w:rPr>
                <w:rFonts w:hint="eastAsia" w:ascii="宋体" w:hAnsi="宋体" w:eastAsia="宋体" w:cs="宋体"/>
              </w:rPr>
              <w:t>切断一切火源，迅速撤离污染区人员至上风处。使用防毒面具，穿防静电工作服。在确保安全的前提下堵漏。喷水雾减少蒸气，但不能降低泄漏物在受限空间内的易燃性。禁止泄漏物进入受限制的空间（如下水道等），以避免发生爆炸。用砂土或其它不燃性吸附剂吸收，然后收集至废物处理场所处置。</w:t>
            </w:r>
          </w:p>
        </w:tc>
      </w:tr>
    </w:tbl>
    <w:p w14:paraId="580F2F8B">
      <w:pPr>
        <w:spacing w:line="600" w:lineRule="exact"/>
        <w:jc w:val="center"/>
        <w:rPr>
          <w:rFonts w:cs="Times New Roman"/>
          <w:b/>
          <w:bCs/>
          <w:sz w:val="24"/>
          <w:szCs w:val="24"/>
        </w:rPr>
      </w:pPr>
      <w:r>
        <w:rPr>
          <w:rFonts w:hint="eastAsia" w:cs="宋体"/>
          <w:b/>
          <w:bCs/>
          <w:sz w:val="24"/>
          <w:szCs w:val="24"/>
        </w:rPr>
        <w:t>表</w:t>
      </w:r>
      <w:r>
        <w:rPr>
          <w:b/>
          <w:bCs/>
          <w:sz w:val="24"/>
          <w:szCs w:val="24"/>
        </w:rPr>
        <w:t xml:space="preserve">3-2  </w:t>
      </w:r>
      <w:r>
        <w:rPr>
          <w:rFonts w:hint="eastAsia" w:cs="宋体"/>
          <w:b/>
          <w:bCs/>
          <w:sz w:val="24"/>
          <w:szCs w:val="24"/>
        </w:rPr>
        <w:t>柴油</w:t>
      </w:r>
    </w:p>
    <w:tbl>
      <w:tblPr>
        <w:tblStyle w:val="19"/>
        <w:tblW w:w="905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1948"/>
        <w:gridCol w:w="1428"/>
        <w:gridCol w:w="1428"/>
        <w:gridCol w:w="1573"/>
        <w:gridCol w:w="1608"/>
      </w:tblGrid>
      <w:tr w14:paraId="1C534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067" w:type="dxa"/>
            <w:vAlign w:val="center"/>
          </w:tcPr>
          <w:p w14:paraId="6FE02396">
            <w:pPr>
              <w:spacing w:line="280" w:lineRule="exact"/>
              <w:jc w:val="center"/>
              <w:rPr>
                <w:rFonts w:hint="eastAsia" w:ascii="宋体" w:hAnsi="宋体" w:eastAsia="宋体" w:cs="宋体"/>
                <w:b/>
                <w:bCs/>
              </w:rPr>
            </w:pPr>
            <w:r>
              <w:rPr>
                <w:rFonts w:hint="eastAsia" w:ascii="宋体" w:hAnsi="宋体" w:eastAsia="宋体" w:cs="宋体"/>
                <w:b/>
                <w:bCs/>
              </w:rPr>
              <w:t>品    名</w:t>
            </w:r>
          </w:p>
        </w:tc>
        <w:tc>
          <w:tcPr>
            <w:tcW w:w="1948" w:type="dxa"/>
            <w:vAlign w:val="center"/>
          </w:tcPr>
          <w:p w14:paraId="258D0AF5">
            <w:pPr>
              <w:spacing w:line="280" w:lineRule="exact"/>
              <w:jc w:val="center"/>
              <w:rPr>
                <w:rFonts w:hint="eastAsia" w:ascii="宋体" w:hAnsi="宋体" w:eastAsia="宋体" w:cs="宋体"/>
              </w:rPr>
            </w:pPr>
            <w:r>
              <w:rPr>
                <w:rFonts w:hint="eastAsia" w:ascii="宋体" w:hAnsi="宋体" w:eastAsia="宋体" w:cs="宋体"/>
                <w:b w:val="0"/>
                <w:bCs w:val="0"/>
              </w:rPr>
              <w:t>柴油</w:t>
            </w:r>
          </w:p>
        </w:tc>
        <w:tc>
          <w:tcPr>
            <w:tcW w:w="1428" w:type="dxa"/>
            <w:vAlign w:val="center"/>
          </w:tcPr>
          <w:p w14:paraId="409DB372">
            <w:pPr>
              <w:spacing w:line="280" w:lineRule="exact"/>
              <w:jc w:val="center"/>
              <w:rPr>
                <w:rFonts w:hint="eastAsia" w:ascii="宋体" w:hAnsi="宋体" w:eastAsia="宋体" w:cs="宋体"/>
                <w:b/>
                <w:bCs/>
              </w:rPr>
            </w:pPr>
            <w:r>
              <w:rPr>
                <w:rFonts w:hint="eastAsia" w:ascii="宋体" w:hAnsi="宋体" w:eastAsia="宋体" w:cs="宋体"/>
                <w:b/>
                <w:bCs/>
              </w:rPr>
              <w:t>别名</w:t>
            </w:r>
          </w:p>
        </w:tc>
        <w:tc>
          <w:tcPr>
            <w:tcW w:w="1428" w:type="dxa"/>
            <w:vAlign w:val="center"/>
          </w:tcPr>
          <w:p w14:paraId="25DF0417">
            <w:pPr>
              <w:spacing w:line="280" w:lineRule="exact"/>
              <w:jc w:val="center"/>
              <w:rPr>
                <w:rFonts w:hint="eastAsia" w:ascii="宋体" w:hAnsi="宋体" w:eastAsia="宋体" w:cs="宋体"/>
                <w:lang w:val="en-US" w:eastAsia="zh-CN"/>
              </w:rPr>
            </w:pPr>
            <w:r>
              <w:rPr>
                <w:rFonts w:hint="eastAsia" w:ascii="宋体" w:hAnsi="宋体" w:eastAsia="宋体" w:cs="宋体"/>
                <w:lang w:val="en-US" w:eastAsia="zh-CN"/>
              </w:rPr>
              <w:t>/</w:t>
            </w:r>
          </w:p>
        </w:tc>
        <w:tc>
          <w:tcPr>
            <w:tcW w:w="1573" w:type="dxa"/>
            <w:vAlign w:val="center"/>
          </w:tcPr>
          <w:p w14:paraId="6C0FB42E">
            <w:pPr>
              <w:spacing w:line="260" w:lineRule="exact"/>
              <w:jc w:val="center"/>
              <w:rPr>
                <w:rFonts w:hint="eastAsia" w:ascii="宋体" w:hAnsi="宋体" w:eastAsia="宋体" w:cs="宋体"/>
                <w:b/>
                <w:bCs/>
              </w:rPr>
            </w:pPr>
            <w:r>
              <w:rPr>
                <w:rFonts w:hint="eastAsia" w:ascii="宋体" w:hAnsi="宋体" w:eastAsia="宋体" w:cs="宋体"/>
                <w:b/>
                <w:bCs/>
              </w:rPr>
              <w:t>CAS号</w:t>
            </w:r>
          </w:p>
        </w:tc>
        <w:tc>
          <w:tcPr>
            <w:tcW w:w="1608" w:type="dxa"/>
            <w:vAlign w:val="center"/>
          </w:tcPr>
          <w:p w14:paraId="2321703C">
            <w:pPr>
              <w:spacing w:line="260" w:lineRule="exact"/>
              <w:ind w:firstLine="210" w:firstLineChars="100"/>
              <w:jc w:val="both"/>
              <w:rPr>
                <w:rFonts w:hint="eastAsia" w:ascii="宋体" w:hAnsi="宋体" w:eastAsia="宋体" w:cs="宋体"/>
              </w:rPr>
            </w:pPr>
            <w:r>
              <w:rPr>
                <w:rFonts w:hint="eastAsia" w:ascii="宋体" w:hAnsi="宋体" w:eastAsia="宋体" w:cs="宋体"/>
                <w:b w:val="0"/>
                <w:bCs w:val="0"/>
              </w:rPr>
              <w:t>68334-30-5</w:t>
            </w:r>
          </w:p>
        </w:tc>
      </w:tr>
      <w:tr w14:paraId="1F284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067" w:type="dxa"/>
            <w:vAlign w:val="center"/>
          </w:tcPr>
          <w:p w14:paraId="0A922EDE">
            <w:pPr>
              <w:spacing w:line="280" w:lineRule="exact"/>
              <w:jc w:val="center"/>
              <w:rPr>
                <w:rFonts w:hint="eastAsia" w:ascii="宋体" w:hAnsi="宋体" w:eastAsia="宋体" w:cs="宋体"/>
                <w:b/>
                <w:bCs/>
              </w:rPr>
            </w:pPr>
            <w:r>
              <w:rPr>
                <w:rFonts w:hint="eastAsia" w:ascii="宋体" w:hAnsi="宋体" w:eastAsia="宋体" w:cs="宋体"/>
                <w:b/>
                <w:bCs/>
              </w:rPr>
              <w:t>英文名称</w:t>
            </w:r>
          </w:p>
        </w:tc>
        <w:tc>
          <w:tcPr>
            <w:tcW w:w="1948" w:type="dxa"/>
            <w:vAlign w:val="center"/>
          </w:tcPr>
          <w:p w14:paraId="71D6A61E">
            <w:pPr>
              <w:spacing w:line="280" w:lineRule="exact"/>
              <w:ind w:firstLine="315" w:firstLineChars="150"/>
              <w:jc w:val="left"/>
              <w:rPr>
                <w:rFonts w:hint="eastAsia" w:ascii="宋体" w:hAnsi="宋体" w:eastAsia="宋体" w:cs="宋体"/>
              </w:rPr>
            </w:pPr>
            <w:r>
              <w:rPr>
                <w:rFonts w:hint="eastAsia" w:ascii="宋体" w:hAnsi="宋体" w:eastAsia="宋体" w:cs="宋体"/>
                <w:b w:val="0"/>
                <w:bCs w:val="0"/>
              </w:rPr>
              <w:t>Diesel</w:t>
            </w:r>
            <w:r>
              <w:rPr>
                <w:rFonts w:hint="eastAsia" w:ascii="宋体" w:hAnsi="宋体" w:cs="宋体"/>
                <w:b w:val="0"/>
                <w:bCs w:val="0"/>
                <w:lang w:val="en-US" w:eastAsia="zh-CN"/>
              </w:rPr>
              <w:t xml:space="preserve"> </w:t>
            </w:r>
            <w:r>
              <w:rPr>
                <w:rFonts w:hint="eastAsia" w:ascii="宋体" w:hAnsi="宋体" w:eastAsia="宋体" w:cs="宋体"/>
                <w:b w:val="0"/>
                <w:bCs w:val="0"/>
              </w:rPr>
              <w:t>oil</w:t>
            </w:r>
          </w:p>
        </w:tc>
        <w:tc>
          <w:tcPr>
            <w:tcW w:w="1428" w:type="dxa"/>
            <w:vAlign w:val="center"/>
          </w:tcPr>
          <w:p w14:paraId="4F5B8383">
            <w:pPr>
              <w:spacing w:line="280" w:lineRule="exact"/>
              <w:jc w:val="center"/>
              <w:rPr>
                <w:rFonts w:hint="eastAsia" w:ascii="宋体" w:hAnsi="宋体" w:eastAsia="宋体" w:cs="宋体"/>
                <w:b/>
                <w:bCs/>
              </w:rPr>
            </w:pPr>
            <w:r>
              <w:rPr>
                <w:rFonts w:hint="eastAsia" w:ascii="宋体" w:hAnsi="宋体" w:eastAsia="宋体" w:cs="宋体"/>
                <w:b/>
                <w:bCs/>
              </w:rPr>
              <w:t>分子式</w:t>
            </w:r>
          </w:p>
        </w:tc>
        <w:tc>
          <w:tcPr>
            <w:tcW w:w="1428" w:type="dxa"/>
            <w:vAlign w:val="center"/>
          </w:tcPr>
          <w:p w14:paraId="63B7BC98">
            <w:pPr>
              <w:spacing w:line="280" w:lineRule="exact"/>
              <w:jc w:val="center"/>
              <w:rPr>
                <w:rFonts w:hint="eastAsia" w:ascii="宋体" w:hAnsi="宋体" w:eastAsia="宋体" w:cs="宋体"/>
                <w:lang w:val="en-US" w:eastAsia="zh-CN"/>
              </w:rPr>
            </w:pPr>
            <w:r>
              <w:rPr>
                <w:rFonts w:hint="eastAsia" w:ascii="宋体" w:hAnsi="宋体" w:eastAsia="宋体" w:cs="宋体"/>
                <w:lang w:val="en-US" w:eastAsia="zh-CN"/>
              </w:rPr>
              <w:t>/</w:t>
            </w:r>
          </w:p>
        </w:tc>
        <w:tc>
          <w:tcPr>
            <w:tcW w:w="1573" w:type="dxa"/>
            <w:vAlign w:val="center"/>
          </w:tcPr>
          <w:p w14:paraId="2257C895">
            <w:pPr>
              <w:spacing w:line="280" w:lineRule="exact"/>
              <w:jc w:val="center"/>
              <w:rPr>
                <w:rFonts w:hint="eastAsia" w:ascii="宋体" w:hAnsi="宋体" w:eastAsia="宋体" w:cs="宋体"/>
                <w:b/>
                <w:bCs/>
              </w:rPr>
            </w:pPr>
            <w:r>
              <w:rPr>
                <w:rFonts w:hint="eastAsia" w:ascii="宋体" w:hAnsi="宋体" w:eastAsia="宋体" w:cs="宋体"/>
                <w:b/>
                <w:bCs/>
              </w:rPr>
              <w:t>分子量</w:t>
            </w:r>
          </w:p>
        </w:tc>
        <w:tc>
          <w:tcPr>
            <w:tcW w:w="1608" w:type="dxa"/>
            <w:vAlign w:val="center"/>
          </w:tcPr>
          <w:p w14:paraId="047B3ADC">
            <w:pPr>
              <w:spacing w:line="280" w:lineRule="exact"/>
              <w:ind w:left="-195" w:leftChars="-94" w:hanging="2"/>
              <w:jc w:val="center"/>
              <w:rPr>
                <w:rFonts w:hint="eastAsia" w:ascii="宋体" w:hAnsi="宋体" w:eastAsia="宋体" w:cs="宋体"/>
                <w:lang w:val="en-US" w:eastAsia="zh-CN"/>
              </w:rPr>
            </w:pPr>
            <w:r>
              <w:rPr>
                <w:rFonts w:hint="eastAsia" w:ascii="宋体" w:hAnsi="宋体" w:eastAsia="宋体" w:cs="宋体"/>
                <w:lang w:val="en-US" w:eastAsia="zh-CN"/>
              </w:rPr>
              <w:t>/</w:t>
            </w:r>
          </w:p>
        </w:tc>
      </w:tr>
      <w:tr w14:paraId="5339B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27" w:hRule="atLeast"/>
        </w:trPr>
        <w:tc>
          <w:tcPr>
            <w:tcW w:w="1067" w:type="dxa"/>
            <w:vAlign w:val="center"/>
          </w:tcPr>
          <w:p w14:paraId="7E10D27F">
            <w:pPr>
              <w:spacing w:line="280" w:lineRule="exact"/>
              <w:jc w:val="center"/>
              <w:rPr>
                <w:rFonts w:hint="eastAsia" w:ascii="宋体" w:hAnsi="宋体" w:eastAsia="宋体" w:cs="宋体"/>
                <w:b w:val="0"/>
                <w:bCs w:val="0"/>
              </w:rPr>
            </w:pPr>
            <w:r>
              <w:rPr>
                <w:rFonts w:hint="eastAsia" w:ascii="宋体" w:hAnsi="宋体" w:eastAsia="宋体" w:cs="宋体"/>
                <w:b w:val="0"/>
                <w:bCs w:val="0"/>
              </w:rPr>
              <w:t>理</w:t>
            </w:r>
          </w:p>
          <w:p w14:paraId="634F3C2D">
            <w:pPr>
              <w:spacing w:line="280" w:lineRule="exact"/>
              <w:jc w:val="center"/>
              <w:rPr>
                <w:rFonts w:hint="eastAsia" w:ascii="宋体" w:hAnsi="宋体" w:eastAsia="宋体" w:cs="宋体"/>
                <w:b w:val="0"/>
                <w:bCs w:val="0"/>
              </w:rPr>
            </w:pPr>
            <w:r>
              <w:rPr>
                <w:rFonts w:hint="eastAsia" w:ascii="宋体" w:hAnsi="宋体" w:eastAsia="宋体" w:cs="宋体"/>
                <w:b w:val="0"/>
                <w:bCs w:val="0"/>
              </w:rPr>
              <w:t>化</w:t>
            </w:r>
          </w:p>
          <w:p w14:paraId="7B6CDF44">
            <w:pPr>
              <w:spacing w:line="280" w:lineRule="exact"/>
              <w:jc w:val="center"/>
              <w:rPr>
                <w:rFonts w:hint="eastAsia" w:ascii="宋体" w:hAnsi="宋体" w:eastAsia="宋体" w:cs="宋体"/>
                <w:b w:val="0"/>
                <w:bCs w:val="0"/>
              </w:rPr>
            </w:pPr>
            <w:r>
              <w:rPr>
                <w:rFonts w:hint="eastAsia" w:ascii="宋体" w:hAnsi="宋体" w:eastAsia="宋体" w:cs="宋体"/>
                <w:b w:val="0"/>
                <w:bCs w:val="0"/>
              </w:rPr>
              <w:t>性</w:t>
            </w:r>
          </w:p>
          <w:p w14:paraId="0B3B78F8">
            <w:pPr>
              <w:spacing w:line="280" w:lineRule="exact"/>
              <w:jc w:val="center"/>
              <w:rPr>
                <w:rFonts w:hint="eastAsia" w:ascii="宋体" w:hAnsi="宋体" w:eastAsia="宋体" w:cs="宋体"/>
                <w:b w:val="0"/>
                <w:bCs w:val="0"/>
              </w:rPr>
            </w:pPr>
            <w:r>
              <w:rPr>
                <w:rFonts w:hint="eastAsia" w:ascii="宋体" w:hAnsi="宋体" w:eastAsia="宋体" w:cs="宋体"/>
                <w:b w:val="0"/>
                <w:bCs w:val="0"/>
              </w:rPr>
              <w:t>质</w:t>
            </w:r>
          </w:p>
        </w:tc>
        <w:tc>
          <w:tcPr>
            <w:tcW w:w="7985" w:type="dxa"/>
            <w:gridSpan w:val="5"/>
            <w:vAlign w:val="center"/>
          </w:tcPr>
          <w:p w14:paraId="2E3DF486">
            <w:pPr>
              <w:spacing w:line="280" w:lineRule="exact"/>
              <w:jc w:val="left"/>
              <w:rPr>
                <w:rFonts w:hint="eastAsia" w:ascii="宋体" w:hAnsi="宋体" w:eastAsia="宋体" w:cs="宋体"/>
              </w:rPr>
            </w:pPr>
            <w:r>
              <w:rPr>
                <w:rFonts w:hint="eastAsia" w:ascii="宋体" w:hAnsi="宋体" w:eastAsia="宋体" w:cs="宋体"/>
              </w:rPr>
              <w:t>易燃液体,类别3</w:t>
            </w:r>
          </w:p>
          <w:p w14:paraId="46DF7540">
            <w:pPr>
              <w:spacing w:line="280" w:lineRule="exact"/>
              <w:jc w:val="left"/>
              <w:rPr>
                <w:rFonts w:hint="eastAsia" w:ascii="宋体" w:hAnsi="宋体" w:eastAsia="宋体" w:cs="宋体"/>
              </w:rPr>
            </w:pPr>
            <w:r>
              <w:rPr>
                <w:rFonts w:hint="eastAsia" w:ascii="宋体" w:hAnsi="宋体" w:eastAsia="宋体" w:cs="宋体"/>
              </w:rPr>
              <w:t>外观与性状：稍有粘性的棕色液体。</w:t>
            </w:r>
          </w:p>
          <w:p w14:paraId="52A61A57">
            <w:pPr>
              <w:spacing w:line="280" w:lineRule="exact"/>
              <w:jc w:val="left"/>
              <w:rPr>
                <w:rFonts w:hint="eastAsia" w:ascii="宋体" w:hAnsi="宋体" w:eastAsia="宋体" w:cs="宋体"/>
              </w:rPr>
            </w:pPr>
            <w:r>
              <w:rPr>
                <w:rFonts w:hint="eastAsia" w:ascii="宋体" w:hAnsi="宋体" w:eastAsia="宋体" w:cs="宋体"/>
              </w:rPr>
              <w:t>熔点（℃）：&lt;-18               沸点（℃）：282-338</w:t>
            </w:r>
          </w:p>
          <w:p w14:paraId="357C593D">
            <w:pPr>
              <w:spacing w:line="280" w:lineRule="exact"/>
              <w:jc w:val="left"/>
              <w:rPr>
                <w:rFonts w:hint="eastAsia" w:ascii="宋体" w:hAnsi="宋体" w:eastAsia="宋体" w:cs="宋体"/>
              </w:rPr>
            </w:pPr>
            <w:r>
              <w:rPr>
                <w:rFonts w:hint="eastAsia" w:ascii="宋体" w:hAnsi="宋体" w:eastAsia="宋体" w:cs="宋体"/>
              </w:rPr>
              <w:t>相对密度（水＝1）：0.8-0.9     相对密度（空气＝1）：</w:t>
            </w:r>
          </w:p>
          <w:p w14:paraId="2AF3B7B9">
            <w:pPr>
              <w:spacing w:line="280" w:lineRule="exact"/>
              <w:jc w:val="left"/>
              <w:rPr>
                <w:rFonts w:hint="eastAsia" w:ascii="宋体" w:hAnsi="宋体" w:eastAsia="宋体" w:cs="宋体"/>
              </w:rPr>
            </w:pPr>
            <w:r>
              <w:rPr>
                <w:rFonts w:hint="eastAsia" w:ascii="宋体" w:hAnsi="宋体" w:eastAsia="宋体" w:cs="宋体"/>
              </w:rPr>
              <w:t xml:space="preserve">饱和蒸气压（kPa）：无资料         燃烧热（Kj/mol）：无资料 </w:t>
            </w:r>
          </w:p>
        </w:tc>
      </w:tr>
      <w:tr w14:paraId="7A403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89" w:hRule="atLeast"/>
        </w:trPr>
        <w:tc>
          <w:tcPr>
            <w:tcW w:w="1067" w:type="dxa"/>
            <w:vAlign w:val="center"/>
          </w:tcPr>
          <w:p w14:paraId="7C82EFCA">
            <w:pPr>
              <w:spacing w:line="280" w:lineRule="exact"/>
              <w:jc w:val="center"/>
              <w:rPr>
                <w:rFonts w:hint="eastAsia" w:ascii="宋体" w:hAnsi="宋体" w:eastAsia="宋体" w:cs="宋体"/>
                <w:b w:val="0"/>
                <w:bCs w:val="0"/>
              </w:rPr>
            </w:pPr>
            <w:r>
              <w:rPr>
                <w:rFonts w:hint="eastAsia" w:ascii="宋体" w:hAnsi="宋体" w:eastAsia="宋体" w:cs="宋体"/>
                <w:b w:val="0"/>
                <w:bCs w:val="0"/>
              </w:rPr>
              <w:t>燃烧</w:t>
            </w:r>
          </w:p>
          <w:p w14:paraId="764977C6">
            <w:pPr>
              <w:spacing w:line="280" w:lineRule="exact"/>
              <w:jc w:val="center"/>
              <w:rPr>
                <w:rFonts w:hint="eastAsia" w:ascii="宋体" w:hAnsi="宋体" w:eastAsia="宋体" w:cs="宋体"/>
                <w:b w:val="0"/>
                <w:bCs w:val="0"/>
              </w:rPr>
            </w:pPr>
            <w:r>
              <w:rPr>
                <w:rFonts w:hint="eastAsia" w:ascii="宋体" w:hAnsi="宋体" w:eastAsia="宋体" w:cs="宋体"/>
                <w:b w:val="0"/>
                <w:bCs w:val="0"/>
              </w:rPr>
              <w:t>爆炸</w:t>
            </w:r>
          </w:p>
          <w:p w14:paraId="0FE3A28A">
            <w:pPr>
              <w:spacing w:line="280" w:lineRule="exact"/>
              <w:jc w:val="center"/>
              <w:rPr>
                <w:rFonts w:hint="eastAsia" w:ascii="宋体" w:hAnsi="宋体" w:eastAsia="宋体" w:cs="宋体"/>
                <w:b w:val="0"/>
                <w:bCs w:val="0"/>
              </w:rPr>
            </w:pPr>
            <w:r>
              <w:rPr>
                <w:rFonts w:hint="eastAsia" w:ascii="宋体" w:hAnsi="宋体" w:eastAsia="宋体" w:cs="宋体"/>
                <w:b w:val="0"/>
                <w:bCs w:val="0"/>
              </w:rPr>
              <w:t>危险</w:t>
            </w:r>
          </w:p>
          <w:p w14:paraId="29DE75AE">
            <w:pPr>
              <w:spacing w:line="280" w:lineRule="exact"/>
              <w:jc w:val="center"/>
              <w:rPr>
                <w:rFonts w:hint="eastAsia" w:ascii="宋体" w:hAnsi="宋体" w:eastAsia="宋体" w:cs="宋体"/>
                <w:b w:val="0"/>
                <w:bCs w:val="0"/>
              </w:rPr>
            </w:pPr>
            <w:r>
              <w:rPr>
                <w:rFonts w:hint="eastAsia" w:ascii="宋体" w:hAnsi="宋体" w:eastAsia="宋体" w:cs="宋体"/>
                <w:b w:val="0"/>
                <w:bCs w:val="0"/>
              </w:rPr>
              <w:t>性</w:t>
            </w:r>
          </w:p>
        </w:tc>
        <w:tc>
          <w:tcPr>
            <w:tcW w:w="7985" w:type="dxa"/>
            <w:gridSpan w:val="5"/>
          </w:tcPr>
          <w:p w14:paraId="65485DC2">
            <w:pPr>
              <w:spacing w:line="280" w:lineRule="exact"/>
              <w:rPr>
                <w:rFonts w:hint="eastAsia" w:ascii="宋体" w:hAnsi="宋体" w:eastAsia="宋体" w:cs="宋体"/>
              </w:rPr>
            </w:pPr>
            <w:r>
              <w:rPr>
                <w:rFonts w:hint="eastAsia" w:ascii="宋体" w:hAnsi="宋体" w:eastAsia="宋体" w:cs="宋体"/>
              </w:rPr>
              <w:t>燃烧性：易燃     建规火险等级：丙A类</w:t>
            </w:r>
          </w:p>
          <w:p w14:paraId="48F2235C">
            <w:pPr>
              <w:spacing w:line="280" w:lineRule="exact"/>
              <w:rPr>
                <w:rFonts w:hint="eastAsia" w:ascii="宋体" w:hAnsi="宋体" w:eastAsia="宋体" w:cs="宋体"/>
              </w:rPr>
            </w:pPr>
            <w:r>
              <w:rPr>
                <w:rFonts w:hint="eastAsia" w:ascii="宋体" w:hAnsi="宋体" w:eastAsia="宋体" w:cs="宋体"/>
              </w:rPr>
              <w:t>闪点</w:t>
            </w:r>
            <w:r>
              <w:rPr>
                <w:rFonts w:hint="eastAsia" w:ascii="宋体" w:hAnsi="宋体" w:cs="宋体"/>
                <w:lang w:eastAsia="zh-CN"/>
              </w:rPr>
              <w:t>（℃）</w:t>
            </w:r>
            <w:r>
              <w:rPr>
                <w:rFonts w:hint="eastAsia" w:ascii="宋体" w:hAnsi="宋体" w:eastAsia="宋体" w:cs="宋体"/>
              </w:rPr>
              <w:t>：0#</w:t>
            </w:r>
            <w:r>
              <w:rPr>
                <w:rFonts w:hint="eastAsia" w:ascii="宋体" w:hAnsi="宋体" w:cs="宋体"/>
                <w:lang w:val="en-US" w:eastAsia="zh-CN"/>
              </w:rPr>
              <w:t>柴油</w:t>
            </w:r>
            <w:r>
              <w:rPr>
                <w:rFonts w:hint="eastAsia" w:ascii="宋体" w:hAnsi="宋体" w:eastAsia="宋体" w:cs="宋体"/>
              </w:rPr>
              <w:t>不低于</w:t>
            </w:r>
            <w:r>
              <w:rPr>
                <w:rFonts w:hint="eastAsia" w:ascii="宋体" w:hAnsi="宋体" w:cs="宋体"/>
                <w:lang w:val="en-US" w:eastAsia="zh-CN"/>
              </w:rPr>
              <w:t>60</w:t>
            </w:r>
            <w:r>
              <w:rPr>
                <w:rFonts w:hint="eastAsia" w:ascii="宋体" w:hAnsi="宋体" w:eastAsia="宋体" w:cs="宋体"/>
              </w:rPr>
              <w:t xml:space="preserve">      爆炸下限（V%）：</w:t>
            </w:r>
            <w:r>
              <w:rPr>
                <w:rFonts w:hint="eastAsia" w:ascii="宋体" w:hAnsi="宋体" w:cs="宋体"/>
                <w:lang w:val="en-US" w:eastAsia="zh-CN"/>
              </w:rPr>
              <w:t>0.6-6.5</w:t>
            </w:r>
            <w:r>
              <w:rPr>
                <w:rFonts w:hint="eastAsia" w:ascii="宋体" w:hAnsi="宋体" w:eastAsia="宋体" w:cs="宋体"/>
              </w:rPr>
              <w:t xml:space="preserve">      自燃温度：</w:t>
            </w:r>
            <w:r>
              <w:rPr>
                <w:rFonts w:hint="eastAsia" w:ascii="宋体" w:hAnsi="宋体" w:cs="宋体"/>
                <w:lang w:val="en-US" w:eastAsia="zh-CN"/>
              </w:rPr>
              <w:t>3</w:t>
            </w:r>
            <w:r>
              <w:rPr>
                <w:rFonts w:hint="eastAsia" w:ascii="宋体" w:hAnsi="宋体" w:eastAsia="宋体" w:cs="宋体"/>
              </w:rPr>
              <w:t>57℃</w:t>
            </w:r>
          </w:p>
          <w:p w14:paraId="2F8E1925">
            <w:pPr>
              <w:spacing w:line="280" w:lineRule="exact"/>
              <w:rPr>
                <w:rFonts w:hint="eastAsia" w:ascii="宋体" w:hAnsi="宋体" w:eastAsia="宋体" w:cs="宋体"/>
              </w:rPr>
            </w:pPr>
            <w:r>
              <w:rPr>
                <w:rFonts w:hint="eastAsia" w:ascii="宋体" w:hAnsi="宋体" w:eastAsia="宋体" w:cs="宋体"/>
              </w:rPr>
              <w:t>危险特性：遇明火、高热或与氧化剂接触，有引起燃烧爆炸的危险。若遇高热，容器内压增大，有开裂和爆炸的危险。</w:t>
            </w:r>
          </w:p>
          <w:p w14:paraId="057A6352">
            <w:pPr>
              <w:spacing w:line="280" w:lineRule="exact"/>
              <w:rPr>
                <w:rFonts w:hint="eastAsia" w:ascii="宋体" w:hAnsi="宋体" w:eastAsia="宋体" w:cs="宋体"/>
              </w:rPr>
            </w:pPr>
            <w:r>
              <w:rPr>
                <w:rFonts w:hint="eastAsia" w:ascii="宋体" w:hAnsi="宋体" w:eastAsia="宋体" w:cs="宋体"/>
              </w:rPr>
              <w:t>稳定性：稳定            聚合危害：无     禁忌物：强氧化剂、卤素。</w:t>
            </w:r>
          </w:p>
          <w:p w14:paraId="0E85DAD3">
            <w:pPr>
              <w:spacing w:line="280" w:lineRule="exact"/>
              <w:rPr>
                <w:rFonts w:hint="eastAsia" w:ascii="宋体" w:hAnsi="宋体" w:eastAsia="宋体" w:cs="宋体"/>
              </w:rPr>
            </w:pPr>
            <w:r>
              <w:rPr>
                <w:rFonts w:hint="eastAsia" w:ascii="宋体" w:hAnsi="宋体" w:eastAsia="宋体" w:cs="宋体"/>
              </w:rPr>
              <w:t>灭火方法：泡沫、二氧化碳、干粉、砂土。</w:t>
            </w:r>
          </w:p>
        </w:tc>
      </w:tr>
      <w:tr w14:paraId="1E06C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6" w:hRule="atLeast"/>
        </w:trPr>
        <w:tc>
          <w:tcPr>
            <w:tcW w:w="1067" w:type="dxa"/>
            <w:vAlign w:val="center"/>
          </w:tcPr>
          <w:p w14:paraId="2FA05A1B">
            <w:pPr>
              <w:spacing w:line="280" w:lineRule="exact"/>
              <w:jc w:val="center"/>
              <w:rPr>
                <w:rFonts w:hint="eastAsia" w:ascii="宋体" w:hAnsi="宋体" w:eastAsia="宋体" w:cs="宋体"/>
                <w:b w:val="0"/>
                <w:bCs w:val="0"/>
              </w:rPr>
            </w:pPr>
            <w:r>
              <w:rPr>
                <w:rFonts w:hint="eastAsia" w:ascii="宋体" w:hAnsi="宋体" w:eastAsia="宋体" w:cs="宋体"/>
                <w:b w:val="0"/>
                <w:bCs w:val="0"/>
              </w:rPr>
              <w:t>毒性</w:t>
            </w:r>
          </w:p>
          <w:p w14:paraId="0DD48C5C">
            <w:pPr>
              <w:spacing w:line="280" w:lineRule="exact"/>
              <w:jc w:val="center"/>
              <w:rPr>
                <w:rFonts w:hint="eastAsia" w:ascii="宋体" w:hAnsi="宋体" w:eastAsia="宋体" w:cs="宋体"/>
                <w:b w:val="0"/>
                <w:bCs w:val="0"/>
              </w:rPr>
            </w:pPr>
            <w:r>
              <w:rPr>
                <w:rFonts w:hint="eastAsia" w:ascii="宋体" w:hAnsi="宋体" w:eastAsia="宋体" w:cs="宋体"/>
                <w:b w:val="0"/>
                <w:bCs w:val="0"/>
              </w:rPr>
              <w:t>及</w:t>
            </w:r>
          </w:p>
          <w:p w14:paraId="329836F8">
            <w:pPr>
              <w:spacing w:line="280" w:lineRule="exact"/>
              <w:jc w:val="center"/>
              <w:rPr>
                <w:rFonts w:hint="eastAsia" w:ascii="宋体" w:hAnsi="宋体" w:eastAsia="宋体" w:cs="宋体"/>
                <w:b w:val="0"/>
                <w:bCs w:val="0"/>
              </w:rPr>
            </w:pPr>
            <w:r>
              <w:rPr>
                <w:rFonts w:hint="eastAsia" w:ascii="宋体" w:hAnsi="宋体" w:eastAsia="宋体" w:cs="宋体"/>
                <w:b w:val="0"/>
                <w:bCs w:val="0"/>
              </w:rPr>
              <w:t>健康</w:t>
            </w:r>
          </w:p>
          <w:p w14:paraId="34A162FD">
            <w:pPr>
              <w:spacing w:line="280" w:lineRule="exact"/>
              <w:jc w:val="center"/>
              <w:rPr>
                <w:rFonts w:hint="eastAsia" w:ascii="宋体" w:hAnsi="宋体" w:eastAsia="宋体" w:cs="宋体"/>
                <w:b w:val="0"/>
                <w:bCs w:val="0"/>
              </w:rPr>
            </w:pPr>
            <w:r>
              <w:rPr>
                <w:rFonts w:hint="eastAsia" w:ascii="宋体" w:hAnsi="宋体" w:eastAsia="宋体" w:cs="宋体"/>
                <w:b w:val="0"/>
                <w:bCs w:val="0"/>
              </w:rPr>
              <w:t>危害</w:t>
            </w:r>
          </w:p>
          <w:p w14:paraId="362FF372">
            <w:pPr>
              <w:spacing w:line="280" w:lineRule="exact"/>
              <w:jc w:val="center"/>
              <w:rPr>
                <w:rFonts w:hint="eastAsia" w:ascii="宋体" w:hAnsi="宋体" w:eastAsia="宋体" w:cs="宋体"/>
                <w:b w:val="0"/>
                <w:bCs w:val="0"/>
              </w:rPr>
            </w:pPr>
            <w:r>
              <w:rPr>
                <w:rFonts w:hint="eastAsia" w:ascii="宋体" w:hAnsi="宋体" w:eastAsia="宋体" w:cs="宋体"/>
                <w:b w:val="0"/>
                <w:bCs w:val="0"/>
              </w:rPr>
              <w:t>性</w:t>
            </w:r>
          </w:p>
        </w:tc>
        <w:tc>
          <w:tcPr>
            <w:tcW w:w="7985" w:type="dxa"/>
            <w:gridSpan w:val="5"/>
            <w:vAlign w:val="center"/>
          </w:tcPr>
          <w:p w14:paraId="75B4D775">
            <w:pPr>
              <w:spacing w:line="280" w:lineRule="exact"/>
              <w:rPr>
                <w:rFonts w:hint="eastAsia" w:ascii="宋体" w:hAnsi="宋体" w:eastAsia="宋体" w:cs="宋体"/>
              </w:rPr>
            </w:pPr>
            <w:r>
              <w:rPr>
                <w:rFonts w:hint="eastAsia" w:ascii="宋体" w:hAnsi="宋体" w:eastAsia="宋体" w:cs="宋体"/>
              </w:rPr>
              <w:t>接触限值：中国MAC：未制定标准。</w:t>
            </w:r>
          </w:p>
          <w:p w14:paraId="4357E519">
            <w:pPr>
              <w:spacing w:line="280" w:lineRule="exact"/>
              <w:rPr>
                <w:rFonts w:hint="eastAsia" w:ascii="宋体" w:hAnsi="宋体" w:eastAsia="宋体" w:cs="宋体"/>
              </w:rPr>
            </w:pPr>
            <w:r>
              <w:rPr>
                <w:rFonts w:hint="eastAsia" w:ascii="宋体" w:hAnsi="宋体" w:eastAsia="宋体" w:cs="宋体"/>
              </w:rPr>
              <w:t>侵入途径：吸入，食入，经皮吸收。</w:t>
            </w:r>
          </w:p>
          <w:p w14:paraId="6ED66ACD">
            <w:pPr>
              <w:rPr>
                <w:rFonts w:hint="eastAsia" w:ascii="宋体" w:hAnsi="宋体" w:eastAsia="宋体" w:cs="宋体"/>
              </w:rPr>
            </w:pPr>
            <w:r>
              <w:rPr>
                <w:rFonts w:hint="eastAsia" w:ascii="宋体" w:hAnsi="宋体" w:eastAsia="宋体" w:cs="宋体"/>
              </w:rPr>
              <w:t>健康危害：具有刺激作用。皮肤接触柴油可引起接触性皮炎，油性痤疮，吸入可引起性肺炎。能经胎盘进入胎儿血中。柴油废气可引起眼、鼻刺激症状，头晕及头痛。</w:t>
            </w:r>
          </w:p>
        </w:tc>
      </w:tr>
      <w:tr w14:paraId="52884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trPr>
        <w:tc>
          <w:tcPr>
            <w:tcW w:w="1067" w:type="dxa"/>
            <w:vAlign w:val="center"/>
          </w:tcPr>
          <w:p w14:paraId="5B344775">
            <w:pPr>
              <w:spacing w:line="280" w:lineRule="exact"/>
              <w:jc w:val="center"/>
              <w:rPr>
                <w:rFonts w:hint="eastAsia" w:ascii="宋体" w:hAnsi="宋体" w:eastAsia="宋体" w:cs="宋体"/>
                <w:b w:val="0"/>
                <w:bCs w:val="0"/>
              </w:rPr>
            </w:pPr>
            <w:r>
              <w:rPr>
                <w:rFonts w:hint="eastAsia" w:ascii="宋体" w:hAnsi="宋体" w:eastAsia="宋体" w:cs="宋体"/>
                <w:b w:val="0"/>
                <w:bCs w:val="0"/>
              </w:rPr>
              <w:t>急救</w:t>
            </w:r>
          </w:p>
        </w:tc>
        <w:tc>
          <w:tcPr>
            <w:tcW w:w="7985" w:type="dxa"/>
            <w:gridSpan w:val="5"/>
            <w:vAlign w:val="center"/>
          </w:tcPr>
          <w:p w14:paraId="62235F1A">
            <w:pPr>
              <w:rPr>
                <w:rFonts w:hint="eastAsia" w:ascii="宋体" w:hAnsi="宋体" w:eastAsia="宋体" w:cs="宋体"/>
              </w:rPr>
            </w:pPr>
            <w:r>
              <w:rPr>
                <w:rFonts w:hint="eastAsia" w:ascii="宋体" w:hAnsi="宋体" w:eastAsia="宋体" w:cs="宋体"/>
              </w:rPr>
              <w:t>吸入：迅速脱离污染区，就医。防治吸入性肺炎。</w:t>
            </w:r>
          </w:p>
          <w:p w14:paraId="6C385F84">
            <w:pPr>
              <w:rPr>
                <w:rFonts w:hint="eastAsia" w:ascii="宋体" w:hAnsi="宋体" w:eastAsia="宋体" w:cs="宋体"/>
              </w:rPr>
            </w:pPr>
            <w:r>
              <w:rPr>
                <w:rFonts w:hint="eastAsia" w:ascii="宋体" w:hAnsi="宋体" w:eastAsia="宋体" w:cs="宋体"/>
              </w:rPr>
              <w:t>食入：误服者饮牛奶或植物油，洗胃或灌肠，就医。</w:t>
            </w:r>
          </w:p>
          <w:p w14:paraId="773D79DF">
            <w:pPr>
              <w:rPr>
                <w:rFonts w:hint="eastAsia" w:ascii="宋体" w:hAnsi="宋体" w:eastAsia="宋体" w:cs="宋体"/>
              </w:rPr>
            </w:pPr>
            <w:r>
              <w:rPr>
                <w:rFonts w:hint="eastAsia" w:ascii="宋体" w:hAnsi="宋体" w:eastAsia="宋体" w:cs="宋体"/>
              </w:rPr>
              <w:t>眼睛接触：立即提起眼睑，用流动清水或生理盐水冲洗至少15分钟，就医。</w:t>
            </w:r>
          </w:p>
          <w:p w14:paraId="758BDB9B">
            <w:pPr>
              <w:rPr>
                <w:rFonts w:hint="eastAsia" w:ascii="宋体" w:hAnsi="宋体" w:eastAsia="宋体" w:cs="宋体"/>
              </w:rPr>
            </w:pPr>
            <w:r>
              <w:rPr>
                <w:rFonts w:hint="eastAsia" w:ascii="宋体" w:hAnsi="宋体" w:eastAsia="宋体" w:cs="宋体"/>
              </w:rPr>
              <w:t>皮肤接触：脱去污染的衣着，用肥皂和大量清水清洗污染皮肤。</w:t>
            </w:r>
          </w:p>
          <w:p w14:paraId="03E37E4E">
            <w:pPr>
              <w:rPr>
                <w:rFonts w:hint="eastAsia" w:ascii="宋体" w:hAnsi="宋体" w:eastAsia="宋体" w:cs="宋体"/>
              </w:rPr>
            </w:pPr>
            <w:r>
              <w:rPr>
                <w:rFonts w:hint="eastAsia" w:ascii="宋体" w:hAnsi="宋体" w:eastAsia="宋体" w:cs="宋体"/>
              </w:rPr>
              <w:t>生产过程密闭，注意通风。高浓度接触时，戴防毒面具，工作场所禁止吸烟必要时戴防护眼镜，穿相应的工作服，戴防护手套。</w:t>
            </w:r>
          </w:p>
        </w:tc>
      </w:tr>
      <w:tr w14:paraId="10B89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6" w:hRule="atLeast"/>
        </w:trPr>
        <w:tc>
          <w:tcPr>
            <w:tcW w:w="1067" w:type="dxa"/>
            <w:vAlign w:val="center"/>
          </w:tcPr>
          <w:p w14:paraId="0B803EF4">
            <w:pPr>
              <w:spacing w:line="280" w:lineRule="exact"/>
              <w:jc w:val="center"/>
              <w:rPr>
                <w:rFonts w:hint="eastAsia" w:ascii="宋体" w:hAnsi="宋体" w:eastAsia="宋体" w:cs="宋体"/>
                <w:b w:val="0"/>
                <w:bCs w:val="0"/>
              </w:rPr>
            </w:pPr>
            <w:r>
              <w:rPr>
                <w:rFonts w:hint="eastAsia" w:ascii="宋体" w:hAnsi="宋体" w:eastAsia="宋体" w:cs="宋体"/>
                <w:b w:val="0"/>
                <w:bCs w:val="0"/>
              </w:rPr>
              <w:t>泄漏</w:t>
            </w:r>
          </w:p>
          <w:p w14:paraId="2AE2787B">
            <w:pPr>
              <w:spacing w:line="280" w:lineRule="exact"/>
              <w:jc w:val="center"/>
              <w:rPr>
                <w:rFonts w:hint="eastAsia" w:ascii="宋体" w:hAnsi="宋体" w:eastAsia="宋体" w:cs="宋体"/>
                <w:b w:val="0"/>
                <w:bCs w:val="0"/>
              </w:rPr>
            </w:pPr>
            <w:r>
              <w:rPr>
                <w:rFonts w:hint="eastAsia" w:ascii="宋体" w:hAnsi="宋体" w:eastAsia="宋体" w:cs="宋体"/>
                <w:b w:val="0"/>
                <w:bCs w:val="0"/>
              </w:rPr>
              <w:t>处置</w:t>
            </w:r>
          </w:p>
        </w:tc>
        <w:tc>
          <w:tcPr>
            <w:tcW w:w="7985" w:type="dxa"/>
            <w:gridSpan w:val="5"/>
            <w:vAlign w:val="center"/>
          </w:tcPr>
          <w:p w14:paraId="2E9CE9B4">
            <w:pPr>
              <w:rPr>
                <w:rFonts w:hint="eastAsia" w:ascii="宋体" w:hAnsi="宋体" w:eastAsia="宋体" w:cs="宋体"/>
              </w:rPr>
            </w:pPr>
            <w:r>
              <w:rPr>
                <w:rFonts w:hint="eastAsia" w:ascii="宋体" w:hAnsi="宋体" w:eastAsia="宋体" w:cs="宋体"/>
              </w:rPr>
              <w:t>切断一切火源，迅速撤离污染区人员至上风处。使用防毒面具，穿防静电工作服。在确保安全的前提下堵漏。用砂土或其它不燃性吸附剂混合吸收，然后收集至废物处理。</w:t>
            </w:r>
          </w:p>
        </w:tc>
      </w:tr>
    </w:tbl>
    <w:p w14:paraId="1CFD0926">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val="en-US" w:eastAsia="zh-CN"/>
        </w:rPr>
      </w:pPr>
      <w:bookmarkStart w:id="127" w:name="_Toc1720"/>
      <w:bookmarkStart w:id="128" w:name="_Toc350517380"/>
      <w:bookmarkStart w:id="129" w:name="_Toc20252"/>
      <w:bookmarkStart w:id="130" w:name="_Toc6987"/>
      <w:r>
        <w:rPr>
          <w:rFonts w:hint="eastAsia" w:ascii="楷体" w:hAnsi="楷体" w:eastAsia="楷体" w:cs="楷体"/>
          <w:sz w:val="32"/>
          <w:szCs w:val="32"/>
          <w:lang w:val="en-US" w:eastAsia="zh-CN"/>
        </w:rPr>
        <w:t>3.2危险化学品及危险工艺辨识</w:t>
      </w:r>
      <w:bookmarkEnd w:id="127"/>
    </w:p>
    <w:p w14:paraId="785CDBB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1、剧毒化学品</w:t>
      </w:r>
    </w:p>
    <w:p w14:paraId="3AB9AC4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根据《危险化学品目录》（2022年版）的规定，本项目不涉及剧毒化学品。</w:t>
      </w:r>
    </w:p>
    <w:p w14:paraId="74418D3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2、高毒物品</w:t>
      </w:r>
    </w:p>
    <w:p w14:paraId="45F11E6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根据《高毒物品目录》（卫法监发[2003]142号）判定，本项目不涉及高毒物品。</w:t>
      </w:r>
    </w:p>
    <w:p w14:paraId="006DDB3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3、易制毒化学品辨识</w:t>
      </w:r>
    </w:p>
    <w:p w14:paraId="18F1FD6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根据《易制毒化学品管理条例》的规定，本项目不涉及易制毒化学品。</w:t>
      </w:r>
    </w:p>
    <w:p w14:paraId="2779A9D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4、易制爆危险化学品辨识</w:t>
      </w:r>
    </w:p>
    <w:p w14:paraId="55DCC7E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根据《易制爆危险化学品名录》（2017 年版）的规定，本项目不涉及</w:t>
      </w:r>
    </w:p>
    <w:p w14:paraId="5D0C946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易制爆危险化学品。</w:t>
      </w:r>
    </w:p>
    <w:p w14:paraId="02ACFD0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5、监控化学品辨识</w:t>
      </w:r>
    </w:p>
    <w:p w14:paraId="03483BC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根据《各类监控化学品名录》工信部【2020】第 52 号的规定，本项目中不涉及监控化学品。</w:t>
      </w:r>
    </w:p>
    <w:p w14:paraId="665FD53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6、特别管控危险化学品</w:t>
      </w:r>
    </w:p>
    <w:p w14:paraId="2A80DF6C">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根据《特别管控危险化学品目录》应急管理部等四部门公告[2020]第3号的规定，该项目涉及的汽油属于特别管控危险化学品。</w:t>
      </w:r>
    </w:p>
    <w:p w14:paraId="0D693F7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7、重点监管的危险化学品辨识</w:t>
      </w:r>
    </w:p>
    <w:p w14:paraId="6ECF718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根据《重点监管危险化学品名录》（2013 年版）的规定，该加油站汽</w:t>
      </w:r>
    </w:p>
    <w:p w14:paraId="4AD4F61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油属于重点监管的危险化学品，因此作业人员操作人员必须经过专门培训，严格遵守操作规程，熟练掌握操作技能，具备应急处置知识。</w:t>
      </w:r>
    </w:p>
    <w:p w14:paraId="7D73BF3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该站针对汽油应采取的安全措施和应急处置措施有：</w:t>
      </w:r>
    </w:p>
    <w:p w14:paraId="3103EC3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b w:val="0"/>
          <w:bCs w:val="0"/>
          <w:kern w:val="2"/>
          <w:sz w:val="28"/>
          <w:szCs w:val="28"/>
          <w:lang w:val="en-US" w:eastAsia="zh-CN" w:bidi="ar-SA"/>
        </w:rPr>
        <w:t>（1）针对汽油为高度易燃液体；预案中明确不得使用直流水扑救，配</w:t>
      </w:r>
      <w:r>
        <w:rPr>
          <w:rFonts w:hint="eastAsia" w:ascii="宋体" w:hAnsi="宋体" w:eastAsia="宋体" w:cs="宋体"/>
          <w:sz w:val="28"/>
          <w:szCs w:val="28"/>
          <w:lang w:val="en-US" w:eastAsia="zh-CN"/>
        </w:rPr>
        <w:t>备了足够数量的灭火毯、消防沙池、手提式和推车式干粉灭火器及泄漏应急处理设备。</w:t>
      </w:r>
    </w:p>
    <w:p w14:paraId="1FF7377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（2）操作人员经过专门培训上岗，严格遵守操作规程，熟练掌握操作技能，具备应急处置知识。</w:t>
      </w:r>
    </w:p>
    <w:p w14:paraId="7803A466">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加油、卸油密闭操作，防止泄漏，工作场所全面通风。远离火种、热源，工作场所严禁吸烟。操作人员穿防静电工作服，戴耐油橡胶手套。</w:t>
      </w:r>
    </w:p>
    <w:p w14:paraId="1A5A754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加油站设紧急切断系统、高液位报警系统、防渗漏措施。</w:t>
      </w:r>
    </w:p>
    <w:p w14:paraId="42BE17F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油品储存时避免与氧化剂接触。</w:t>
      </w:r>
    </w:p>
    <w:p w14:paraId="7337934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加油区、储存区域设置安全警示标志。加油时控制流速，卸车采用自流式卸车，且有接地装置，防止静电积聚。</w:t>
      </w:r>
    </w:p>
    <w:p w14:paraId="37CB0BC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油罐附近严禁烟火。禁止将汽油与其他易燃物放在一起。存汽油地点附近严禁检修车辆。汽油油罐和贮存汽油区的上空，无电线通过。加油和卸油区等操作场所的通风，使油蒸气容易逸散。作业场所采用防爆型照明、通风设施。</w:t>
      </w:r>
    </w:p>
    <w:p w14:paraId="4D5F2B5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输送汽油的管道未靠近热源敷设；在已敷设的汽油管道下面，未修建与汽油管道无关的建筑物和堆放易燃物品；汽油管道外壁颜色、标志执行《工业管道的基本识别色、识别符号和安全标识》（GB7231）的规定。输油管道地下敷设，设警示标志。</w:t>
      </w:r>
    </w:p>
    <w:p w14:paraId="303762B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8、危险化工工艺</w:t>
      </w:r>
    </w:p>
    <w:p w14:paraId="38DB76E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根据《重点监管的危险化工工艺目录》（2013年完整版），本项目不涉及危险工艺</w:t>
      </w:r>
    </w:p>
    <w:p w14:paraId="5EA82AFD">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rPr>
      </w:pPr>
      <w:bookmarkStart w:id="131" w:name="_Toc20417"/>
      <w:r>
        <w:rPr>
          <w:rFonts w:hint="eastAsia" w:ascii="楷体" w:hAnsi="楷体" w:eastAsia="楷体" w:cs="楷体"/>
          <w:sz w:val="32"/>
          <w:szCs w:val="32"/>
        </w:rPr>
        <w:t>3.</w:t>
      </w:r>
      <w:r>
        <w:rPr>
          <w:rFonts w:hint="eastAsia" w:ascii="楷体" w:hAnsi="楷体" w:eastAsia="楷体" w:cs="楷体"/>
          <w:sz w:val="32"/>
          <w:szCs w:val="32"/>
          <w:lang w:val="en-US" w:eastAsia="zh-CN"/>
        </w:rPr>
        <w:t>3</w:t>
      </w:r>
      <w:r>
        <w:rPr>
          <w:rFonts w:hint="eastAsia" w:ascii="楷体" w:hAnsi="楷体" w:eastAsia="楷体" w:cs="楷体"/>
          <w:sz w:val="32"/>
          <w:szCs w:val="32"/>
        </w:rPr>
        <w:t>重大危险源辨识</w:t>
      </w:r>
      <w:bookmarkEnd w:id="128"/>
      <w:bookmarkEnd w:id="129"/>
      <w:bookmarkEnd w:id="130"/>
      <w:bookmarkEnd w:id="131"/>
    </w:p>
    <w:p w14:paraId="23625530">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132" w:name="_Toc2106"/>
      <w:bookmarkStart w:id="133" w:name="_Toc5174"/>
      <w:bookmarkStart w:id="134" w:name="_Toc309574011"/>
      <w:bookmarkStart w:id="135" w:name="_Toc7144"/>
      <w:r>
        <w:rPr>
          <w:rFonts w:hint="eastAsia" w:ascii="楷体" w:hAnsi="楷体" w:eastAsia="楷体" w:cs="楷体"/>
          <w:sz w:val="32"/>
          <w:szCs w:val="32"/>
        </w:rPr>
        <w:t>3.</w:t>
      </w:r>
      <w:r>
        <w:rPr>
          <w:rFonts w:hint="eastAsia" w:ascii="楷体" w:hAnsi="楷体" w:eastAsia="楷体" w:cs="楷体"/>
          <w:sz w:val="32"/>
          <w:szCs w:val="32"/>
          <w:lang w:val="en-US" w:eastAsia="zh-CN"/>
        </w:rPr>
        <w:t>3</w:t>
      </w:r>
      <w:r>
        <w:rPr>
          <w:rFonts w:hint="eastAsia" w:ascii="楷体" w:hAnsi="楷体" w:eastAsia="楷体" w:cs="楷体"/>
          <w:sz w:val="32"/>
          <w:szCs w:val="32"/>
        </w:rPr>
        <w:t>.1重大危险源辨识依据</w:t>
      </w:r>
      <w:bookmarkEnd w:id="132"/>
      <w:bookmarkEnd w:id="133"/>
      <w:bookmarkEnd w:id="134"/>
      <w:bookmarkEnd w:id="135"/>
    </w:p>
    <w:p w14:paraId="5D51E88D">
      <w:pPr>
        <w:spacing w:line="580" w:lineRule="exact"/>
        <w:ind w:firstLine="560" w:firstLineChars="200"/>
        <w:jc w:val="left"/>
        <w:rPr>
          <w:rFonts w:ascii="Times New Roman" w:hAnsi="Times New Roman" w:cs="Times New Roman"/>
          <w:sz w:val="28"/>
          <w:szCs w:val="28"/>
        </w:rPr>
      </w:pPr>
      <w:r>
        <w:rPr>
          <w:rFonts w:hint="eastAsia" w:ascii="Times New Roman" w:hAnsi="Times New Roman" w:cs="宋体"/>
          <w:sz w:val="28"/>
          <w:szCs w:val="28"/>
        </w:rPr>
        <w:t>《危险化学品重大危险源辨识》</w:t>
      </w:r>
      <w:r>
        <w:rPr>
          <w:rFonts w:hint="eastAsia" w:ascii="宋体" w:hAnsi="宋体" w:eastAsia="宋体" w:cs="宋体"/>
          <w:b w:val="0"/>
          <w:bCs w:val="0"/>
          <w:sz w:val="28"/>
          <w:szCs w:val="28"/>
        </w:rPr>
        <w:t>（GB18218-2018）</w:t>
      </w:r>
      <w:r>
        <w:rPr>
          <w:rFonts w:hint="eastAsia" w:ascii="Times New Roman" w:hAnsi="Times New Roman" w:cs="宋体"/>
          <w:sz w:val="28"/>
          <w:szCs w:val="28"/>
        </w:rPr>
        <w:t>（简称：标准，下同）中根据物质的不同特性，将危险物质分为爆炸物、易燃气体、气溶胶、氧化性气体、易燃液体、易燃固体、自反应物质和混合物、自燃液体、自燃固体、自热物质和混合物、遇水放出易燃气体的物质和混合物、氧化性液体、氧化性固体、有机过氧化物、急性毒性十五大类，标准中给出了部分物质的名称及其临界量，对未列出具体临界量物质规定了相应临界量确定办法。</w:t>
      </w:r>
    </w:p>
    <w:p w14:paraId="2299D4FB">
      <w:pPr>
        <w:spacing w:line="580" w:lineRule="exact"/>
        <w:ind w:firstLine="560" w:firstLineChars="200"/>
        <w:jc w:val="left"/>
        <w:rPr>
          <w:rFonts w:ascii="Times New Roman" w:hAnsi="Times New Roman" w:cs="Times New Roman"/>
          <w:sz w:val="28"/>
          <w:szCs w:val="28"/>
        </w:rPr>
      </w:pPr>
      <w:r>
        <w:rPr>
          <w:rFonts w:hint="eastAsia" w:ascii="Times New Roman" w:hAnsi="Times New Roman" w:cs="宋体"/>
          <w:sz w:val="28"/>
          <w:szCs w:val="28"/>
        </w:rPr>
        <w:t>危险化学品：具有毒害、腐蚀、爆炸、燃烧、助燃等性质，对人体、设施、环境具有危害的剧毒化学品和其他化学品。</w:t>
      </w:r>
    </w:p>
    <w:p w14:paraId="08A7E8D3">
      <w:pPr>
        <w:spacing w:line="600" w:lineRule="exact"/>
        <w:ind w:firstLine="560" w:firstLineChars="200"/>
        <w:jc w:val="left"/>
        <w:rPr>
          <w:rFonts w:ascii="Times New Roman" w:hAnsi="Times New Roman" w:cs="Times New Roman"/>
          <w:sz w:val="28"/>
          <w:szCs w:val="28"/>
        </w:rPr>
      </w:pPr>
      <w:r>
        <w:rPr>
          <w:rFonts w:hint="eastAsia" w:ascii="Times New Roman" w:hAnsi="Times New Roman" w:cs="宋体"/>
          <w:sz w:val="28"/>
          <w:szCs w:val="28"/>
        </w:rPr>
        <w:t>单元：涉及危险化学品的生产、储存装置、设施或场所，分为生产单元和储存单元。</w:t>
      </w:r>
    </w:p>
    <w:p w14:paraId="1304B9DD">
      <w:pPr>
        <w:spacing w:line="600" w:lineRule="exact"/>
        <w:ind w:firstLine="560" w:firstLineChars="200"/>
        <w:jc w:val="left"/>
        <w:rPr>
          <w:rFonts w:ascii="Times New Roman" w:hAnsi="Times New Roman" w:cs="Times New Roman"/>
          <w:sz w:val="28"/>
          <w:szCs w:val="28"/>
        </w:rPr>
      </w:pPr>
      <w:r>
        <w:rPr>
          <w:rFonts w:hint="eastAsia" w:ascii="Times New Roman" w:hAnsi="Times New Roman" w:cs="宋体"/>
          <w:sz w:val="28"/>
          <w:szCs w:val="28"/>
        </w:rPr>
        <w:t>生产单元：危险化学品的生产、加工及使用等的装置，当装置及设施之间有切断阀时，以切断阀作为分隔界限划分为独立的单元。</w:t>
      </w:r>
    </w:p>
    <w:p w14:paraId="7582990C">
      <w:pPr>
        <w:spacing w:line="600" w:lineRule="exact"/>
        <w:ind w:firstLine="560" w:firstLineChars="200"/>
        <w:jc w:val="left"/>
        <w:rPr>
          <w:rFonts w:ascii="Times New Roman" w:hAnsi="Times New Roman" w:cs="Times New Roman"/>
          <w:sz w:val="28"/>
          <w:szCs w:val="28"/>
        </w:rPr>
      </w:pPr>
      <w:r>
        <w:rPr>
          <w:rFonts w:hint="eastAsia" w:ascii="Times New Roman" w:hAnsi="Times New Roman" w:cs="宋体"/>
          <w:sz w:val="28"/>
          <w:szCs w:val="28"/>
        </w:rPr>
        <w:t>储存单元：用于储存危险化学品的储罐或仓库组成的相对独立的区域，储罐区以罐区防火堤为界限划分为独立的单元，仓库以独立库房（独立建筑物）为界限划分为独立的单元。</w:t>
      </w:r>
    </w:p>
    <w:p w14:paraId="5C20DCD7">
      <w:pPr>
        <w:spacing w:line="600" w:lineRule="exact"/>
        <w:ind w:firstLine="560" w:firstLineChars="200"/>
        <w:jc w:val="left"/>
        <w:rPr>
          <w:rFonts w:ascii="Times New Roman" w:hAnsi="Times New Roman" w:cs="Times New Roman"/>
          <w:sz w:val="28"/>
          <w:szCs w:val="28"/>
        </w:rPr>
      </w:pPr>
      <w:r>
        <w:rPr>
          <w:rFonts w:hint="eastAsia" w:ascii="Times New Roman" w:hAnsi="Times New Roman" w:cs="宋体"/>
          <w:sz w:val="28"/>
          <w:szCs w:val="28"/>
        </w:rPr>
        <w:t>临界量：某种或某类危险化学品构成重大危险源所规定的最小数量。</w:t>
      </w:r>
    </w:p>
    <w:p w14:paraId="45534DB7">
      <w:pPr>
        <w:pStyle w:val="37"/>
        <w:spacing w:line="600" w:lineRule="exact"/>
        <w:ind w:firstLine="560" w:firstLineChars="200"/>
        <w:rPr>
          <w:sz w:val="28"/>
          <w:szCs w:val="28"/>
        </w:rPr>
      </w:pPr>
      <w:r>
        <w:rPr>
          <w:rFonts w:hint="eastAsia" w:cs="宋体"/>
          <w:sz w:val="28"/>
          <w:szCs w:val="28"/>
        </w:rPr>
        <w:t>危险化学品重大危险源：长期或临时地生产、储存、使用和经营危险化学品，且危险化学品的数量等于或超过临界量的单元。</w:t>
      </w:r>
    </w:p>
    <w:p w14:paraId="7CC3114B">
      <w:pPr>
        <w:pStyle w:val="37"/>
        <w:spacing w:line="600" w:lineRule="exact"/>
        <w:ind w:firstLine="560" w:firstLineChars="200"/>
        <w:rPr>
          <w:sz w:val="28"/>
          <w:szCs w:val="28"/>
        </w:rPr>
      </w:pPr>
      <w:r>
        <w:rPr>
          <w:rFonts w:hint="eastAsia" w:cs="宋体"/>
          <w:sz w:val="28"/>
          <w:szCs w:val="28"/>
        </w:rPr>
        <w:t>混合物：</w:t>
      </w:r>
      <w:r>
        <w:rPr>
          <w:rFonts w:hint="eastAsia" w:cs="宋体"/>
          <w:sz w:val="28"/>
          <w:szCs w:val="28"/>
          <w:lang w:val="zh-CN"/>
        </w:rPr>
        <w:t>由两种或者多种物质组成的混合体或者溶液。</w:t>
      </w:r>
    </w:p>
    <w:p w14:paraId="3E088B61">
      <w:pPr>
        <w:autoSpaceDE w:val="0"/>
        <w:autoSpaceDN w:val="0"/>
        <w:adjustRightInd w:val="0"/>
        <w:spacing w:line="600" w:lineRule="exact"/>
        <w:ind w:firstLine="573"/>
        <w:rPr>
          <w:rFonts w:ascii="Times New Roman" w:hAnsi="Times New Roman" w:cs="Times New Roman"/>
          <w:sz w:val="28"/>
          <w:szCs w:val="28"/>
          <w:lang w:val="zh-CN"/>
        </w:rPr>
      </w:pPr>
      <w:r>
        <w:rPr>
          <w:rFonts w:hint="eastAsia" w:ascii="Times New Roman" w:hAnsi="Times New Roman" w:cs="宋体"/>
          <w:sz w:val="28"/>
          <w:szCs w:val="28"/>
          <w:lang w:val="zh-CN"/>
        </w:rPr>
        <w:t>生产单元、储存单元内存在的危险化学品为多品种时，则按下式计算，若满足下面公式，则为重大危险源：</w:t>
      </w:r>
    </w:p>
    <w:p w14:paraId="37EA8FBD">
      <w:pPr>
        <w:autoSpaceDE w:val="0"/>
        <w:autoSpaceDN w:val="0"/>
        <w:adjustRightInd w:val="0"/>
        <w:spacing w:line="600" w:lineRule="exact"/>
        <w:ind w:firstLine="573"/>
        <w:rPr>
          <w:rFonts w:hint="eastAsia" w:ascii="宋体" w:hAnsi="宋体" w:eastAsia="宋体" w:cs="宋体"/>
          <w:sz w:val="28"/>
          <w:szCs w:val="28"/>
        </w:rPr>
      </w:pPr>
      <w:r>
        <w:rPr>
          <w:rFonts w:hint="eastAsia" w:ascii="宋体" w:hAnsi="宋体" w:eastAsia="宋体" w:cs="宋体"/>
          <w:sz w:val="28"/>
          <w:szCs w:val="28"/>
        </w:rPr>
        <w:t>S＝q</w:t>
      </w:r>
      <w:r>
        <w:rPr>
          <w:rFonts w:hint="eastAsia" w:ascii="宋体" w:hAnsi="宋体" w:eastAsia="宋体" w:cs="宋体"/>
          <w:sz w:val="28"/>
          <w:szCs w:val="28"/>
          <w:vertAlign w:val="subscript"/>
        </w:rPr>
        <w:t>1</w:t>
      </w:r>
      <w:r>
        <w:rPr>
          <w:rFonts w:hint="eastAsia" w:ascii="宋体" w:hAnsi="宋体" w:eastAsia="宋体" w:cs="宋体"/>
          <w:sz w:val="28"/>
          <w:szCs w:val="28"/>
        </w:rPr>
        <w:t>/Q</w:t>
      </w:r>
      <w:r>
        <w:rPr>
          <w:rFonts w:hint="eastAsia" w:ascii="宋体" w:hAnsi="宋体" w:eastAsia="宋体" w:cs="宋体"/>
          <w:sz w:val="28"/>
          <w:szCs w:val="28"/>
          <w:vertAlign w:val="subscript"/>
        </w:rPr>
        <w:t>1</w:t>
      </w:r>
      <w:r>
        <w:rPr>
          <w:rFonts w:hint="eastAsia" w:ascii="宋体" w:hAnsi="宋体" w:eastAsia="宋体" w:cs="宋体"/>
          <w:sz w:val="28"/>
          <w:szCs w:val="28"/>
        </w:rPr>
        <w:t>＋q</w:t>
      </w:r>
      <w:r>
        <w:rPr>
          <w:rFonts w:hint="eastAsia" w:ascii="宋体" w:hAnsi="宋体" w:eastAsia="宋体" w:cs="宋体"/>
          <w:sz w:val="28"/>
          <w:szCs w:val="28"/>
          <w:vertAlign w:val="subscript"/>
        </w:rPr>
        <w:t>2</w:t>
      </w:r>
      <w:r>
        <w:rPr>
          <w:rFonts w:hint="eastAsia" w:ascii="宋体" w:hAnsi="宋体" w:eastAsia="宋体" w:cs="宋体"/>
          <w:sz w:val="28"/>
          <w:szCs w:val="28"/>
        </w:rPr>
        <w:t>/Q</w:t>
      </w:r>
      <w:r>
        <w:rPr>
          <w:rFonts w:hint="eastAsia" w:ascii="宋体" w:hAnsi="宋体" w:eastAsia="宋体" w:cs="宋体"/>
          <w:sz w:val="28"/>
          <w:szCs w:val="28"/>
          <w:vertAlign w:val="subscript"/>
        </w:rPr>
        <w:t>2</w:t>
      </w:r>
      <w:r>
        <w:rPr>
          <w:rFonts w:hint="eastAsia" w:ascii="宋体" w:hAnsi="宋体" w:eastAsia="宋体" w:cs="宋体"/>
          <w:sz w:val="28"/>
          <w:szCs w:val="28"/>
        </w:rPr>
        <w:t>＋</w:t>
      </w:r>
      <w:r>
        <w:rPr>
          <w:rFonts w:hint="eastAsia" w:ascii="宋体" w:hAnsi="宋体" w:eastAsia="宋体" w:cs="宋体"/>
          <w:sz w:val="28"/>
          <w:szCs w:val="28"/>
          <w:lang w:val="en-US" w:eastAsia="zh-CN"/>
        </w:rPr>
        <w:t>q</w:t>
      </w:r>
      <w:r>
        <w:rPr>
          <w:rFonts w:hint="eastAsia" w:ascii="宋体" w:hAnsi="宋体" w:eastAsia="宋体" w:cs="宋体"/>
          <w:sz w:val="28"/>
          <w:szCs w:val="28"/>
          <w:vertAlign w:val="subscript"/>
        </w:rPr>
        <w:t>n</w:t>
      </w:r>
      <w:r>
        <w:rPr>
          <w:rFonts w:hint="eastAsia" w:ascii="宋体" w:hAnsi="宋体" w:eastAsia="宋体" w:cs="宋体"/>
          <w:sz w:val="28"/>
          <w:szCs w:val="28"/>
        </w:rPr>
        <w:t>/Q</w:t>
      </w:r>
      <w:r>
        <w:rPr>
          <w:rFonts w:hint="eastAsia" w:ascii="宋体" w:hAnsi="宋体" w:eastAsia="宋体" w:cs="宋体"/>
          <w:sz w:val="28"/>
          <w:szCs w:val="28"/>
          <w:vertAlign w:val="subscript"/>
        </w:rPr>
        <w:t>n</w:t>
      </w:r>
      <w:r>
        <w:rPr>
          <w:rFonts w:hint="eastAsia" w:ascii="宋体" w:hAnsi="宋体" w:eastAsia="宋体" w:cs="宋体"/>
          <w:sz w:val="28"/>
          <w:szCs w:val="28"/>
        </w:rPr>
        <w:t>≥1</w:t>
      </w:r>
    </w:p>
    <w:p w14:paraId="1997E2F3">
      <w:pPr>
        <w:autoSpaceDE w:val="0"/>
        <w:autoSpaceDN w:val="0"/>
        <w:adjustRightInd w:val="0"/>
        <w:spacing w:line="600" w:lineRule="exact"/>
        <w:ind w:left="1" w:firstLine="538"/>
        <w:rPr>
          <w:rFonts w:hint="eastAsia" w:ascii="宋体" w:hAnsi="宋体" w:eastAsia="宋体" w:cs="宋体"/>
          <w:sz w:val="28"/>
          <w:szCs w:val="28"/>
          <w:lang w:val="zh-CN"/>
        </w:rPr>
      </w:pPr>
      <w:r>
        <w:rPr>
          <w:rFonts w:hint="eastAsia" w:ascii="宋体" w:hAnsi="宋体" w:eastAsia="宋体" w:cs="宋体"/>
          <w:sz w:val="28"/>
          <w:szCs w:val="28"/>
          <w:lang w:val="zh-CN"/>
        </w:rPr>
        <w:t>式中：S－辨识指标；</w:t>
      </w:r>
    </w:p>
    <w:p w14:paraId="263F6D0F">
      <w:pPr>
        <w:keepNext w:val="0"/>
        <w:keepLines w:val="0"/>
        <w:pageBreakBefore w:val="0"/>
        <w:widowControl w:val="0"/>
        <w:kinsoku/>
        <w:wordWrap/>
        <w:overflowPunct/>
        <w:topLinePunct w:val="0"/>
        <w:autoSpaceDE/>
        <w:autoSpaceDN/>
        <w:bidi w:val="0"/>
        <w:adjustRightInd/>
        <w:snapToGrid/>
        <w:spacing w:line="600" w:lineRule="exact"/>
        <w:ind w:left="1117" w:leftChars="532" w:firstLine="0" w:firstLineChars="0"/>
        <w:textAlignment w:val="auto"/>
        <w:rPr>
          <w:rFonts w:hint="eastAsia" w:ascii="宋体" w:hAnsi="宋体" w:eastAsia="宋体" w:cs="宋体"/>
          <w:sz w:val="28"/>
          <w:szCs w:val="28"/>
          <w:lang w:eastAsia="zh-CN"/>
        </w:rPr>
      </w:pPr>
      <w:r>
        <w:rPr>
          <w:rFonts w:hint="eastAsia" w:ascii="宋体" w:hAnsi="宋体" w:eastAsia="宋体" w:cs="宋体"/>
          <w:sz w:val="28"/>
          <w:szCs w:val="28"/>
        </w:rPr>
        <w:t>q1，q2</w:t>
      </w:r>
      <w:r>
        <w:rPr>
          <w:rFonts w:hint="eastAsia" w:ascii="宋体" w:hAnsi="宋体" w:eastAsia="宋体" w:cs="宋体"/>
          <w:sz w:val="28"/>
          <w:szCs w:val="28"/>
          <w:lang w:val="en-US" w:eastAsia="zh-CN"/>
        </w:rPr>
        <w:t>.....</w:t>
      </w:r>
      <w:r>
        <w:rPr>
          <w:rFonts w:hint="eastAsia" w:ascii="宋体" w:hAnsi="宋体" w:eastAsia="宋体" w:cs="宋体"/>
          <w:sz w:val="28"/>
          <w:szCs w:val="28"/>
        </w:rPr>
        <w:t>qn—每种危险化学品的实际存在量。</w:t>
      </w:r>
    </w:p>
    <w:p w14:paraId="37B11BB4">
      <w:pPr>
        <w:keepNext w:val="0"/>
        <w:keepLines w:val="0"/>
        <w:pageBreakBefore w:val="0"/>
        <w:widowControl w:val="0"/>
        <w:kinsoku/>
        <w:wordWrap/>
        <w:overflowPunct/>
        <w:topLinePunct w:val="0"/>
        <w:autoSpaceDE/>
        <w:autoSpaceDN/>
        <w:bidi w:val="0"/>
        <w:adjustRightInd/>
        <w:snapToGrid/>
        <w:spacing w:line="600" w:lineRule="exact"/>
        <w:ind w:left="1117" w:leftChars="532" w:firstLine="0" w:firstLineChars="0"/>
        <w:textAlignment w:val="auto"/>
        <w:rPr>
          <w:rFonts w:hint="eastAsia" w:ascii="宋体" w:hAnsi="宋体" w:eastAsia="宋体" w:cs="宋体"/>
          <w:sz w:val="28"/>
          <w:szCs w:val="28"/>
        </w:rPr>
      </w:pPr>
      <w:r>
        <w:rPr>
          <w:rFonts w:hint="eastAsia" w:ascii="宋体" w:hAnsi="宋体" w:eastAsia="宋体" w:cs="宋体"/>
          <w:sz w:val="28"/>
          <w:szCs w:val="28"/>
        </w:rPr>
        <w:t>Q1，Q2</w:t>
      </w:r>
      <w:r>
        <w:rPr>
          <w:rFonts w:hint="eastAsia" w:ascii="宋体" w:hAnsi="宋体" w:eastAsia="宋体" w:cs="宋体"/>
          <w:sz w:val="28"/>
          <w:szCs w:val="28"/>
          <w:lang w:val="en-US" w:eastAsia="zh-CN"/>
        </w:rPr>
        <w:t>.....Q</w:t>
      </w:r>
      <w:r>
        <w:rPr>
          <w:rFonts w:hint="eastAsia" w:ascii="宋体" w:hAnsi="宋体" w:eastAsia="宋体" w:cs="宋体"/>
          <w:sz w:val="28"/>
          <w:szCs w:val="28"/>
        </w:rPr>
        <w:t>n—与各危险化学品相对应的临界量。</w:t>
      </w:r>
    </w:p>
    <w:p w14:paraId="7C95EB14">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136" w:name="_Toc19145"/>
      <w:bookmarkStart w:id="137" w:name="_Toc26118"/>
      <w:bookmarkStart w:id="138" w:name="_Toc19546"/>
      <w:r>
        <w:rPr>
          <w:rFonts w:hint="eastAsia" w:ascii="楷体" w:hAnsi="楷体" w:eastAsia="楷体" w:cs="楷体"/>
          <w:sz w:val="32"/>
          <w:szCs w:val="32"/>
        </w:rPr>
        <w:t>3.</w:t>
      </w:r>
      <w:r>
        <w:rPr>
          <w:rFonts w:hint="eastAsia" w:ascii="楷体" w:hAnsi="楷体" w:eastAsia="楷体" w:cs="楷体"/>
          <w:sz w:val="32"/>
          <w:szCs w:val="32"/>
          <w:lang w:val="en-US" w:eastAsia="zh-CN"/>
        </w:rPr>
        <w:t>3</w:t>
      </w:r>
      <w:r>
        <w:rPr>
          <w:rFonts w:hint="eastAsia" w:ascii="楷体" w:hAnsi="楷体" w:eastAsia="楷体" w:cs="楷体"/>
          <w:sz w:val="32"/>
          <w:szCs w:val="32"/>
        </w:rPr>
        <w:t>.2</w:t>
      </w:r>
      <w:r>
        <w:rPr>
          <w:rFonts w:hint="eastAsia" w:ascii="楷体" w:hAnsi="楷体" w:eastAsia="楷体" w:cs="楷体"/>
          <w:sz w:val="32"/>
          <w:szCs w:val="32"/>
          <w:lang w:val="zh-CN"/>
        </w:rPr>
        <w:t>危险化学品</w:t>
      </w:r>
      <w:r>
        <w:rPr>
          <w:rFonts w:hint="eastAsia" w:ascii="楷体" w:hAnsi="楷体" w:eastAsia="楷体" w:cs="楷体"/>
          <w:sz w:val="32"/>
          <w:szCs w:val="32"/>
        </w:rPr>
        <w:t>重大危险源的辨识情况</w:t>
      </w:r>
      <w:bookmarkEnd w:id="136"/>
      <w:bookmarkEnd w:id="137"/>
      <w:bookmarkEnd w:id="138"/>
    </w:p>
    <w:p w14:paraId="37809D76">
      <w:pPr>
        <w:spacing w:line="600" w:lineRule="exact"/>
        <w:ind w:firstLine="560" w:firstLineChars="200"/>
        <w:rPr>
          <w:rFonts w:hint="eastAsia" w:ascii="宋体" w:hAnsi="宋体" w:eastAsia="宋体" w:cs="宋体"/>
          <w:sz w:val="28"/>
          <w:szCs w:val="28"/>
        </w:rPr>
      </w:pPr>
      <w:r>
        <w:rPr>
          <w:rFonts w:hint="eastAsia" w:ascii="Times New Roman" w:hAnsi="Times New Roman" w:cs="宋体"/>
          <w:sz w:val="28"/>
          <w:szCs w:val="28"/>
        </w:rPr>
        <w:t>根据《危险化学品重大危险源辨识》</w:t>
      </w:r>
      <w:r>
        <w:rPr>
          <w:rFonts w:hint="eastAsia" w:ascii="宋体" w:hAnsi="宋体" w:eastAsia="宋体" w:cs="宋体"/>
          <w:b w:val="0"/>
          <w:bCs w:val="0"/>
          <w:sz w:val="28"/>
          <w:szCs w:val="28"/>
        </w:rPr>
        <w:t>（GB18218-2018）</w:t>
      </w:r>
      <w:r>
        <w:rPr>
          <w:rFonts w:hint="eastAsia" w:ascii="Times New Roman" w:hAnsi="Times New Roman" w:cs="宋体"/>
          <w:sz w:val="28"/>
          <w:szCs w:val="28"/>
        </w:rPr>
        <w:t>的规定，本站的汽油（</w:t>
      </w:r>
      <w:r>
        <w:rPr>
          <w:rFonts w:hint="eastAsia" w:ascii="宋体" w:hAnsi="宋体" w:eastAsia="宋体" w:cs="宋体"/>
          <w:sz w:val="28"/>
          <w:szCs w:val="28"/>
        </w:rPr>
        <w:t>表1，第66项）、柴油（表2，易燃液体别3，W5.4）被列入危险化学品重大危险源规定的物质种类，其中汽油临界量为200t，柴油临界量为5000t。单元划分分为生产单元和储存单元，其中加油区为生产单元，油储罐区为储存单元。</w:t>
      </w:r>
    </w:p>
    <w:p w14:paraId="028AA636">
      <w:pPr>
        <w:tabs>
          <w:tab w:val="left" w:pos="5535"/>
        </w:tabs>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存在量</w:t>
      </w:r>
      <w:r>
        <w:rPr>
          <w:rFonts w:hint="eastAsia" w:ascii="宋体" w:hAnsi="宋体" w:eastAsia="宋体" w:cs="宋体"/>
          <w:color w:val="000000"/>
          <w:sz w:val="28"/>
          <w:szCs w:val="28"/>
        </w:rPr>
        <w:t>：（汽油密度取0.75g/ml，柴油密度取0.85g/ml）</w:t>
      </w:r>
    </w:p>
    <w:p w14:paraId="49B8DB4A">
      <w:pPr>
        <w:keepNext w:val="0"/>
        <w:keepLines w:val="0"/>
        <w:pageBreakBefore w:val="0"/>
        <w:widowControl w:val="0"/>
        <w:numPr>
          <w:ilvl w:val="0"/>
          <w:numId w:val="0"/>
        </w:numPr>
        <w:tabs>
          <w:tab w:val="left" w:pos="5535"/>
        </w:tabs>
        <w:kinsoku/>
        <w:wordWrap/>
        <w:overflowPunct/>
        <w:topLinePunct w:val="0"/>
        <w:autoSpaceDE/>
        <w:autoSpaceDN/>
        <w:bidi w:val="0"/>
        <w:adjustRightInd/>
        <w:snapToGrid/>
        <w:spacing w:line="540" w:lineRule="exact"/>
        <w:ind w:firstLine="560" w:firstLineChars="200"/>
        <w:textAlignment w:val="auto"/>
        <w:rPr>
          <w:rFonts w:hint="eastAsia" w:ascii="宋体" w:hAnsi="宋体" w:eastAsia="宋体" w:cs="宋体"/>
          <w:sz w:val="28"/>
          <w:szCs w:val="28"/>
        </w:rPr>
      </w:pPr>
      <w:r>
        <w:rPr>
          <w:rFonts w:hint="eastAsia" w:ascii="宋体" w:hAnsi="宋体" w:eastAsia="宋体" w:cs="宋体"/>
          <w:kern w:val="2"/>
          <w:sz w:val="28"/>
          <w:szCs w:val="28"/>
          <w:lang w:val="en-US" w:eastAsia="zh-CN" w:bidi="ar-SA"/>
        </w:rPr>
        <w:t>（1）加油区：加油机有汽油加油枪2把，柴油加油枪2把，加油机本身不储</w:t>
      </w:r>
      <w:r>
        <w:rPr>
          <w:rFonts w:hint="eastAsia" w:ascii="宋体" w:hAnsi="宋体" w:eastAsia="宋体" w:cs="宋体"/>
          <w:spacing w:val="-6"/>
          <w:sz w:val="28"/>
          <w:szCs w:val="28"/>
        </w:rPr>
        <w:t>存油，仅加油枪及其管道内存有少量油，其加油枪为潜油泵枪，只有管道内少量油品，含量不足0.1t，每台加油机加油枪同时对车辆加油作业，按每台小型汽车的油箱为60L计算，每台柴油车的油箱为60L计算，则2把汽油加油枪的最大加油量为0.06×0.75×2=0.09t，则2把柴油加油枪的最大加油量为0.06×0.85×2=0.102t。</w:t>
      </w:r>
    </w:p>
    <w:p w14:paraId="176232B1">
      <w:pPr>
        <w:pStyle w:val="37"/>
        <w:keepNext w:val="0"/>
        <w:keepLines w:val="0"/>
        <w:pageBreakBefore w:val="0"/>
        <w:widowControl w:val="0"/>
        <w:kinsoku/>
        <w:wordWrap/>
        <w:overflowPunct/>
        <w:topLinePunct w:val="0"/>
        <w:autoSpaceDE/>
        <w:autoSpaceDN/>
        <w:bidi w:val="0"/>
        <w:adjustRightInd/>
        <w:snapToGrid/>
        <w:spacing w:line="54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sz w:val="28"/>
          <w:szCs w:val="28"/>
        </w:rPr>
        <w:t>（2）储罐区：本站汽油储罐储存最大量为30m</w:t>
      </w:r>
      <w:r>
        <w:rPr>
          <w:rFonts w:hint="eastAsia" w:ascii="宋体" w:hAnsi="宋体" w:eastAsia="宋体" w:cs="宋体"/>
          <w:sz w:val="28"/>
          <w:szCs w:val="28"/>
          <w:vertAlign w:val="superscript"/>
        </w:rPr>
        <w:t>3</w:t>
      </w:r>
      <w:r>
        <w:rPr>
          <w:rFonts w:hint="eastAsia" w:ascii="宋体" w:hAnsi="宋体" w:eastAsia="宋体" w:cs="宋体"/>
          <w:sz w:val="28"/>
          <w:szCs w:val="28"/>
        </w:rPr>
        <w:t>，共1个储罐，汽油密度取0.75t/m</w:t>
      </w:r>
      <w:r>
        <w:rPr>
          <w:rFonts w:hint="eastAsia" w:ascii="宋体" w:hAnsi="宋体" w:eastAsia="宋体" w:cs="宋体"/>
          <w:sz w:val="28"/>
          <w:szCs w:val="28"/>
          <w:vertAlign w:val="superscript"/>
        </w:rPr>
        <w:t>3</w:t>
      </w:r>
      <w:r>
        <w:rPr>
          <w:rFonts w:hint="eastAsia" w:ascii="宋体" w:hAnsi="宋体" w:eastAsia="宋体" w:cs="宋体"/>
          <w:sz w:val="28"/>
          <w:szCs w:val="28"/>
        </w:rPr>
        <w:t>，折算质量单位约为22.5吨；柴油储罐储存最大量为30m</w:t>
      </w:r>
      <w:r>
        <w:rPr>
          <w:rFonts w:hint="eastAsia" w:ascii="宋体" w:hAnsi="宋体" w:eastAsia="宋体" w:cs="宋体"/>
          <w:sz w:val="28"/>
          <w:szCs w:val="28"/>
          <w:vertAlign w:val="superscript"/>
        </w:rPr>
        <w:t>3</w:t>
      </w:r>
      <w:r>
        <w:rPr>
          <w:rFonts w:hint="eastAsia" w:ascii="宋体" w:hAnsi="宋体" w:eastAsia="宋体" w:cs="宋体"/>
          <w:sz w:val="28"/>
          <w:szCs w:val="28"/>
        </w:rPr>
        <w:t>，共2个储罐</w:t>
      </w:r>
      <w:r>
        <w:rPr>
          <w:rFonts w:hint="eastAsia" w:ascii="宋体" w:hAnsi="宋体" w:eastAsia="宋体" w:cs="宋体"/>
          <w:color w:val="000000"/>
          <w:sz w:val="28"/>
          <w:szCs w:val="28"/>
        </w:rPr>
        <w:t>，柴油密度取0.85g/ml，折算质量单位约为51吨。</w:t>
      </w:r>
    </w:p>
    <w:p w14:paraId="79F61E03">
      <w:pPr>
        <w:tabs>
          <w:tab w:val="left" w:pos="5535"/>
        </w:tabs>
        <w:spacing w:line="540" w:lineRule="exact"/>
        <w:ind w:firstLine="560" w:firstLineChars="200"/>
        <w:rPr>
          <w:rFonts w:hint="eastAsia" w:ascii="宋体" w:hAnsi="宋体" w:eastAsia="宋体" w:cs="宋体"/>
          <w:color w:val="000000"/>
          <w:sz w:val="28"/>
          <w:szCs w:val="28"/>
        </w:rPr>
      </w:pPr>
      <w:r>
        <w:rPr>
          <w:rFonts w:hint="eastAsia" w:ascii="宋体" w:hAnsi="宋体" w:eastAsia="宋体" w:cs="宋体"/>
          <w:color w:val="000000"/>
          <w:sz w:val="28"/>
          <w:szCs w:val="28"/>
        </w:rPr>
        <w:t>辨识情况见下表</w:t>
      </w:r>
      <w:r>
        <w:rPr>
          <w:rFonts w:hint="eastAsia" w:ascii="宋体" w:hAnsi="宋体" w:eastAsia="宋体" w:cs="宋体"/>
          <w:b/>
          <w:bCs/>
          <w:color w:val="000000"/>
          <w:sz w:val="28"/>
          <w:szCs w:val="28"/>
        </w:rPr>
        <w:t>。</w:t>
      </w:r>
    </w:p>
    <w:p w14:paraId="43A8D3C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表3-</w:t>
      </w:r>
      <w:r>
        <w:rPr>
          <w:rFonts w:hint="eastAsia" w:ascii="宋体" w:hAnsi="宋体" w:eastAsia="宋体" w:cs="宋体"/>
          <w:b/>
          <w:bCs/>
          <w:sz w:val="24"/>
          <w:szCs w:val="24"/>
        </w:rPr>
        <w:t>3  生产单元危险化学品重大危险源辨识表</w:t>
      </w:r>
    </w:p>
    <w:tbl>
      <w:tblPr>
        <w:tblStyle w:val="19"/>
        <w:tblW w:w="8980" w:type="dxa"/>
        <w:tblInd w:w="2" w:type="dxa"/>
        <w:tblLayout w:type="fixed"/>
        <w:tblCellMar>
          <w:top w:w="0" w:type="dxa"/>
          <w:left w:w="108" w:type="dxa"/>
          <w:bottom w:w="0" w:type="dxa"/>
          <w:right w:w="108" w:type="dxa"/>
        </w:tblCellMar>
      </w:tblPr>
      <w:tblGrid>
        <w:gridCol w:w="711"/>
        <w:gridCol w:w="1061"/>
        <w:gridCol w:w="1116"/>
        <w:gridCol w:w="1575"/>
        <w:gridCol w:w="1303"/>
        <w:gridCol w:w="1237"/>
        <w:gridCol w:w="1247"/>
        <w:gridCol w:w="730"/>
      </w:tblGrid>
      <w:tr w14:paraId="1D5765BA">
        <w:tblPrEx>
          <w:tblCellMar>
            <w:top w:w="0" w:type="dxa"/>
            <w:left w:w="108" w:type="dxa"/>
            <w:bottom w:w="0" w:type="dxa"/>
            <w:right w:w="108" w:type="dxa"/>
          </w:tblCellMar>
        </w:tblPrEx>
        <w:trPr>
          <w:trHeight w:val="273" w:hRule="atLeast"/>
        </w:trPr>
        <w:tc>
          <w:tcPr>
            <w:tcW w:w="711" w:type="dxa"/>
            <w:tcBorders>
              <w:top w:val="single" w:color="auto" w:sz="6" w:space="0"/>
              <w:left w:val="single" w:color="auto" w:sz="6" w:space="0"/>
              <w:bottom w:val="single" w:color="auto" w:sz="4" w:space="0"/>
              <w:right w:val="single" w:color="auto" w:sz="6" w:space="0"/>
            </w:tcBorders>
            <w:vAlign w:val="center"/>
          </w:tcPr>
          <w:p w14:paraId="1CF40A2B">
            <w:pPr>
              <w:autoSpaceDE w:val="0"/>
              <w:autoSpaceDN w:val="0"/>
              <w:adjustRightInd w:val="0"/>
              <w:spacing w:line="400" w:lineRule="exact"/>
              <w:jc w:val="center"/>
              <w:rPr>
                <w:rFonts w:cs="Times New Roman"/>
                <w:color w:val="000000"/>
                <w:lang w:val="zh-CN"/>
              </w:rPr>
            </w:pPr>
            <w:r>
              <w:rPr>
                <w:rFonts w:hint="eastAsia" w:cs="宋体"/>
                <w:color w:val="000000"/>
                <w:lang w:val="zh-CN"/>
              </w:rPr>
              <w:t>序号</w:t>
            </w:r>
          </w:p>
        </w:tc>
        <w:tc>
          <w:tcPr>
            <w:tcW w:w="1061" w:type="dxa"/>
            <w:tcBorders>
              <w:top w:val="single" w:color="auto" w:sz="6" w:space="0"/>
              <w:left w:val="single" w:color="auto" w:sz="6" w:space="0"/>
              <w:bottom w:val="single" w:color="auto" w:sz="4" w:space="0"/>
              <w:right w:val="single" w:color="auto" w:sz="4" w:space="0"/>
            </w:tcBorders>
            <w:vAlign w:val="center"/>
          </w:tcPr>
          <w:p w14:paraId="7DD17B0C">
            <w:pPr>
              <w:autoSpaceDE w:val="0"/>
              <w:autoSpaceDN w:val="0"/>
              <w:adjustRightInd w:val="0"/>
              <w:spacing w:line="400" w:lineRule="exact"/>
              <w:jc w:val="center"/>
              <w:rPr>
                <w:rFonts w:cs="Times New Roman"/>
                <w:color w:val="000000"/>
                <w:lang w:val="zh-CN"/>
              </w:rPr>
            </w:pPr>
            <w:r>
              <w:rPr>
                <w:rFonts w:hint="eastAsia" w:cs="宋体"/>
                <w:color w:val="000000"/>
                <w:lang w:val="zh-CN"/>
              </w:rPr>
              <w:t>单元</w:t>
            </w:r>
          </w:p>
        </w:tc>
        <w:tc>
          <w:tcPr>
            <w:tcW w:w="1116" w:type="dxa"/>
            <w:tcBorders>
              <w:top w:val="single" w:color="auto" w:sz="6" w:space="0"/>
              <w:left w:val="single" w:color="auto" w:sz="4" w:space="0"/>
              <w:bottom w:val="single" w:color="auto" w:sz="4" w:space="0"/>
              <w:right w:val="single" w:color="auto" w:sz="6" w:space="0"/>
            </w:tcBorders>
            <w:vAlign w:val="center"/>
          </w:tcPr>
          <w:p w14:paraId="2815B3BB">
            <w:pPr>
              <w:autoSpaceDE w:val="0"/>
              <w:autoSpaceDN w:val="0"/>
              <w:adjustRightInd w:val="0"/>
              <w:spacing w:line="400" w:lineRule="exact"/>
              <w:jc w:val="center"/>
              <w:rPr>
                <w:rFonts w:cs="Times New Roman"/>
                <w:color w:val="000000"/>
                <w:lang w:val="zh-CN"/>
              </w:rPr>
            </w:pPr>
            <w:r>
              <w:rPr>
                <w:rFonts w:hint="eastAsia" w:cs="宋体"/>
                <w:color w:val="000000"/>
                <w:lang w:val="zh-CN"/>
              </w:rPr>
              <w:t>物质</w:t>
            </w:r>
          </w:p>
        </w:tc>
        <w:tc>
          <w:tcPr>
            <w:tcW w:w="1575" w:type="dxa"/>
            <w:tcBorders>
              <w:top w:val="single" w:color="auto" w:sz="6" w:space="0"/>
              <w:left w:val="single" w:color="auto" w:sz="6" w:space="0"/>
              <w:bottom w:val="single" w:color="auto" w:sz="4" w:space="0"/>
              <w:right w:val="single" w:color="auto" w:sz="6" w:space="0"/>
            </w:tcBorders>
            <w:vAlign w:val="center"/>
          </w:tcPr>
          <w:p w14:paraId="67A756A7">
            <w:pPr>
              <w:autoSpaceDE w:val="0"/>
              <w:autoSpaceDN w:val="0"/>
              <w:adjustRightInd w:val="0"/>
              <w:spacing w:line="400" w:lineRule="exact"/>
              <w:ind w:firstLine="205" w:firstLineChars="98"/>
              <w:jc w:val="center"/>
              <w:rPr>
                <w:rFonts w:hint="eastAsia" w:ascii="宋体" w:hAnsi="宋体" w:eastAsia="宋体" w:cs="宋体"/>
                <w:color w:val="000000"/>
                <w:lang w:val="zh-CN"/>
              </w:rPr>
            </w:pPr>
            <w:r>
              <w:rPr>
                <w:rFonts w:hint="eastAsia" w:ascii="宋体" w:hAnsi="宋体" w:eastAsia="宋体" w:cs="宋体"/>
                <w:color w:val="000000"/>
                <w:lang w:val="zh-CN"/>
              </w:rPr>
              <w:t>危险性分类</w:t>
            </w:r>
          </w:p>
        </w:tc>
        <w:tc>
          <w:tcPr>
            <w:tcW w:w="1303" w:type="dxa"/>
            <w:tcBorders>
              <w:top w:val="single" w:color="auto" w:sz="6" w:space="0"/>
              <w:left w:val="single" w:color="auto" w:sz="6" w:space="0"/>
              <w:bottom w:val="single" w:color="auto" w:sz="4" w:space="0"/>
              <w:right w:val="single" w:color="auto" w:sz="6" w:space="0"/>
            </w:tcBorders>
            <w:vAlign w:val="center"/>
          </w:tcPr>
          <w:p w14:paraId="4F0EB82A">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rPr>
              <w:t>临界量（</w:t>
            </w:r>
            <w:r>
              <w:rPr>
                <w:rFonts w:hint="eastAsia" w:ascii="宋体" w:hAnsi="宋体" w:eastAsia="宋体" w:cs="宋体"/>
                <w:color w:val="000000"/>
                <w:lang w:val="zh-CN"/>
              </w:rPr>
              <w:t>t</w:t>
            </w:r>
            <w:r>
              <w:rPr>
                <w:rFonts w:hint="eastAsia" w:ascii="宋体" w:hAnsi="宋体" w:eastAsia="宋体" w:cs="宋体"/>
                <w:color w:val="000000"/>
              </w:rPr>
              <w:t>）</w:t>
            </w:r>
          </w:p>
        </w:tc>
        <w:tc>
          <w:tcPr>
            <w:tcW w:w="1237" w:type="dxa"/>
            <w:tcBorders>
              <w:top w:val="single" w:color="auto" w:sz="6" w:space="0"/>
              <w:left w:val="single" w:color="auto" w:sz="6" w:space="0"/>
              <w:bottom w:val="single" w:color="auto" w:sz="4" w:space="0"/>
              <w:right w:val="single" w:color="auto" w:sz="6" w:space="0"/>
            </w:tcBorders>
            <w:vAlign w:val="center"/>
          </w:tcPr>
          <w:p w14:paraId="3BB12551">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lang w:val="zh-CN"/>
              </w:rPr>
              <w:t>存在量</w:t>
            </w:r>
            <w:r>
              <w:rPr>
                <w:rFonts w:hint="eastAsia" w:ascii="宋体" w:hAnsi="宋体" w:eastAsia="宋体" w:cs="宋体"/>
                <w:color w:val="000000"/>
              </w:rPr>
              <w:t>（</w:t>
            </w:r>
            <w:r>
              <w:rPr>
                <w:rFonts w:hint="eastAsia" w:ascii="宋体" w:hAnsi="宋体" w:eastAsia="宋体" w:cs="宋体"/>
                <w:color w:val="000000"/>
                <w:lang w:val="zh-CN"/>
              </w:rPr>
              <w:t>t</w:t>
            </w:r>
            <w:r>
              <w:rPr>
                <w:rFonts w:hint="eastAsia" w:ascii="宋体" w:hAnsi="宋体" w:eastAsia="宋体" w:cs="宋体"/>
                <w:color w:val="000000"/>
              </w:rPr>
              <w:t>）</w:t>
            </w:r>
          </w:p>
        </w:tc>
        <w:tc>
          <w:tcPr>
            <w:tcW w:w="1247" w:type="dxa"/>
            <w:tcBorders>
              <w:top w:val="single" w:color="auto" w:sz="6" w:space="0"/>
              <w:left w:val="single" w:color="auto" w:sz="6" w:space="0"/>
              <w:bottom w:val="single" w:color="auto" w:sz="4" w:space="0"/>
              <w:right w:val="single" w:color="auto" w:sz="6" w:space="0"/>
            </w:tcBorders>
            <w:vAlign w:val="center"/>
          </w:tcPr>
          <w:p w14:paraId="74F8569A">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kern w:val="0"/>
              </w:rPr>
              <w:t>qn/Qn</w:t>
            </w:r>
          </w:p>
        </w:tc>
        <w:tc>
          <w:tcPr>
            <w:tcW w:w="730" w:type="dxa"/>
            <w:tcBorders>
              <w:top w:val="single" w:color="auto" w:sz="6" w:space="0"/>
              <w:left w:val="single" w:color="auto" w:sz="6" w:space="0"/>
              <w:bottom w:val="single" w:color="auto" w:sz="4" w:space="0"/>
              <w:right w:val="single" w:color="auto" w:sz="6" w:space="0"/>
            </w:tcBorders>
            <w:vAlign w:val="center"/>
          </w:tcPr>
          <w:p w14:paraId="5AB68582">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rPr>
              <w:t>辨识</w:t>
            </w:r>
          </w:p>
        </w:tc>
      </w:tr>
      <w:tr w14:paraId="30403337">
        <w:tblPrEx>
          <w:tblCellMar>
            <w:top w:w="0" w:type="dxa"/>
            <w:left w:w="108" w:type="dxa"/>
            <w:bottom w:w="0" w:type="dxa"/>
            <w:right w:w="108" w:type="dxa"/>
          </w:tblCellMar>
        </w:tblPrEx>
        <w:trPr>
          <w:trHeight w:val="273" w:hRule="atLeast"/>
        </w:trPr>
        <w:tc>
          <w:tcPr>
            <w:tcW w:w="711" w:type="dxa"/>
            <w:vMerge w:val="restart"/>
            <w:tcBorders>
              <w:top w:val="single" w:color="auto" w:sz="6" w:space="0"/>
              <w:left w:val="single" w:color="auto" w:sz="6" w:space="0"/>
              <w:right w:val="single" w:color="auto" w:sz="6" w:space="0"/>
            </w:tcBorders>
            <w:vAlign w:val="center"/>
          </w:tcPr>
          <w:p w14:paraId="12CAF842">
            <w:pPr>
              <w:autoSpaceDE w:val="0"/>
              <w:autoSpaceDN w:val="0"/>
              <w:adjustRightInd w:val="0"/>
              <w:spacing w:line="400" w:lineRule="exact"/>
              <w:jc w:val="center"/>
              <w:rPr>
                <w:color w:val="000000"/>
              </w:rPr>
            </w:pPr>
            <w:r>
              <w:rPr>
                <w:rFonts w:hint="eastAsia" w:ascii="宋体" w:hAnsi="宋体" w:eastAsia="宋体" w:cs="宋体"/>
                <w:color w:val="000000"/>
              </w:rPr>
              <w:t>1</w:t>
            </w:r>
          </w:p>
        </w:tc>
        <w:tc>
          <w:tcPr>
            <w:tcW w:w="1061" w:type="dxa"/>
            <w:vMerge w:val="restart"/>
            <w:tcBorders>
              <w:top w:val="single" w:color="auto" w:sz="6" w:space="0"/>
              <w:left w:val="single" w:color="auto" w:sz="6" w:space="0"/>
              <w:right w:val="single" w:color="auto" w:sz="4" w:space="0"/>
            </w:tcBorders>
            <w:vAlign w:val="center"/>
          </w:tcPr>
          <w:p w14:paraId="4C808961">
            <w:pPr>
              <w:autoSpaceDE w:val="0"/>
              <w:autoSpaceDN w:val="0"/>
              <w:adjustRightInd w:val="0"/>
              <w:spacing w:line="400" w:lineRule="exact"/>
              <w:jc w:val="center"/>
              <w:rPr>
                <w:rFonts w:cs="Times New Roman"/>
                <w:color w:val="000000"/>
              </w:rPr>
            </w:pPr>
            <w:r>
              <w:rPr>
                <w:rFonts w:hint="eastAsia" w:cs="宋体"/>
                <w:color w:val="000000"/>
              </w:rPr>
              <w:t>加油区</w:t>
            </w:r>
          </w:p>
        </w:tc>
        <w:tc>
          <w:tcPr>
            <w:tcW w:w="1116" w:type="dxa"/>
            <w:tcBorders>
              <w:top w:val="single" w:color="auto" w:sz="6" w:space="0"/>
              <w:left w:val="single" w:color="auto" w:sz="4" w:space="0"/>
              <w:bottom w:val="single" w:color="auto" w:sz="4" w:space="0"/>
              <w:right w:val="single" w:color="auto" w:sz="6" w:space="0"/>
            </w:tcBorders>
            <w:vAlign w:val="center"/>
          </w:tcPr>
          <w:p w14:paraId="3923440B">
            <w:pPr>
              <w:autoSpaceDE w:val="0"/>
              <w:autoSpaceDN w:val="0"/>
              <w:adjustRightInd w:val="0"/>
              <w:spacing w:line="400" w:lineRule="exact"/>
              <w:jc w:val="center"/>
              <w:rPr>
                <w:rFonts w:cs="Times New Roman"/>
                <w:color w:val="000000"/>
              </w:rPr>
            </w:pPr>
            <w:r>
              <w:rPr>
                <w:rFonts w:hint="eastAsia" w:cs="宋体"/>
                <w:color w:val="000000"/>
              </w:rPr>
              <w:t>汽油</w:t>
            </w:r>
          </w:p>
        </w:tc>
        <w:tc>
          <w:tcPr>
            <w:tcW w:w="1575" w:type="dxa"/>
            <w:tcBorders>
              <w:top w:val="single" w:color="auto" w:sz="6" w:space="0"/>
              <w:left w:val="single" w:color="auto" w:sz="6" w:space="0"/>
              <w:bottom w:val="single" w:color="auto" w:sz="4" w:space="0"/>
              <w:right w:val="single" w:color="auto" w:sz="6" w:space="0"/>
            </w:tcBorders>
            <w:vAlign w:val="center"/>
          </w:tcPr>
          <w:p w14:paraId="1FFFDD59">
            <w:pPr>
              <w:autoSpaceDE w:val="0"/>
              <w:autoSpaceDN w:val="0"/>
              <w:adjustRightInd w:val="0"/>
              <w:spacing w:line="400" w:lineRule="exact"/>
              <w:jc w:val="center"/>
              <w:rPr>
                <w:rFonts w:hint="eastAsia" w:ascii="宋体" w:hAnsi="宋体" w:eastAsia="宋体" w:cs="宋体"/>
                <w:color w:val="000000"/>
                <w:spacing w:val="-10"/>
                <w:kern w:val="0"/>
              </w:rPr>
            </w:pPr>
            <w:r>
              <w:rPr>
                <w:rFonts w:hint="eastAsia" w:ascii="宋体" w:hAnsi="宋体" w:eastAsia="宋体" w:cs="宋体"/>
                <w:color w:val="000000"/>
                <w:lang w:val="zh-CN"/>
              </w:rPr>
              <w:t>易燃液体</w:t>
            </w:r>
          </w:p>
        </w:tc>
        <w:tc>
          <w:tcPr>
            <w:tcW w:w="1303" w:type="dxa"/>
            <w:tcBorders>
              <w:top w:val="single" w:color="auto" w:sz="6" w:space="0"/>
              <w:left w:val="single" w:color="auto" w:sz="6" w:space="0"/>
              <w:bottom w:val="single" w:color="auto" w:sz="4" w:space="0"/>
              <w:right w:val="single" w:color="auto" w:sz="6" w:space="0"/>
            </w:tcBorders>
            <w:vAlign w:val="center"/>
          </w:tcPr>
          <w:p w14:paraId="1C0AE1E3">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lang w:val="zh-CN"/>
              </w:rPr>
              <w:t>200</w:t>
            </w:r>
          </w:p>
        </w:tc>
        <w:tc>
          <w:tcPr>
            <w:tcW w:w="1237" w:type="dxa"/>
            <w:tcBorders>
              <w:top w:val="single" w:color="auto" w:sz="6" w:space="0"/>
              <w:left w:val="single" w:color="auto" w:sz="6" w:space="0"/>
              <w:bottom w:val="single" w:color="auto" w:sz="4" w:space="0"/>
              <w:right w:val="single" w:color="auto" w:sz="6" w:space="0"/>
            </w:tcBorders>
            <w:vAlign w:val="center"/>
          </w:tcPr>
          <w:p w14:paraId="4E29E498">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rPr>
              <w:t>0.09</w:t>
            </w:r>
          </w:p>
        </w:tc>
        <w:tc>
          <w:tcPr>
            <w:tcW w:w="1247" w:type="dxa"/>
            <w:tcBorders>
              <w:top w:val="single" w:color="auto" w:sz="6" w:space="0"/>
              <w:left w:val="single" w:color="auto" w:sz="6" w:space="0"/>
              <w:bottom w:val="single" w:color="auto" w:sz="4" w:space="0"/>
              <w:right w:val="single" w:color="auto" w:sz="6" w:space="0"/>
            </w:tcBorders>
            <w:vAlign w:val="center"/>
          </w:tcPr>
          <w:p w14:paraId="575C24CE">
            <w:pPr>
              <w:autoSpaceDE w:val="0"/>
              <w:autoSpaceDN w:val="0"/>
              <w:adjustRightInd w:val="0"/>
              <w:spacing w:line="400" w:lineRule="exact"/>
              <w:jc w:val="center"/>
              <w:rPr>
                <w:rFonts w:hint="eastAsia" w:ascii="宋体" w:hAnsi="宋体" w:eastAsia="宋体" w:cs="宋体"/>
                <w:color w:val="000000"/>
                <w:kern w:val="0"/>
              </w:rPr>
            </w:pPr>
            <w:r>
              <w:rPr>
                <w:rFonts w:hint="eastAsia" w:ascii="宋体" w:hAnsi="宋体" w:eastAsia="宋体" w:cs="宋体"/>
                <w:color w:val="000000"/>
                <w:kern w:val="0"/>
              </w:rPr>
              <w:t>0.00045</w:t>
            </w:r>
          </w:p>
        </w:tc>
        <w:tc>
          <w:tcPr>
            <w:tcW w:w="730" w:type="dxa"/>
            <w:tcBorders>
              <w:top w:val="single" w:color="auto" w:sz="6" w:space="0"/>
              <w:left w:val="single" w:color="auto" w:sz="6" w:space="0"/>
              <w:bottom w:val="single" w:color="auto" w:sz="4" w:space="0"/>
              <w:right w:val="single" w:color="auto" w:sz="6" w:space="0"/>
            </w:tcBorders>
            <w:vAlign w:val="center"/>
          </w:tcPr>
          <w:p w14:paraId="134E3801">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lang w:val="zh-CN"/>
              </w:rPr>
              <w:t>＜1</w:t>
            </w:r>
          </w:p>
        </w:tc>
      </w:tr>
      <w:tr w14:paraId="6EE3BBE2">
        <w:tblPrEx>
          <w:tblCellMar>
            <w:top w:w="0" w:type="dxa"/>
            <w:left w:w="108" w:type="dxa"/>
            <w:bottom w:w="0" w:type="dxa"/>
            <w:right w:w="108" w:type="dxa"/>
          </w:tblCellMar>
        </w:tblPrEx>
        <w:trPr>
          <w:trHeight w:val="273" w:hRule="atLeast"/>
        </w:trPr>
        <w:tc>
          <w:tcPr>
            <w:tcW w:w="711" w:type="dxa"/>
            <w:vMerge w:val="continue"/>
            <w:tcBorders>
              <w:left w:val="single" w:color="auto" w:sz="6" w:space="0"/>
              <w:bottom w:val="single" w:color="auto" w:sz="4" w:space="0"/>
              <w:right w:val="single" w:color="auto" w:sz="6" w:space="0"/>
            </w:tcBorders>
            <w:vAlign w:val="center"/>
          </w:tcPr>
          <w:p w14:paraId="07BA85B2">
            <w:pPr>
              <w:autoSpaceDE w:val="0"/>
              <w:autoSpaceDN w:val="0"/>
              <w:adjustRightInd w:val="0"/>
              <w:spacing w:line="400" w:lineRule="exact"/>
              <w:jc w:val="center"/>
              <w:rPr>
                <w:rFonts w:cs="Times New Roman"/>
                <w:color w:val="000000"/>
              </w:rPr>
            </w:pPr>
          </w:p>
        </w:tc>
        <w:tc>
          <w:tcPr>
            <w:tcW w:w="1061" w:type="dxa"/>
            <w:vMerge w:val="continue"/>
            <w:tcBorders>
              <w:left w:val="single" w:color="auto" w:sz="6" w:space="0"/>
              <w:bottom w:val="single" w:color="auto" w:sz="4" w:space="0"/>
              <w:right w:val="single" w:color="auto" w:sz="4" w:space="0"/>
            </w:tcBorders>
            <w:vAlign w:val="center"/>
          </w:tcPr>
          <w:p w14:paraId="3A5DAB1F">
            <w:pPr>
              <w:autoSpaceDE w:val="0"/>
              <w:autoSpaceDN w:val="0"/>
              <w:adjustRightInd w:val="0"/>
              <w:spacing w:line="400" w:lineRule="exact"/>
              <w:jc w:val="center"/>
              <w:rPr>
                <w:rFonts w:cs="Times New Roman"/>
                <w:color w:val="000000"/>
              </w:rPr>
            </w:pPr>
          </w:p>
        </w:tc>
        <w:tc>
          <w:tcPr>
            <w:tcW w:w="1116" w:type="dxa"/>
            <w:tcBorders>
              <w:top w:val="single" w:color="auto" w:sz="6" w:space="0"/>
              <w:left w:val="single" w:color="auto" w:sz="4" w:space="0"/>
              <w:bottom w:val="single" w:color="auto" w:sz="4" w:space="0"/>
              <w:right w:val="single" w:color="auto" w:sz="6" w:space="0"/>
            </w:tcBorders>
            <w:vAlign w:val="center"/>
          </w:tcPr>
          <w:p w14:paraId="417C0C59">
            <w:pPr>
              <w:autoSpaceDE w:val="0"/>
              <w:autoSpaceDN w:val="0"/>
              <w:adjustRightInd w:val="0"/>
              <w:spacing w:line="400" w:lineRule="exact"/>
              <w:jc w:val="center"/>
              <w:rPr>
                <w:rFonts w:cs="Times New Roman"/>
                <w:color w:val="000000"/>
              </w:rPr>
            </w:pPr>
            <w:r>
              <w:rPr>
                <w:rFonts w:hint="eastAsia" w:cs="宋体"/>
                <w:color w:val="000000"/>
              </w:rPr>
              <w:t>柴油</w:t>
            </w:r>
          </w:p>
        </w:tc>
        <w:tc>
          <w:tcPr>
            <w:tcW w:w="1575" w:type="dxa"/>
            <w:tcBorders>
              <w:top w:val="single" w:color="auto" w:sz="6" w:space="0"/>
              <w:left w:val="single" w:color="auto" w:sz="6" w:space="0"/>
              <w:bottom w:val="single" w:color="auto" w:sz="4" w:space="0"/>
              <w:right w:val="single" w:color="auto" w:sz="6" w:space="0"/>
            </w:tcBorders>
            <w:vAlign w:val="center"/>
          </w:tcPr>
          <w:p w14:paraId="07D47D7B">
            <w:pPr>
              <w:autoSpaceDE w:val="0"/>
              <w:autoSpaceDN w:val="0"/>
              <w:adjustRightInd w:val="0"/>
              <w:spacing w:line="400" w:lineRule="exact"/>
              <w:jc w:val="center"/>
              <w:rPr>
                <w:rFonts w:hint="eastAsia" w:ascii="宋体" w:hAnsi="宋体" w:eastAsia="宋体" w:cs="宋体"/>
                <w:color w:val="000000"/>
                <w:spacing w:val="-10"/>
                <w:kern w:val="0"/>
              </w:rPr>
            </w:pPr>
            <w:r>
              <w:rPr>
                <w:rFonts w:hint="eastAsia" w:ascii="宋体" w:hAnsi="宋体" w:eastAsia="宋体" w:cs="宋体"/>
                <w:color w:val="000000"/>
                <w:lang w:val="zh-CN"/>
              </w:rPr>
              <w:t>易燃液体</w:t>
            </w:r>
          </w:p>
        </w:tc>
        <w:tc>
          <w:tcPr>
            <w:tcW w:w="1303" w:type="dxa"/>
            <w:tcBorders>
              <w:top w:val="single" w:color="auto" w:sz="6" w:space="0"/>
              <w:left w:val="single" w:color="auto" w:sz="6" w:space="0"/>
              <w:bottom w:val="single" w:color="auto" w:sz="4" w:space="0"/>
              <w:right w:val="single" w:color="auto" w:sz="6" w:space="0"/>
            </w:tcBorders>
            <w:vAlign w:val="center"/>
          </w:tcPr>
          <w:p w14:paraId="5B401E06">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rPr>
              <w:t>5000</w:t>
            </w:r>
          </w:p>
        </w:tc>
        <w:tc>
          <w:tcPr>
            <w:tcW w:w="1237" w:type="dxa"/>
            <w:tcBorders>
              <w:top w:val="single" w:color="auto" w:sz="6" w:space="0"/>
              <w:left w:val="single" w:color="auto" w:sz="6" w:space="0"/>
              <w:bottom w:val="single" w:color="auto" w:sz="4" w:space="0"/>
              <w:right w:val="single" w:color="auto" w:sz="6" w:space="0"/>
            </w:tcBorders>
            <w:vAlign w:val="center"/>
          </w:tcPr>
          <w:p w14:paraId="3A9E6406">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rPr>
              <w:t>0.102</w:t>
            </w:r>
          </w:p>
        </w:tc>
        <w:tc>
          <w:tcPr>
            <w:tcW w:w="1247" w:type="dxa"/>
            <w:tcBorders>
              <w:top w:val="single" w:color="auto" w:sz="6" w:space="0"/>
              <w:left w:val="single" w:color="auto" w:sz="6" w:space="0"/>
              <w:bottom w:val="single" w:color="auto" w:sz="4" w:space="0"/>
              <w:right w:val="single" w:color="auto" w:sz="6" w:space="0"/>
            </w:tcBorders>
            <w:vAlign w:val="center"/>
          </w:tcPr>
          <w:p w14:paraId="741D7F24">
            <w:pPr>
              <w:autoSpaceDE w:val="0"/>
              <w:autoSpaceDN w:val="0"/>
              <w:adjustRightInd w:val="0"/>
              <w:spacing w:line="400" w:lineRule="exact"/>
              <w:jc w:val="center"/>
              <w:rPr>
                <w:rFonts w:hint="eastAsia" w:ascii="宋体" w:hAnsi="宋体" w:eastAsia="宋体" w:cs="宋体"/>
                <w:color w:val="000000"/>
                <w:kern w:val="0"/>
              </w:rPr>
            </w:pPr>
            <w:r>
              <w:rPr>
                <w:rFonts w:hint="eastAsia" w:ascii="宋体" w:hAnsi="宋体" w:eastAsia="宋体" w:cs="宋体"/>
                <w:color w:val="000000"/>
                <w:kern w:val="0"/>
              </w:rPr>
              <w:t>0.0000202</w:t>
            </w:r>
          </w:p>
        </w:tc>
        <w:tc>
          <w:tcPr>
            <w:tcW w:w="730" w:type="dxa"/>
            <w:tcBorders>
              <w:top w:val="single" w:color="auto" w:sz="6" w:space="0"/>
              <w:left w:val="single" w:color="auto" w:sz="6" w:space="0"/>
              <w:bottom w:val="single" w:color="auto" w:sz="4" w:space="0"/>
              <w:right w:val="single" w:color="auto" w:sz="6" w:space="0"/>
            </w:tcBorders>
            <w:vAlign w:val="center"/>
          </w:tcPr>
          <w:p w14:paraId="10BC083A">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lang w:val="zh-CN"/>
              </w:rPr>
              <w:t>＜1</w:t>
            </w:r>
          </w:p>
        </w:tc>
      </w:tr>
      <w:tr w14:paraId="27277215">
        <w:tblPrEx>
          <w:tblCellMar>
            <w:top w:w="0" w:type="dxa"/>
            <w:left w:w="108" w:type="dxa"/>
            <w:bottom w:w="0" w:type="dxa"/>
            <w:right w:w="108" w:type="dxa"/>
          </w:tblCellMar>
        </w:tblPrEx>
        <w:trPr>
          <w:trHeight w:val="268" w:hRule="atLeast"/>
        </w:trPr>
        <w:tc>
          <w:tcPr>
            <w:tcW w:w="1772" w:type="dxa"/>
            <w:gridSpan w:val="2"/>
            <w:tcBorders>
              <w:top w:val="single" w:color="auto" w:sz="6" w:space="0"/>
              <w:left w:val="single" w:color="auto" w:sz="6" w:space="0"/>
              <w:bottom w:val="single" w:color="auto" w:sz="6" w:space="0"/>
              <w:right w:val="single" w:color="auto" w:sz="4" w:space="0"/>
            </w:tcBorders>
            <w:vAlign w:val="center"/>
          </w:tcPr>
          <w:p w14:paraId="1C9CC833">
            <w:pPr>
              <w:autoSpaceDE w:val="0"/>
              <w:autoSpaceDN w:val="0"/>
              <w:adjustRightInd w:val="0"/>
              <w:spacing w:line="400" w:lineRule="exact"/>
              <w:jc w:val="center"/>
              <w:rPr>
                <w:rFonts w:cs="Times New Roman"/>
                <w:color w:val="000000"/>
                <w:lang w:val="zh-CN"/>
              </w:rPr>
            </w:pPr>
            <w:r>
              <w:rPr>
                <w:rFonts w:hint="eastAsia" w:cs="宋体"/>
                <w:color w:val="000000"/>
                <w:lang w:val="zh-CN"/>
              </w:rPr>
              <w:t>合计</w:t>
            </w:r>
          </w:p>
        </w:tc>
        <w:tc>
          <w:tcPr>
            <w:tcW w:w="7208" w:type="dxa"/>
            <w:gridSpan w:val="6"/>
            <w:tcBorders>
              <w:top w:val="single" w:color="auto" w:sz="6" w:space="0"/>
              <w:left w:val="single" w:color="auto" w:sz="4" w:space="0"/>
              <w:bottom w:val="single" w:color="auto" w:sz="6" w:space="0"/>
              <w:right w:val="single" w:color="auto" w:sz="4" w:space="0"/>
            </w:tcBorders>
            <w:vAlign w:val="center"/>
          </w:tcPr>
          <w:p w14:paraId="757FC1BF">
            <w:pPr>
              <w:autoSpaceDE w:val="0"/>
              <w:autoSpaceDN w:val="0"/>
              <w:adjustRightInd w:val="0"/>
              <w:spacing w:line="400" w:lineRule="exact"/>
              <w:jc w:val="center"/>
              <w:rPr>
                <w:rFonts w:cs="Times New Roman"/>
                <w:color w:val="000000"/>
                <w:kern w:val="0"/>
              </w:rPr>
            </w:pPr>
            <w:r>
              <w:rPr>
                <w:rFonts w:hint="eastAsia" w:ascii="宋体" w:hAnsi="宋体" w:eastAsia="宋体" w:cs="宋体"/>
                <w:color w:val="000000"/>
                <w:kern w:val="0"/>
              </w:rPr>
              <w:t>S=0.00045</w:t>
            </w:r>
            <w:r>
              <w:rPr>
                <w:rFonts w:hint="eastAsia" w:ascii="宋体" w:hAnsi="宋体" w:eastAsia="宋体" w:cs="宋体"/>
                <w:color w:val="000000"/>
              </w:rPr>
              <w:t>+</w:t>
            </w:r>
            <w:r>
              <w:rPr>
                <w:rFonts w:hint="eastAsia" w:ascii="宋体" w:hAnsi="宋体" w:eastAsia="宋体" w:cs="宋体"/>
                <w:color w:val="000000"/>
                <w:kern w:val="0"/>
              </w:rPr>
              <w:t>0.0000202</w:t>
            </w:r>
            <w:r>
              <w:rPr>
                <w:rFonts w:hint="eastAsia" w:ascii="宋体" w:hAnsi="宋体" w:eastAsia="宋体" w:cs="宋体"/>
                <w:color w:val="000000"/>
              </w:rPr>
              <w:t>=</w:t>
            </w:r>
            <w:r>
              <w:rPr>
                <w:rFonts w:hint="eastAsia" w:ascii="宋体" w:hAnsi="宋体" w:eastAsia="宋体" w:cs="宋体"/>
                <w:color w:val="000000"/>
                <w:kern w:val="0"/>
              </w:rPr>
              <w:t>0.0004702</w:t>
            </w:r>
            <w:r>
              <w:rPr>
                <w:rFonts w:hint="eastAsia" w:ascii="宋体" w:hAnsi="宋体" w:eastAsia="宋体" w:cs="宋体"/>
                <w:color w:val="000000"/>
              </w:rPr>
              <w:t>＜1，不构成重大危险源</w:t>
            </w:r>
          </w:p>
        </w:tc>
      </w:tr>
    </w:tbl>
    <w:p w14:paraId="6704C3A7">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宋体" w:hAnsi="宋体" w:eastAsia="宋体" w:cs="宋体"/>
          <w:b/>
          <w:bCs/>
          <w:sz w:val="24"/>
          <w:szCs w:val="24"/>
          <w:lang w:val="zh-CN"/>
        </w:rPr>
      </w:pPr>
      <w:r>
        <w:rPr>
          <w:rFonts w:hint="eastAsia" w:ascii="宋体" w:hAnsi="宋体" w:eastAsia="宋体" w:cs="宋体"/>
          <w:b/>
          <w:bCs/>
          <w:sz w:val="24"/>
          <w:szCs w:val="24"/>
          <w:lang w:val="zh-CN"/>
        </w:rPr>
        <w:t>表3-4  储存单元单元危险化学品重大危险源辨识表</w:t>
      </w:r>
    </w:p>
    <w:tbl>
      <w:tblPr>
        <w:tblStyle w:val="19"/>
        <w:tblW w:w="8984" w:type="dxa"/>
        <w:tblInd w:w="2" w:type="dxa"/>
        <w:tblLayout w:type="fixed"/>
        <w:tblCellMar>
          <w:top w:w="0" w:type="dxa"/>
          <w:left w:w="108" w:type="dxa"/>
          <w:bottom w:w="0" w:type="dxa"/>
          <w:right w:w="108" w:type="dxa"/>
        </w:tblCellMar>
      </w:tblPr>
      <w:tblGrid>
        <w:gridCol w:w="750"/>
        <w:gridCol w:w="1032"/>
        <w:gridCol w:w="1115"/>
        <w:gridCol w:w="1556"/>
        <w:gridCol w:w="1304"/>
        <w:gridCol w:w="1237"/>
        <w:gridCol w:w="1116"/>
        <w:gridCol w:w="874"/>
      </w:tblGrid>
      <w:tr w14:paraId="61EC16D3">
        <w:tblPrEx>
          <w:tblCellMar>
            <w:top w:w="0" w:type="dxa"/>
            <w:left w:w="108" w:type="dxa"/>
            <w:bottom w:w="0" w:type="dxa"/>
            <w:right w:w="108" w:type="dxa"/>
          </w:tblCellMar>
        </w:tblPrEx>
        <w:trPr>
          <w:trHeight w:val="274" w:hRule="atLeast"/>
        </w:trPr>
        <w:tc>
          <w:tcPr>
            <w:tcW w:w="750" w:type="dxa"/>
            <w:tcBorders>
              <w:top w:val="single" w:color="auto" w:sz="6" w:space="0"/>
              <w:left w:val="single" w:color="auto" w:sz="6" w:space="0"/>
              <w:bottom w:val="single" w:color="auto" w:sz="4" w:space="0"/>
              <w:right w:val="single" w:color="auto" w:sz="6" w:space="0"/>
            </w:tcBorders>
            <w:vAlign w:val="center"/>
          </w:tcPr>
          <w:p w14:paraId="23F8738E">
            <w:pPr>
              <w:autoSpaceDE w:val="0"/>
              <w:autoSpaceDN w:val="0"/>
              <w:adjustRightInd w:val="0"/>
              <w:spacing w:line="400" w:lineRule="exact"/>
              <w:jc w:val="center"/>
              <w:rPr>
                <w:rFonts w:cs="Times New Roman"/>
                <w:color w:val="000000"/>
                <w:lang w:val="zh-CN"/>
              </w:rPr>
            </w:pPr>
            <w:r>
              <w:rPr>
                <w:rFonts w:hint="eastAsia" w:cs="宋体"/>
                <w:color w:val="000000"/>
                <w:lang w:val="zh-CN"/>
              </w:rPr>
              <w:t>序号</w:t>
            </w:r>
          </w:p>
        </w:tc>
        <w:tc>
          <w:tcPr>
            <w:tcW w:w="1032" w:type="dxa"/>
            <w:tcBorders>
              <w:top w:val="single" w:color="auto" w:sz="6" w:space="0"/>
              <w:left w:val="single" w:color="auto" w:sz="6" w:space="0"/>
              <w:bottom w:val="single" w:color="auto" w:sz="4" w:space="0"/>
              <w:right w:val="single" w:color="auto" w:sz="4" w:space="0"/>
            </w:tcBorders>
            <w:vAlign w:val="center"/>
          </w:tcPr>
          <w:p w14:paraId="4502D908">
            <w:pPr>
              <w:autoSpaceDE w:val="0"/>
              <w:autoSpaceDN w:val="0"/>
              <w:adjustRightInd w:val="0"/>
              <w:spacing w:line="400" w:lineRule="exact"/>
              <w:jc w:val="center"/>
              <w:rPr>
                <w:rFonts w:cs="Times New Roman"/>
                <w:color w:val="000000"/>
                <w:lang w:val="zh-CN"/>
              </w:rPr>
            </w:pPr>
            <w:r>
              <w:rPr>
                <w:rFonts w:hint="eastAsia" w:cs="宋体"/>
                <w:color w:val="000000"/>
                <w:lang w:val="zh-CN"/>
              </w:rPr>
              <w:t>单元</w:t>
            </w:r>
          </w:p>
        </w:tc>
        <w:tc>
          <w:tcPr>
            <w:tcW w:w="1115" w:type="dxa"/>
            <w:tcBorders>
              <w:top w:val="single" w:color="auto" w:sz="6" w:space="0"/>
              <w:left w:val="single" w:color="auto" w:sz="4" w:space="0"/>
              <w:bottom w:val="single" w:color="auto" w:sz="4" w:space="0"/>
              <w:right w:val="single" w:color="auto" w:sz="6" w:space="0"/>
            </w:tcBorders>
            <w:vAlign w:val="center"/>
          </w:tcPr>
          <w:p w14:paraId="6A5BD5DA">
            <w:pPr>
              <w:autoSpaceDE w:val="0"/>
              <w:autoSpaceDN w:val="0"/>
              <w:adjustRightInd w:val="0"/>
              <w:spacing w:line="400" w:lineRule="exact"/>
              <w:jc w:val="center"/>
              <w:rPr>
                <w:rFonts w:cs="Times New Roman"/>
                <w:color w:val="000000"/>
                <w:lang w:val="zh-CN"/>
              </w:rPr>
            </w:pPr>
            <w:r>
              <w:rPr>
                <w:rFonts w:hint="eastAsia" w:cs="宋体"/>
                <w:color w:val="000000"/>
                <w:lang w:val="zh-CN"/>
              </w:rPr>
              <w:t>物质</w:t>
            </w:r>
          </w:p>
        </w:tc>
        <w:tc>
          <w:tcPr>
            <w:tcW w:w="1556" w:type="dxa"/>
            <w:tcBorders>
              <w:top w:val="single" w:color="auto" w:sz="6" w:space="0"/>
              <w:left w:val="single" w:color="auto" w:sz="6" w:space="0"/>
              <w:bottom w:val="single" w:color="auto" w:sz="4" w:space="0"/>
              <w:right w:val="single" w:color="auto" w:sz="6" w:space="0"/>
            </w:tcBorders>
            <w:vAlign w:val="center"/>
          </w:tcPr>
          <w:p w14:paraId="0AA1DC68">
            <w:pPr>
              <w:autoSpaceDE w:val="0"/>
              <w:autoSpaceDN w:val="0"/>
              <w:adjustRightInd w:val="0"/>
              <w:spacing w:line="400" w:lineRule="exact"/>
              <w:rPr>
                <w:rFonts w:hint="eastAsia" w:ascii="宋体" w:hAnsi="宋体" w:eastAsia="宋体" w:cs="宋体"/>
                <w:color w:val="000000"/>
                <w:lang w:val="zh-CN"/>
              </w:rPr>
            </w:pPr>
            <w:r>
              <w:rPr>
                <w:rFonts w:hint="eastAsia" w:ascii="宋体" w:hAnsi="宋体" w:eastAsia="宋体" w:cs="宋体"/>
                <w:color w:val="000000"/>
                <w:lang w:val="zh-CN"/>
              </w:rPr>
              <w:t>危险性分类</w:t>
            </w:r>
          </w:p>
        </w:tc>
        <w:tc>
          <w:tcPr>
            <w:tcW w:w="1304" w:type="dxa"/>
            <w:tcBorders>
              <w:top w:val="single" w:color="auto" w:sz="6" w:space="0"/>
              <w:left w:val="single" w:color="auto" w:sz="6" w:space="0"/>
              <w:bottom w:val="single" w:color="auto" w:sz="4" w:space="0"/>
              <w:right w:val="single" w:color="auto" w:sz="6" w:space="0"/>
            </w:tcBorders>
            <w:vAlign w:val="center"/>
          </w:tcPr>
          <w:p w14:paraId="5540D6C9">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rPr>
              <w:t>临界量（</w:t>
            </w:r>
            <w:r>
              <w:rPr>
                <w:rFonts w:hint="eastAsia" w:ascii="宋体" w:hAnsi="宋体" w:eastAsia="宋体" w:cs="宋体"/>
                <w:color w:val="000000"/>
                <w:lang w:val="zh-CN"/>
              </w:rPr>
              <w:t>t</w:t>
            </w:r>
            <w:r>
              <w:rPr>
                <w:rFonts w:hint="eastAsia" w:ascii="宋体" w:hAnsi="宋体" w:eastAsia="宋体" w:cs="宋体"/>
                <w:color w:val="000000"/>
              </w:rPr>
              <w:t>）</w:t>
            </w:r>
          </w:p>
        </w:tc>
        <w:tc>
          <w:tcPr>
            <w:tcW w:w="1237" w:type="dxa"/>
            <w:tcBorders>
              <w:top w:val="single" w:color="auto" w:sz="6" w:space="0"/>
              <w:left w:val="single" w:color="auto" w:sz="6" w:space="0"/>
              <w:bottom w:val="single" w:color="auto" w:sz="4" w:space="0"/>
              <w:right w:val="single" w:color="auto" w:sz="6" w:space="0"/>
            </w:tcBorders>
            <w:vAlign w:val="center"/>
          </w:tcPr>
          <w:p w14:paraId="464F4874">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lang w:val="zh-CN"/>
              </w:rPr>
              <w:t>存在量</w:t>
            </w:r>
            <w:r>
              <w:rPr>
                <w:rFonts w:hint="eastAsia" w:ascii="宋体" w:hAnsi="宋体" w:eastAsia="宋体" w:cs="宋体"/>
                <w:color w:val="000000"/>
              </w:rPr>
              <w:t>（</w:t>
            </w:r>
            <w:r>
              <w:rPr>
                <w:rFonts w:hint="eastAsia" w:ascii="宋体" w:hAnsi="宋体" w:eastAsia="宋体" w:cs="宋体"/>
                <w:color w:val="000000"/>
                <w:lang w:val="zh-CN"/>
              </w:rPr>
              <w:t>t</w:t>
            </w:r>
            <w:r>
              <w:rPr>
                <w:rFonts w:hint="eastAsia" w:ascii="宋体" w:hAnsi="宋体" w:eastAsia="宋体" w:cs="宋体"/>
                <w:color w:val="000000"/>
              </w:rPr>
              <w:t>）</w:t>
            </w:r>
          </w:p>
        </w:tc>
        <w:tc>
          <w:tcPr>
            <w:tcW w:w="1116" w:type="dxa"/>
            <w:tcBorders>
              <w:top w:val="single" w:color="auto" w:sz="6" w:space="0"/>
              <w:left w:val="single" w:color="auto" w:sz="6" w:space="0"/>
              <w:bottom w:val="single" w:color="auto" w:sz="4" w:space="0"/>
              <w:right w:val="single" w:color="auto" w:sz="6" w:space="0"/>
            </w:tcBorders>
            <w:vAlign w:val="center"/>
          </w:tcPr>
          <w:p w14:paraId="18EDFB55">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kern w:val="0"/>
              </w:rPr>
              <w:t>qn/Qn</w:t>
            </w:r>
          </w:p>
        </w:tc>
        <w:tc>
          <w:tcPr>
            <w:tcW w:w="874" w:type="dxa"/>
            <w:tcBorders>
              <w:top w:val="single" w:color="auto" w:sz="6" w:space="0"/>
              <w:left w:val="single" w:color="auto" w:sz="6" w:space="0"/>
              <w:bottom w:val="single" w:color="auto" w:sz="4" w:space="0"/>
              <w:right w:val="single" w:color="auto" w:sz="6" w:space="0"/>
            </w:tcBorders>
            <w:vAlign w:val="center"/>
          </w:tcPr>
          <w:p w14:paraId="6970D8DF">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rPr>
              <w:t>辨识</w:t>
            </w:r>
          </w:p>
        </w:tc>
      </w:tr>
      <w:tr w14:paraId="149AA3AB">
        <w:tblPrEx>
          <w:tblCellMar>
            <w:top w:w="0" w:type="dxa"/>
            <w:left w:w="108" w:type="dxa"/>
            <w:bottom w:w="0" w:type="dxa"/>
            <w:right w:w="108" w:type="dxa"/>
          </w:tblCellMar>
        </w:tblPrEx>
        <w:trPr>
          <w:trHeight w:val="274" w:hRule="atLeast"/>
        </w:trPr>
        <w:tc>
          <w:tcPr>
            <w:tcW w:w="750" w:type="dxa"/>
            <w:vMerge w:val="restart"/>
            <w:tcBorders>
              <w:top w:val="single" w:color="auto" w:sz="6" w:space="0"/>
              <w:left w:val="single" w:color="auto" w:sz="6" w:space="0"/>
              <w:right w:val="single" w:color="auto" w:sz="6" w:space="0"/>
            </w:tcBorders>
            <w:vAlign w:val="center"/>
          </w:tcPr>
          <w:p w14:paraId="6B28B921">
            <w:pPr>
              <w:autoSpaceDE w:val="0"/>
              <w:autoSpaceDN w:val="0"/>
              <w:adjustRightInd w:val="0"/>
              <w:spacing w:line="400" w:lineRule="exact"/>
              <w:jc w:val="center"/>
              <w:rPr>
                <w:color w:val="000000"/>
              </w:rPr>
            </w:pPr>
            <w:r>
              <w:rPr>
                <w:rFonts w:hint="eastAsia" w:ascii="宋体" w:hAnsi="宋体" w:eastAsia="宋体" w:cs="宋体"/>
                <w:color w:val="000000"/>
              </w:rPr>
              <w:t>1</w:t>
            </w:r>
          </w:p>
        </w:tc>
        <w:tc>
          <w:tcPr>
            <w:tcW w:w="1032" w:type="dxa"/>
            <w:vMerge w:val="restart"/>
            <w:tcBorders>
              <w:top w:val="single" w:color="auto" w:sz="6" w:space="0"/>
              <w:left w:val="single" w:color="auto" w:sz="6" w:space="0"/>
              <w:right w:val="single" w:color="auto" w:sz="4" w:space="0"/>
            </w:tcBorders>
            <w:vAlign w:val="center"/>
          </w:tcPr>
          <w:p w14:paraId="33F9ECC2">
            <w:pPr>
              <w:autoSpaceDE w:val="0"/>
              <w:autoSpaceDN w:val="0"/>
              <w:adjustRightInd w:val="0"/>
              <w:spacing w:line="400" w:lineRule="exact"/>
              <w:jc w:val="center"/>
              <w:rPr>
                <w:rFonts w:cs="Times New Roman"/>
                <w:color w:val="000000"/>
              </w:rPr>
            </w:pPr>
            <w:r>
              <w:rPr>
                <w:rFonts w:hint="eastAsia" w:cs="宋体"/>
                <w:color w:val="000000"/>
              </w:rPr>
              <w:t>储罐区</w:t>
            </w:r>
          </w:p>
        </w:tc>
        <w:tc>
          <w:tcPr>
            <w:tcW w:w="1115" w:type="dxa"/>
            <w:tcBorders>
              <w:top w:val="single" w:color="auto" w:sz="6" w:space="0"/>
              <w:left w:val="single" w:color="auto" w:sz="4" w:space="0"/>
              <w:bottom w:val="single" w:color="auto" w:sz="4" w:space="0"/>
              <w:right w:val="single" w:color="auto" w:sz="6" w:space="0"/>
            </w:tcBorders>
            <w:vAlign w:val="center"/>
          </w:tcPr>
          <w:p w14:paraId="7B2B0E17">
            <w:pPr>
              <w:autoSpaceDE w:val="0"/>
              <w:autoSpaceDN w:val="0"/>
              <w:adjustRightInd w:val="0"/>
              <w:spacing w:line="400" w:lineRule="exact"/>
              <w:jc w:val="center"/>
              <w:rPr>
                <w:rFonts w:cs="Times New Roman"/>
                <w:color w:val="000000"/>
              </w:rPr>
            </w:pPr>
            <w:r>
              <w:rPr>
                <w:rFonts w:hint="eastAsia" w:cs="宋体"/>
                <w:color w:val="000000"/>
              </w:rPr>
              <w:t>汽油</w:t>
            </w:r>
          </w:p>
        </w:tc>
        <w:tc>
          <w:tcPr>
            <w:tcW w:w="1556" w:type="dxa"/>
            <w:tcBorders>
              <w:top w:val="single" w:color="auto" w:sz="6" w:space="0"/>
              <w:left w:val="single" w:color="auto" w:sz="6" w:space="0"/>
              <w:bottom w:val="single" w:color="auto" w:sz="4" w:space="0"/>
              <w:right w:val="single" w:color="auto" w:sz="6" w:space="0"/>
            </w:tcBorders>
            <w:vAlign w:val="center"/>
          </w:tcPr>
          <w:p w14:paraId="156FCEF4">
            <w:pPr>
              <w:autoSpaceDE w:val="0"/>
              <w:autoSpaceDN w:val="0"/>
              <w:adjustRightInd w:val="0"/>
              <w:spacing w:line="400" w:lineRule="exact"/>
              <w:jc w:val="center"/>
              <w:rPr>
                <w:rFonts w:hint="eastAsia" w:ascii="宋体" w:hAnsi="宋体" w:eastAsia="宋体" w:cs="宋体"/>
                <w:color w:val="000000"/>
                <w:spacing w:val="-10"/>
                <w:kern w:val="0"/>
              </w:rPr>
            </w:pPr>
            <w:r>
              <w:rPr>
                <w:rFonts w:hint="eastAsia" w:ascii="宋体" w:hAnsi="宋体" w:eastAsia="宋体" w:cs="宋体"/>
                <w:color w:val="000000"/>
                <w:lang w:val="zh-CN"/>
              </w:rPr>
              <w:t>易燃液体</w:t>
            </w:r>
          </w:p>
        </w:tc>
        <w:tc>
          <w:tcPr>
            <w:tcW w:w="1304" w:type="dxa"/>
            <w:tcBorders>
              <w:top w:val="single" w:color="auto" w:sz="6" w:space="0"/>
              <w:left w:val="single" w:color="auto" w:sz="6" w:space="0"/>
              <w:bottom w:val="single" w:color="auto" w:sz="4" w:space="0"/>
              <w:right w:val="single" w:color="auto" w:sz="6" w:space="0"/>
            </w:tcBorders>
            <w:vAlign w:val="center"/>
          </w:tcPr>
          <w:p w14:paraId="71EBA26F">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lang w:val="zh-CN"/>
              </w:rPr>
              <w:t>200</w:t>
            </w:r>
          </w:p>
        </w:tc>
        <w:tc>
          <w:tcPr>
            <w:tcW w:w="1237" w:type="dxa"/>
            <w:tcBorders>
              <w:top w:val="single" w:color="auto" w:sz="6" w:space="0"/>
              <w:left w:val="single" w:color="auto" w:sz="6" w:space="0"/>
              <w:bottom w:val="single" w:color="auto" w:sz="4" w:space="0"/>
              <w:right w:val="single" w:color="auto" w:sz="6" w:space="0"/>
            </w:tcBorders>
            <w:vAlign w:val="center"/>
          </w:tcPr>
          <w:p w14:paraId="1CD1DEC0">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rPr>
              <w:t>22.5</w:t>
            </w:r>
          </w:p>
        </w:tc>
        <w:tc>
          <w:tcPr>
            <w:tcW w:w="1116" w:type="dxa"/>
            <w:tcBorders>
              <w:top w:val="single" w:color="auto" w:sz="6" w:space="0"/>
              <w:left w:val="single" w:color="auto" w:sz="6" w:space="0"/>
              <w:bottom w:val="single" w:color="auto" w:sz="4" w:space="0"/>
              <w:right w:val="single" w:color="auto" w:sz="6" w:space="0"/>
            </w:tcBorders>
            <w:vAlign w:val="center"/>
          </w:tcPr>
          <w:p w14:paraId="7C277380">
            <w:pPr>
              <w:autoSpaceDE w:val="0"/>
              <w:autoSpaceDN w:val="0"/>
              <w:adjustRightInd w:val="0"/>
              <w:spacing w:line="400" w:lineRule="exact"/>
              <w:jc w:val="center"/>
              <w:rPr>
                <w:rFonts w:hint="eastAsia" w:ascii="宋体" w:hAnsi="宋体" w:eastAsia="宋体" w:cs="宋体"/>
                <w:color w:val="000000"/>
                <w:kern w:val="0"/>
              </w:rPr>
            </w:pPr>
            <w:r>
              <w:rPr>
                <w:rFonts w:hint="eastAsia" w:ascii="宋体" w:hAnsi="宋体" w:eastAsia="宋体" w:cs="宋体"/>
                <w:color w:val="000000"/>
                <w:kern w:val="0"/>
              </w:rPr>
              <w:t>0.1125</w:t>
            </w:r>
          </w:p>
        </w:tc>
        <w:tc>
          <w:tcPr>
            <w:tcW w:w="874" w:type="dxa"/>
            <w:tcBorders>
              <w:top w:val="single" w:color="auto" w:sz="6" w:space="0"/>
              <w:left w:val="single" w:color="auto" w:sz="6" w:space="0"/>
              <w:bottom w:val="single" w:color="auto" w:sz="4" w:space="0"/>
              <w:right w:val="single" w:color="auto" w:sz="6" w:space="0"/>
            </w:tcBorders>
            <w:vAlign w:val="center"/>
          </w:tcPr>
          <w:p w14:paraId="467E5381">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lang w:val="zh-CN"/>
              </w:rPr>
              <w:t>＜1</w:t>
            </w:r>
          </w:p>
        </w:tc>
      </w:tr>
      <w:tr w14:paraId="1976BB75">
        <w:tblPrEx>
          <w:tblCellMar>
            <w:top w:w="0" w:type="dxa"/>
            <w:left w:w="108" w:type="dxa"/>
            <w:bottom w:w="0" w:type="dxa"/>
            <w:right w:w="108" w:type="dxa"/>
          </w:tblCellMar>
        </w:tblPrEx>
        <w:trPr>
          <w:trHeight w:val="90" w:hRule="atLeast"/>
        </w:trPr>
        <w:tc>
          <w:tcPr>
            <w:tcW w:w="750" w:type="dxa"/>
            <w:vMerge w:val="continue"/>
            <w:tcBorders>
              <w:left w:val="single" w:color="auto" w:sz="6" w:space="0"/>
              <w:bottom w:val="single" w:color="auto" w:sz="4" w:space="0"/>
              <w:right w:val="single" w:color="auto" w:sz="6" w:space="0"/>
            </w:tcBorders>
            <w:vAlign w:val="center"/>
          </w:tcPr>
          <w:p w14:paraId="7E9615CC">
            <w:pPr>
              <w:autoSpaceDE w:val="0"/>
              <w:autoSpaceDN w:val="0"/>
              <w:adjustRightInd w:val="0"/>
              <w:spacing w:line="400" w:lineRule="exact"/>
              <w:jc w:val="center"/>
              <w:rPr>
                <w:rFonts w:cs="Times New Roman"/>
                <w:color w:val="000000"/>
              </w:rPr>
            </w:pPr>
          </w:p>
        </w:tc>
        <w:tc>
          <w:tcPr>
            <w:tcW w:w="1032" w:type="dxa"/>
            <w:vMerge w:val="continue"/>
            <w:tcBorders>
              <w:left w:val="single" w:color="auto" w:sz="6" w:space="0"/>
              <w:bottom w:val="single" w:color="auto" w:sz="4" w:space="0"/>
              <w:right w:val="single" w:color="auto" w:sz="4" w:space="0"/>
            </w:tcBorders>
            <w:vAlign w:val="center"/>
          </w:tcPr>
          <w:p w14:paraId="4D28DFB4">
            <w:pPr>
              <w:autoSpaceDE w:val="0"/>
              <w:autoSpaceDN w:val="0"/>
              <w:adjustRightInd w:val="0"/>
              <w:spacing w:line="400" w:lineRule="exact"/>
              <w:jc w:val="center"/>
              <w:rPr>
                <w:rFonts w:cs="Times New Roman"/>
                <w:color w:val="000000"/>
              </w:rPr>
            </w:pPr>
          </w:p>
        </w:tc>
        <w:tc>
          <w:tcPr>
            <w:tcW w:w="1115" w:type="dxa"/>
            <w:tcBorders>
              <w:top w:val="single" w:color="auto" w:sz="6" w:space="0"/>
              <w:left w:val="single" w:color="auto" w:sz="4" w:space="0"/>
              <w:bottom w:val="single" w:color="auto" w:sz="4" w:space="0"/>
              <w:right w:val="single" w:color="auto" w:sz="6" w:space="0"/>
            </w:tcBorders>
            <w:vAlign w:val="center"/>
          </w:tcPr>
          <w:p w14:paraId="178261E9">
            <w:pPr>
              <w:autoSpaceDE w:val="0"/>
              <w:autoSpaceDN w:val="0"/>
              <w:adjustRightInd w:val="0"/>
              <w:spacing w:line="400" w:lineRule="exact"/>
              <w:jc w:val="center"/>
              <w:rPr>
                <w:rFonts w:cs="Times New Roman"/>
                <w:color w:val="000000"/>
              </w:rPr>
            </w:pPr>
            <w:r>
              <w:rPr>
                <w:rFonts w:hint="eastAsia" w:cs="宋体"/>
                <w:color w:val="000000"/>
              </w:rPr>
              <w:t>柴油</w:t>
            </w:r>
          </w:p>
        </w:tc>
        <w:tc>
          <w:tcPr>
            <w:tcW w:w="1556" w:type="dxa"/>
            <w:tcBorders>
              <w:top w:val="single" w:color="auto" w:sz="6" w:space="0"/>
              <w:left w:val="single" w:color="auto" w:sz="6" w:space="0"/>
              <w:bottom w:val="single" w:color="auto" w:sz="4" w:space="0"/>
              <w:right w:val="single" w:color="auto" w:sz="6" w:space="0"/>
            </w:tcBorders>
            <w:vAlign w:val="center"/>
          </w:tcPr>
          <w:p w14:paraId="06B8AC03">
            <w:pPr>
              <w:autoSpaceDE w:val="0"/>
              <w:autoSpaceDN w:val="0"/>
              <w:adjustRightInd w:val="0"/>
              <w:spacing w:line="400" w:lineRule="exact"/>
              <w:jc w:val="center"/>
              <w:rPr>
                <w:rFonts w:hint="eastAsia" w:ascii="宋体" w:hAnsi="宋体" w:eastAsia="宋体" w:cs="宋体"/>
                <w:color w:val="000000"/>
                <w:spacing w:val="-10"/>
                <w:kern w:val="0"/>
              </w:rPr>
            </w:pPr>
            <w:r>
              <w:rPr>
                <w:rFonts w:hint="eastAsia" w:ascii="宋体" w:hAnsi="宋体" w:eastAsia="宋体" w:cs="宋体"/>
                <w:color w:val="000000"/>
                <w:lang w:val="zh-CN"/>
              </w:rPr>
              <w:t>易燃液体</w:t>
            </w:r>
          </w:p>
        </w:tc>
        <w:tc>
          <w:tcPr>
            <w:tcW w:w="1304" w:type="dxa"/>
            <w:tcBorders>
              <w:top w:val="single" w:color="auto" w:sz="6" w:space="0"/>
              <w:left w:val="single" w:color="auto" w:sz="6" w:space="0"/>
              <w:bottom w:val="single" w:color="auto" w:sz="4" w:space="0"/>
              <w:right w:val="single" w:color="auto" w:sz="6" w:space="0"/>
            </w:tcBorders>
            <w:vAlign w:val="center"/>
          </w:tcPr>
          <w:p w14:paraId="54C766A2">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rPr>
              <w:t>5000</w:t>
            </w:r>
          </w:p>
        </w:tc>
        <w:tc>
          <w:tcPr>
            <w:tcW w:w="1237" w:type="dxa"/>
            <w:tcBorders>
              <w:top w:val="single" w:color="auto" w:sz="6" w:space="0"/>
              <w:left w:val="single" w:color="auto" w:sz="6" w:space="0"/>
              <w:bottom w:val="single" w:color="auto" w:sz="4" w:space="0"/>
              <w:right w:val="single" w:color="auto" w:sz="6" w:space="0"/>
            </w:tcBorders>
            <w:vAlign w:val="center"/>
          </w:tcPr>
          <w:p w14:paraId="629B068D">
            <w:pPr>
              <w:autoSpaceDE w:val="0"/>
              <w:autoSpaceDN w:val="0"/>
              <w:adjustRightInd w:val="0"/>
              <w:spacing w:line="400" w:lineRule="exact"/>
              <w:jc w:val="center"/>
              <w:rPr>
                <w:rFonts w:hint="eastAsia" w:ascii="宋体" w:hAnsi="宋体" w:eastAsia="宋体" w:cs="宋体"/>
                <w:color w:val="000000"/>
              </w:rPr>
            </w:pPr>
            <w:r>
              <w:rPr>
                <w:rFonts w:hint="eastAsia" w:ascii="宋体" w:hAnsi="宋体" w:eastAsia="宋体" w:cs="宋体"/>
                <w:color w:val="000000"/>
              </w:rPr>
              <w:t>51</w:t>
            </w:r>
          </w:p>
        </w:tc>
        <w:tc>
          <w:tcPr>
            <w:tcW w:w="1116" w:type="dxa"/>
            <w:tcBorders>
              <w:top w:val="single" w:color="auto" w:sz="6" w:space="0"/>
              <w:left w:val="single" w:color="auto" w:sz="6" w:space="0"/>
              <w:bottom w:val="single" w:color="auto" w:sz="4" w:space="0"/>
              <w:right w:val="single" w:color="auto" w:sz="6" w:space="0"/>
            </w:tcBorders>
            <w:vAlign w:val="center"/>
          </w:tcPr>
          <w:p w14:paraId="4303EEBE">
            <w:pPr>
              <w:autoSpaceDE w:val="0"/>
              <w:autoSpaceDN w:val="0"/>
              <w:adjustRightInd w:val="0"/>
              <w:spacing w:line="400" w:lineRule="exact"/>
              <w:jc w:val="center"/>
              <w:rPr>
                <w:rFonts w:hint="eastAsia" w:ascii="宋体" w:hAnsi="宋体" w:eastAsia="宋体" w:cs="宋体"/>
                <w:color w:val="000000"/>
                <w:kern w:val="0"/>
              </w:rPr>
            </w:pPr>
            <w:r>
              <w:rPr>
                <w:rFonts w:hint="eastAsia" w:ascii="宋体" w:hAnsi="宋体" w:eastAsia="宋体" w:cs="宋体"/>
                <w:color w:val="000000"/>
                <w:kern w:val="0"/>
              </w:rPr>
              <w:t>0.0102</w:t>
            </w:r>
          </w:p>
        </w:tc>
        <w:tc>
          <w:tcPr>
            <w:tcW w:w="874" w:type="dxa"/>
            <w:tcBorders>
              <w:top w:val="single" w:color="auto" w:sz="6" w:space="0"/>
              <w:left w:val="single" w:color="auto" w:sz="6" w:space="0"/>
              <w:bottom w:val="single" w:color="auto" w:sz="4" w:space="0"/>
              <w:right w:val="single" w:color="auto" w:sz="6" w:space="0"/>
            </w:tcBorders>
            <w:vAlign w:val="center"/>
          </w:tcPr>
          <w:p w14:paraId="42DD032F">
            <w:pPr>
              <w:autoSpaceDE w:val="0"/>
              <w:autoSpaceDN w:val="0"/>
              <w:adjustRightInd w:val="0"/>
              <w:spacing w:line="400" w:lineRule="exact"/>
              <w:jc w:val="center"/>
              <w:rPr>
                <w:rFonts w:hint="eastAsia" w:ascii="宋体" w:hAnsi="宋体" w:eastAsia="宋体" w:cs="宋体"/>
                <w:color w:val="000000"/>
                <w:lang w:val="zh-CN"/>
              </w:rPr>
            </w:pPr>
            <w:r>
              <w:rPr>
                <w:rFonts w:hint="eastAsia" w:ascii="宋体" w:hAnsi="宋体" w:eastAsia="宋体" w:cs="宋体"/>
                <w:color w:val="000000"/>
                <w:lang w:val="zh-CN"/>
              </w:rPr>
              <w:t>＜1</w:t>
            </w:r>
          </w:p>
        </w:tc>
      </w:tr>
      <w:tr w14:paraId="28E5E5BB">
        <w:tblPrEx>
          <w:tblCellMar>
            <w:top w:w="0" w:type="dxa"/>
            <w:left w:w="108" w:type="dxa"/>
            <w:bottom w:w="0" w:type="dxa"/>
            <w:right w:w="108" w:type="dxa"/>
          </w:tblCellMar>
        </w:tblPrEx>
        <w:trPr>
          <w:trHeight w:val="269" w:hRule="atLeast"/>
        </w:trPr>
        <w:tc>
          <w:tcPr>
            <w:tcW w:w="1782" w:type="dxa"/>
            <w:gridSpan w:val="2"/>
            <w:tcBorders>
              <w:top w:val="single" w:color="auto" w:sz="6" w:space="0"/>
              <w:left w:val="single" w:color="auto" w:sz="6" w:space="0"/>
              <w:bottom w:val="single" w:color="auto" w:sz="6" w:space="0"/>
              <w:right w:val="single" w:color="auto" w:sz="4" w:space="0"/>
            </w:tcBorders>
            <w:vAlign w:val="center"/>
          </w:tcPr>
          <w:p w14:paraId="2BE89505">
            <w:pPr>
              <w:autoSpaceDE w:val="0"/>
              <w:autoSpaceDN w:val="0"/>
              <w:adjustRightInd w:val="0"/>
              <w:spacing w:line="400" w:lineRule="exact"/>
              <w:jc w:val="center"/>
              <w:rPr>
                <w:rFonts w:cs="Times New Roman"/>
                <w:color w:val="000000"/>
                <w:lang w:val="zh-CN"/>
              </w:rPr>
            </w:pPr>
            <w:r>
              <w:rPr>
                <w:rFonts w:hint="eastAsia" w:cs="宋体"/>
                <w:color w:val="000000"/>
                <w:lang w:val="zh-CN"/>
              </w:rPr>
              <w:t>合计</w:t>
            </w:r>
          </w:p>
        </w:tc>
        <w:tc>
          <w:tcPr>
            <w:tcW w:w="7202" w:type="dxa"/>
            <w:gridSpan w:val="6"/>
            <w:tcBorders>
              <w:top w:val="single" w:color="auto" w:sz="6" w:space="0"/>
              <w:left w:val="single" w:color="auto" w:sz="4" w:space="0"/>
              <w:bottom w:val="single" w:color="auto" w:sz="6" w:space="0"/>
              <w:right w:val="single" w:color="auto" w:sz="4" w:space="0"/>
            </w:tcBorders>
            <w:vAlign w:val="center"/>
          </w:tcPr>
          <w:p w14:paraId="55949CC0">
            <w:pPr>
              <w:autoSpaceDE w:val="0"/>
              <w:autoSpaceDN w:val="0"/>
              <w:adjustRightInd w:val="0"/>
              <w:spacing w:line="400" w:lineRule="exact"/>
              <w:jc w:val="center"/>
              <w:rPr>
                <w:rFonts w:cs="Times New Roman"/>
                <w:color w:val="000000"/>
                <w:kern w:val="0"/>
              </w:rPr>
            </w:pPr>
            <w:r>
              <w:rPr>
                <w:rFonts w:hint="eastAsia" w:ascii="宋体" w:hAnsi="宋体" w:cs="宋体"/>
                <w:color w:val="000000"/>
                <w:kern w:val="0"/>
                <w:lang w:val="en-US" w:eastAsia="zh-CN"/>
              </w:rPr>
              <w:t>S=</w:t>
            </w:r>
            <w:r>
              <w:rPr>
                <w:rFonts w:hint="eastAsia" w:ascii="宋体" w:hAnsi="宋体" w:eastAsia="宋体" w:cs="宋体"/>
                <w:color w:val="000000"/>
                <w:kern w:val="0"/>
              </w:rPr>
              <w:t>0.1125</w:t>
            </w:r>
            <w:r>
              <w:rPr>
                <w:rFonts w:hint="eastAsia" w:ascii="宋体" w:hAnsi="宋体" w:eastAsia="宋体" w:cs="宋体"/>
                <w:color w:val="000000"/>
              </w:rPr>
              <w:t>+</w:t>
            </w:r>
            <w:r>
              <w:rPr>
                <w:rFonts w:hint="eastAsia" w:ascii="宋体" w:hAnsi="宋体" w:eastAsia="宋体" w:cs="宋体"/>
                <w:color w:val="000000"/>
                <w:kern w:val="0"/>
              </w:rPr>
              <w:t>0.0102=0.1227</w:t>
            </w:r>
            <w:r>
              <w:rPr>
                <w:rFonts w:hint="eastAsia" w:ascii="宋体" w:hAnsi="宋体" w:eastAsia="宋体" w:cs="宋体"/>
                <w:color w:val="000000"/>
              </w:rPr>
              <w:t>＜1，不构成重大危险源</w:t>
            </w:r>
          </w:p>
        </w:tc>
      </w:tr>
    </w:tbl>
    <w:p w14:paraId="75D27B09">
      <w:pPr>
        <w:tabs>
          <w:tab w:val="left" w:pos="5535"/>
        </w:tabs>
        <w:spacing w:line="540" w:lineRule="exact"/>
        <w:ind w:firstLine="573"/>
        <w:rPr>
          <w:rFonts w:hint="eastAsia" w:ascii="宋体" w:hAnsi="宋体" w:eastAsia="宋体" w:cs="宋体"/>
          <w:b w:val="0"/>
          <w:bCs w:val="0"/>
          <w:sz w:val="28"/>
          <w:szCs w:val="28"/>
        </w:rPr>
      </w:pPr>
      <w:r>
        <w:rPr>
          <w:rFonts w:hint="eastAsia" w:cs="宋体"/>
          <w:sz w:val="28"/>
          <w:szCs w:val="28"/>
        </w:rPr>
        <w:t>由上表可知，本站油储罐区和加油区均未超过《危险化学品重大危险源辨识》规定的临界量，</w:t>
      </w:r>
      <w:r>
        <w:rPr>
          <w:rFonts w:hint="eastAsia" w:cs="宋体"/>
          <w:b/>
          <w:bCs/>
          <w:sz w:val="28"/>
          <w:szCs w:val="28"/>
          <w:lang w:val="en-US" w:eastAsia="zh-CN"/>
        </w:rPr>
        <w:t>生产单元和储存单元均</w:t>
      </w:r>
      <w:r>
        <w:rPr>
          <w:rFonts w:hint="eastAsia" w:ascii="宋体" w:hAnsi="宋体" w:eastAsia="宋体" w:cs="宋体"/>
          <w:b/>
          <w:bCs/>
          <w:sz w:val="28"/>
          <w:szCs w:val="28"/>
        </w:rPr>
        <w:t>不构成</w:t>
      </w:r>
      <w:r>
        <w:rPr>
          <w:rFonts w:hint="eastAsia" w:ascii="宋体" w:hAnsi="宋体" w:cs="宋体"/>
          <w:b/>
          <w:bCs/>
          <w:sz w:val="28"/>
          <w:szCs w:val="28"/>
          <w:lang w:val="en-US" w:eastAsia="zh-CN"/>
        </w:rPr>
        <w:t>危险化学品</w:t>
      </w:r>
      <w:r>
        <w:rPr>
          <w:rFonts w:hint="eastAsia" w:ascii="宋体" w:hAnsi="宋体" w:eastAsia="宋体" w:cs="宋体"/>
          <w:b/>
          <w:bCs/>
          <w:sz w:val="28"/>
          <w:szCs w:val="28"/>
        </w:rPr>
        <w:t>重大危险源</w:t>
      </w:r>
      <w:r>
        <w:rPr>
          <w:rFonts w:hint="eastAsia" w:ascii="宋体" w:hAnsi="宋体" w:eastAsia="宋体" w:cs="宋体"/>
          <w:b w:val="0"/>
          <w:bCs w:val="0"/>
          <w:sz w:val="28"/>
          <w:szCs w:val="28"/>
        </w:rPr>
        <w:t>。</w:t>
      </w:r>
    </w:p>
    <w:p w14:paraId="0E045324">
      <w:pPr>
        <w:keepNext w:val="0"/>
        <w:keepLines w:val="0"/>
        <w:pageBreakBefore w:val="0"/>
        <w:widowControl w:val="0"/>
        <w:kinsoku/>
        <w:wordWrap/>
        <w:overflowPunct/>
        <w:topLinePunct w:val="0"/>
        <w:autoSpaceDE/>
        <w:autoSpaceDN/>
        <w:bidi w:val="0"/>
        <w:adjustRightInd/>
        <w:snapToGrid/>
        <w:textAlignment w:val="auto"/>
        <w:outlineLvl w:val="2"/>
        <w:rPr>
          <w:rFonts w:hint="eastAsia" w:ascii="楷体" w:hAnsi="楷体" w:eastAsia="楷体" w:cs="楷体"/>
          <w:b/>
          <w:bCs/>
          <w:kern w:val="2"/>
          <w:sz w:val="32"/>
          <w:szCs w:val="32"/>
          <w:lang w:val="en-US" w:eastAsia="zh-CN" w:bidi="ar-SA"/>
        </w:rPr>
      </w:pPr>
      <w:bookmarkStart w:id="139" w:name="_Toc7232"/>
      <w:bookmarkStart w:id="140" w:name="_Toc8195"/>
      <w:bookmarkStart w:id="141" w:name="_Toc30932"/>
      <w:r>
        <w:rPr>
          <w:rFonts w:hint="eastAsia" w:ascii="楷体" w:hAnsi="楷体" w:eastAsia="楷体" w:cs="楷体"/>
          <w:b/>
          <w:bCs/>
          <w:sz w:val="32"/>
          <w:szCs w:val="32"/>
        </w:rPr>
        <w:t>3.</w:t>
      </w:r>
      <w:r>
        <w:rPr>
          <w:rFonts w:hint="eastAsia" w:ascii="楷体" w:hAnsi="楷体" w:eastAsia="楷体" w:cs="楷体"/>
          <w:b/>
          <w:bCs/>
          <w:sz w:val="32"/>
          <w:szCs w:val="32"/>
          <w:lang w:val="en-US" w:eastAsia="zh-CN"/>
        </w:rPr>
        <w:t>3</w:t>
      </w:r>
      <w:r>
        <w:rPr>
          <w:rFonts w:hint="eastAsia" w:ascii="楷体" w:hAnsi="楷体" w:eastAsia="楷体" w:cs="楷体"/>
          <w:b/>
          <w:bCs/>
          <w:sz w:val="32"/>
          <w:szCs w:val="32"/>
        </w:rPr>
        <w:t>.</w:t>
      </w:r>
      <w:r>
        <w:rPr>
          <w:rFonts w:hint="eastAsia" w:ascii="楷体" w:hAnsi="楷体" w:eastAsia="楷体" w:cs="楷体"/>
          <w:b/>
          <w:bCs/>
          <w:sz w:val="32"/>
          <w:szCs w:val="32"/>
          <w:lang w:val="en-US" w:eastAsia="zh-CN"/>
        </w:rPr>
        <w:t>3</w:t>
      </w:r>
      <w:r>
        <w:rPr>
          <w:rFonts w:hint="eastAsia" w:ascii="楷体" w:hAnsi="楷体" w:eastAsia="楷体" w:cs="楷体"/>
          <w:b/>
          <w:bCs/>
          <w:kern w:val="2"/>
          <w:sz w:val="32"/>
          <w:szCs w:val="32"/>
          <w:lang w:val="en-US" w:eastAsia="zh-CN" w:bidi="ar-SA"/>
        </w:rPr>
        <w:t>爆炸危险区域划分</w:t>
      </w:r>
      <w:bookmarkEnd w:id="139"/>
    </w:p>
    <w:p w14:paraId="3D4A0F2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宋体" w:hAnsi="宋体" w:eastAsia="宋体" w:cs="宋体"/>
          <w:b w:val="0"/>
          <w:bCs w:val="0"/>
          <w:kern w:val="2"/>
          <w:sz w:val="28"/>
          <w:szCs w:val="28"/>
          <w:lang w:val="en-US" w:eastAsia="zh-CN" w:bidi="ar-SA"/>
        </w:rPr>
      </w:pPr>
      <w:r>
        <w:rPr>
          <w:rFonts w:hint="eastAsia" w:ascii="宋体" w:hAnsi="宋体" w:eastAsia="宋体" w:cs="宋体"/>
          <w:b w:val="0"/>
          <w:bCs w:val="0"/>
          <w:kern w:val="2"/>
          <w:sz w:val="28"/>
          <w:szCs w:val="28"/>
          <w:lang w:val="en-US" w:eastAsia="zh-CN" w:bidi="ar-SA"/>
        </w:rPr>
        <w:t>本站采用油气回收系统，根据《汽车加油加气加氢站技术标准》GB50156-2021附录C和《爆炸危险环境电力装置设计规范》GB50058-2014，其爆炸危险区域划分见表3-5</w:t>
      </w:r>
    </w:p>
    <w:p w14:paraId="08047032">
      <w:pPr>
        <w:spacing w:line="600" w:lineRule="exact"/>
        <w:jc w:val="center"/>
        <w:rPr>
          <w:rFonts w:cs="Times New Roman"/>
          <w:b/>
          <w:bCs/>
          <w:sz w:val="24"/>
          <w:szCs w:val="24"/>
          <w:lang w:val="zh-CN"/>
        </w:rPr>
      </w:pPr>
      <w:r>
        <w:rPr>
          <w:rFonts w:hint="eastAsia" w:cs="宋体"/>
          <w:b/>
          <w:bCs/>
          <w:sz w:val="24"/>
          <w:szCs w:val="24"/>
          <w:lang w:val="zh-CN"/>
        </w:rPr>
        <w:t>表</w:t>
      </w:r>
      <w:r>
        <w:rPr>
          <w:b/>
          <w:bCs/>
          <w:sz w:val="24"/>
          <w:szCs w:val="24"/>
          <w:lang w:val="zh-CN"/>
        </w:rPr>
        <w:t>3-</w:t>
      </w:r>
      <w:r>
        <w:rPr>
          <w:b/>
          <w:bCs/>
          <w:sz w:val="24"/>
          <w:szCs w:val="24"/>
        </w:rPr>
        <w:t>5</w:t>
      </w:r>
      <w:r>
        <w:rPr>
          <w:rFonts w:hint="eastAsia" w:cs="宋体"/>
          <w:b/>
          <w:bCs/>
          <w:sz w:val="24"/>
          <w:szCs w:val="24"/>
          <w:lang w:val="zh-CN"/>
        </w:rPr>
        <w:t>防爆区域划分图</w:t>
      </w:r>
    </w:p>
    <w:tbl>
      <w:tblPr>
        <w:tblStyle w:val="19"/>
        <w:tblW w:w="89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490"/>
        <w:gridCol w:w="3411"/>
        <w:gridCol w:w="4037"/>
      </w:tblGrid>
      <w:tr w14:paraId="55165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85" w:hRule="atLeast"/>
          <w:tblHeader/>
          <w:jc w:val="center"/>
        </w:trPr>
        <w:tc>
          <w:tcPr>
            <w:tcW w:w="1490" w:type="dxa"/>
            <w:tcBorders>
              <w:top w:val="single" w:color="auto" w:sz="12" w:space="0"/>
            </w:tcBorders>
            <w:vAlign w:val="center"/>
          </w:tcPr>
          <w:p w14:paraId="284C9B4C">
            <w:pPr>
              <w:adjustRightInd w:val="0"/>
              <w:snapToGrid w:val="0"/>
              <w:rPr>
                <w:rFonts w:cs="Times New Roman"/>
                <w:b/>
                <w:bCs/>
              </w:rPr>
            </w:pPr>
            <w:r>
              <w:rPr>
                <w:rFonts w:hint="eastAsia" w:cs="宋体"/>
                <w:b/>
                <w:bCs/>
              </w:rPr>
              <w:t>区域名称</w:t>
            </w:r>
          </w:p>
        </w:tc>
        <w:tc>
          <w:tcPr>
            <w:tcW w:w="3411" w:type="dxa"/>
            <w:tcBorders>
              <w:top w:val="single" w:color="auto" w:sz="12" w:space="0"/>
            </w:tcBorders>
            <w:vAlign w:val="center"/>
          </w:tcPr>
          <w:p w14:paraId="47508ECD">
            <w:pPr>
              <w:adjustRightInd w:val="0"/>
              <w:snapToGrid w:val="0"/>
              <w:ind w:firstLine="480"/>
              <w:jc w:val="center"/>
              <w:rPr>
                <w:rFonts w:cs="Times New Roman"/>
                <w:b/>
                <w:bCs/>
              </w:rPr>
            </w:pPr>
            <w:r>
              <w:rPr>
                <w:rFonts w:hint="eastAsia" w:cs="宋体"/>
                <w:b/>
                <w:bCs/>
              </w:rPr>
              <w:t>图例</w:t>
            </w:r>
          </w:p>
        </w:tc>
        <w:tc>
          <w:tcPr>
            <w:tcW w:w="4037" w:type="dxa"/>
            <w:tcBorders>
              <w:top w:val="single" w:color="auto" w:sz="12" w:space="0"/>
            </w:tcBorders>
            <w:vAlign w:val="center"/>
          </w:tcPr>
          <w:p w14:paraId="2E79B8FA">
            <w:pPr>
              <w:adjustRightInd w:val="0"/>
              <w:snapToGrid w:val="0"/>
              <w:ind w:firstLine="480"/>
              <w:jc w:val="center"/>
              <w:rPr>
                <w:rFonts w:cs="Times New Roman"/>
                <w:b/>
                <w:bCs/>
              </w:rPr>
            </w:pPr>
            <w:r>
              <w:rPr>
                <w:rFonts w:hint="eastAsia" w:cs="宋体"/>
                <w:b/>
                <w:bCs/>
              </w:rPr>
              <w:t>危险区域范围</w:t>
            </w:r>
          </w:p>
        </w:tc>
      </w:tr>
      <w:tr w14:paraId="29A2CE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295" w:hRule="atLeast"/>
          <w:tblHeader/>
          <w:jc w:val="center"/>
        </w:trPr>
        <w:tc>
          <w:tcPr>
            <w:tcW w:w="1490" w:type="dxa"/>
            <w:vAlign w:val="center"/>
          </w:tcPr>
          <w:p w14:paraId="10ED0B19">
            <w:pPr>
              <w:adjustRightInd w:val="0"/>
              <w:snapToGrid w:val="0"/>
              <w:rPr>
                <w:rFonts w:cs="Times New Roman"/>
              </w:rPr>
            </w:pPr>
            <w:r>
              <w:rPr>
                <w:rFonts w:hint="eastAsia" w:cs="宋体"/>
                <w:spacing w:val="10"/>
              </w:rPr>
              <w:t>埋地卧式汽油储罐爆炸危险区域划分</w:t>
            </w:r>
          </w:p>
        </w:tc>
        <w:tc>
          <w:tcPr>
            <w:tcW w:w="3411" w:type="dxa"/>
            <w:vAlign w:val="center"/>
          </w:tcPr>
          <w:p w14:paraId="5BA21688">
            <w:pPr>
              <w:adjustRightInd w:val="0"/>
              <w:snapToGrid w:val="0"/>
              <w:jc w:val="center"/>
              <w:rPr>
                <w:rFonts w:cs="Times New Roman"/>
              </w:rPr>
            </w:pPr>
            <w:r>
              <w:pict>
                <v:shape id="Picture 66" o:spid="_x0000_s1101" o:spt="75" type="#_x0000_t75" style="position:absolute;left:0pt;margin-left:0.55pt;margin-top:56.15pt;height:110.6pt;width:175.45pt;mso-wrap-distance-bottom:0pt;mso-wrap-distance-top:0pt;z-index:251664384;mso-width-relative:page;mso-height-relative:page;" o:ole="t" filled="f" o:preferrelative="t" stroked="f" coordsize="21600,21600">
                  <v:path/>
                  <v:fill on="f" focussize="0,0"/>
                  <v:stroke on="f" joinstyle="miter"/>
                  <v:imagedata r:id="rId12" o:title=""/>
                  <o:lock v:ext="edit" aspectratio="t"/>
                  <w10:wrap type="topAndBottom"/>
                </v:shape>
                <o:OLEObject Type="Embed" ProgID="Msxml2.SAXXMLReader.5.0" ShapeID="Picture 66" DrawAspect="Content" ObjectID="_1468075725" r:id="rId11">
                  <o:LockedField>false</o:LockedField>
                </o:OLEObject>
              </w:pict>
            </w:r>
          </w:p>
        </w:tc>
        <w:tc>
          <w:tcPr>
            <w:tcW w:w="4037" w:type="dxa"/>
            <w:vAlign w:val="center"/>
          </w:tcPr>
          <w:p w14:paraId="2E8EF0CE">
            <w:pPr>
              <w:adjustRightInd w:val="0"/>
              <w:snapToGrid w:val="0"/>
              <w:rPr>
                <w:rFonts w:hint="eastAsia" w:ascii="宋体" w:hAnsi="宋体" w:eastAsia="宋体" w:cs="宋体"/>
                <w:spacing w:val="10"/>
              </w:rPr>
            </w:pPr>
            <w:r>
              <w:rPr>
                <w:rFonts w:hint="eastAsia" w:ascii="宋体" w:hAnsi="宋体" w:eastAsia="宋体" w:cs="宋体"/>
                <w:spacing w:val="10"/>
              </w:rPr>
              <w:t>1、罐内部油品表面以上的空间应划分为0区。</w:t>
            </w:r>
          </w:p>
          <w:p w14:paraId="1F46C447">
            <w:pPr>
              <w:adjustRightInd w:val="0"/>
              <w:snapToGrid w:val="0"/>
              <w:rPr>
                <w:rFonts w:hint="eastAsia" w:ascii="宋体" w:hAnsi="宋体" w:eastAsia="宋体" w:cs="宋体"/>
                <w:spacing w:val="10"/>
              </w:rPr>
            </w:pPr>
            <w:r>
              <w:rPr>
                <w:rFonts w:hint="eastAsia" w:ascii="宋体" w:hAnsi="宋体" w:eastAsia="宋体" w:cs="宋体"/>
                <w:spacing w:val="10"/>
              </w:rPr>
              <w:t>2、人孔井内部空间、以通气管管口为中心，半径为0.75m的球形空间和以密闭卸油口为中心，半径为0.5m的球形空间，应划分为1区。</w:t>
            </w:r>
          </w:p>
          <w:p w14:paraId="35F49EFA">
            <w:pPr>
              <w:adjustRightInd w:val="0"/>
              <w:snapToGrid w:val="0"/>
              <w:rPr>
                <w:rFonts w:cs="Times New Roman"/>
                <w:spacing w:val="20"/>
              </w:rPr>
            </w:pPr>
            <w:r>
              <w:rPr>
                <w:rFonts w:hint="eastAsia" w:ascii="宋体" w:hAnsi="宋体" w:eastAsia="宋体" w:cs="宋体"/>
                <w:spacing w:val="10"/>
              </w:rPr>
              <w:t>3、距人孔井外边缘1.5m以内，自地面算起1m高的圆柱形空间、以通气管管口为中心，半径为2m的球形空间和以密闭卸油口为中心，半径为1.5m的球形并延至地面的空间，应划分为2区。</w:t>
            </w:r>
          </w:p>
        </w:tc>
      </w:tr>
      <w:tr w14:paraId="69FFC8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415" w:hRule="atLeast"/>
          <w:tblHeader/>
          <w:jc w:val="center"/>
        </w:trPr>
        <w:tc>
          <w:tcPr>
            <w:tcW w:w="1490" w:type="dxa"/>
            <w:vAlign w:val="center"/>
          </w:tcPr>
          <w:p w14:paraId="4B3A4A45">
            <w:pPr>
              <w:adjustRightInd w:val="0"/>
              <w:snapToGrid w:val="0"/>
              <w:rPr>
                <w:rFonts w:cs="Times New Roman"/>
              </w:rPr>
            </w:pPr>
            <w:r>
              <w:rPr>
                <w:rFonts w:hint="eastAsia" w:cs="宋体"/>
                <w:spacing w:val="10"/>
              </w:rPr>
              <w:t>汽油的地面油罐、油罐车和密闭卸油口的爆炸危险区域划分</w:t>
            </w:r>
          </w:p>
        </w:tc>
        <w:tc>
          <w:tcPr>
            <w:tcW w:w="3411" w:type="dxa"/>
            <w:vAlign w:val="center"/>
          </w:tcPr>
          <w:p w14:paraId="48C0E9B0">
            <w:pPr>
              <w:adjustRightInd w:val="0"/>
              <w:snapToGrid w:val="0"/>
              <w:jc w:val="center"/>
              <w:rPr>
                <w:rFonts w:cs="Times New Roman"/>
              </w:rPr>
            </w:pPr>
            <w:r>
              <w:drawing>
                <wp:anchor distT="0" distB="0" distL="114300" distR="114300" simplePos="0" relativeHeight="251665408" behindDoc="0" locked="0" layoutInCell="1" allowOverlap="1">
                  <wp:simplePos x="0" y="0"/>
                  <wp:positionH relativeFrom="column">
                    <wp:posOffset>10795</wp:posOffset>
                  </wp:positionH>
                  <wp:positionV relativeFrom="paragraph">
                    <wp:posOffset>78105</wp:posOffset>
                  </wp:positionV>
                  <wp:extent cx="1943100" cy="1227455"/>
                  <wp:effectExtent l="0" t="0" r="0" b="10795"/>
                  <wp:wrapNone/>
                  <wp:docPr id="7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67"/>
                          <pic:cNvPicPr>
                            <a:picLocks noChangeAspect="1"/>
                          </pic:cNvPicPr>
                        </pic:nvPicPr>
                        <pic:blipFill>
                          <a:blip r:embed="rId13"/>
                          <a:srcRect t="5914" r="19711" b="25301"/>
                          <a:stretch>
                            <a:fillRect/>
                          </a:stretch>
                        </pic:blipFill>
                        <pic:spPr>
                          <a:xfrm>
                            <a:off x="0" y="0"/>
                            <a:ext cx="1943100" cy="1227455"/>
                          </a:xfrm>
                          <a:prstGeom prst="rect">
                            <a:avLst/>
                          </a:prstGeom>
                          <a:noFill/>
                          <a:ln>
                            <a:noFill/>
                          </a:ln>
                        </pic:spPr>
                      </pic:pic>
                    </a:graphicData>
                  </a:graphic>
                </wp:anchor>
              </w:drawing>
            </w:r>
          </w:p>
        </w:tc>
        <w:tc>
          <w:tcPr>
            <w:tcW w:w="4037" w:type="dxa"/>
            <w:vAlign w:val="center"/>
          </w:tcPr>
          <w:p w14:paraId="00928E43">
            <w:pPr>
              <w:adjustRightInd w:val="0"/>
              <w:snapToGrid w:val="0"/>
              <w:rPr>
                <w:rFonts w:hint="eastAsia" w:ascii="宋体" w:hAnsi="宋体" w:eastAsia="宋体" w:cs="宋体"/>
                <w:spacing w:val="10"/>
              </w:rPr>
            </w:pPr>
            <w:r>
              <w:rPr>
                <w:rFonts w:hint="eastAsia" w:ascii="宋体" w:hAnsi="宋体" w:eastAsia="宋体" w:cs="宋体"/>
                <w:spacing w:val="10"/>
              </w:rPr>
              <w:t>1、地面油罐和油罐车内部的油品表面以上空间应划分为0区。</w:t>
            </w:r>
          </w:p>
          <w:p w14:paraId="5B9F99E0">
            <w:pPr>
              <w:adjustRightInd w:val="0"/>
              <w:snapToGrid w:val="0"/>
              <w:rPr>
                <w:rFonts w:hint="eastAsia" w:ascii="宋体" w:hAnsi="宋体" w:eastAsia="宋体" w:cs="宋体"/>
                <w:spacing w:val="10"/>
              </w:rPr>
            </w:pPr>
            <w:r>
              <w:rPr>
                <w:rFonts w:hint="eastAsia" w:ascii="宋体" w:hAnsi="宋体" w:eastAsia="宋体" w:cs="宋体"/>
                <w:spacing w:val="10"/>
              </w:rPr>
              <w:t>2、以通气口为中心，半径为1.5m的球形空间和以密闭卸油口为中心，半径为0.5m的球形空间，应划分为1区。</w:t>
            </w:r>
          </w:p>
          <w:p w14:paraId="513F20E8">
            <w:pPr>
              <w:adjustRightInd w:val="0"/>
              <w:snapToGrid w:val="0"/>
              <w:rPr>
                <w:rFonts w:hint="eastAsia" w:ascii="宋体" w:hAnsi="宋体" w:eastAsia="宋体" w:cs="宋体"/>
                <w:spacing w:val="20"/>
              </w:rPr>
            </w:pPr>
            <w:r>
              <w:rPr>
                <w:rFonts w:hint="eastAsia" w:ascii="宋体" w:hAnsi="宋体" w:eastAsia="宋体" w:cs="宋体"/>
                <w:spacing w:val="10"/>
              </w:rPr>
              <w:t>3、以通气口为中心，半径为3m的球形并延至地面的空间和以密闭卸油口为中心，半径为1.5m的球形并延至地面的空间，应划分为2区。</w:t>
            </w:r>
          </w:p>
        </w:tc>
      </w:tr>
      <w:tr w14:paraId="46C9F6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38" w:hRule="atLeast"/>
          <w:tblHeader/>
          <w:jc w:val="center"/>
        </w:trPr>
        <w:tc>
          <w:tcPr>
            <w:tcW w:w="1490" w:type="dxa"/>
            <w:tcBorders>
              <w:bottom w:val="single" w:color="auto" w:sz="12" w:space="0"/>
            </w:tcBorders>
            <w:vAlign w:val="center"/>
          </w:tcPr>
          <w:p w14:paraId="262BA57E">
            <w:pPr>
              <w:adjustRightInd w:val="0"/>
              <w:snapToGrid w:val="0"/>
              <w:rPr>
                <w:rFonts w:cs="Times New Roman"/>
              </w:rPr>
            </w:pPr>
            <w:r>
              <w:rPr>
                <w:rFonts w:hint="eastAsia" w:cs="宋体"/>
                <w:spacing w:val="10"/>
              </w:rPr>
              <w:t>汽油加油机爆炸危险区域划分</w:t>
            </w:r>
          </w:p>
        </w:tc>
        <w:tc>
          <w:tcPr>
            <w:tcW w:w="3411" w:type="dxa"/>
            <w:tcBorders>
              <w:bottom w:val="single" w:color="auto" w:sz="12" w:space="0"/>
            </w:tcBorders>
            <w:vAlign w:val="center"/>
          </w:tcPr>
          <w:p w14:paraId="6721DB4D">
            <w:pPr>
              <w:adjustRightInd w:val="0"/>
              <w:snapToGrid w:val="0"/>
              <w:jc w:val="center"/>
              <w:rPr>
                <w:rFonts w:cs="Times New Roman"/>
              </w:rPr>
            </w:pPr>
            <w:r>
              <w:drawing>
                <wp:anchor distT="0" distB="0" distL="114300" distR="114300" simplePos="0" relativeHeight="251666432" behindDoc="0" locked="0" layoutInCell="1" allowOverlap="1">
                  <wp:simplePos x="0" y="0"/>
                  <wp:positionH relativeFrom="column">
                    <wp:posOffset>12065</wp:posOffset>
                  </wp:positionH>
                  <wp:positionV relativeFrom="paragraph">
                    <wp:posOffset>-1166495</wp:posOffset>
                  </wp:positionV>
                  <wp:extent cx="2223135" cy="1317625"/>
                  <wp:effectExtent l="0" t="0" r="5715" b="15875"/>
                  <wp:wrapTopAndBottom/>
                  <wp:docPr id="7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68"/>
                          <pic:cNvPicPr>
                            <a:picLocks noChangeAspect="1"/>
                          </pic:cNvPicPr>
                        </pic:nvPicPr>
                        <pic:blipFill>
                          <a:blip r:embed="rId14"/>
                          <a:stretch>
                            <a:fillRect/>
                          </a:stretch>
                        </pic:blipFill>
                        <pic:spPr>
                          <a:xfrm>
                            <a:off x="0" y="0"/>
                            <a:ext cx="2223135" cy="1317625"/>
                          </a:xfrm>
                          <a:prstGeom prst="rect">
                            <a:avLst/>
                          </a:prstGeom>
                          <a:noFill/>
                          <a:ln>
                            <a:noFill/>
                          </a:ln>
                        </pic:spPr>
                      </pic:pic>
                    </a:graphicData>
                  </a:graphic>
                </wp:anchor>
              </w:drawing>
            </w:r>
          </w:p>
        </w:tc>
        <w:tc>
          <w:tcPr>
            <w:tcW w:w="4037" w:type="dxa"/>
            <w:tcBorders>
              <w:bottom w:val="single" w:color="auto" w:sz="12" w:space="0"/>
            </w:tcBorders>
            <w:vAlign w:val="center"/>
          </w:tcPr>
          <w:p w14:paraId="686F7A4B">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pacing w:val="10"/>
              </w:rPr>
            </w:pPr>
            <w:r>
              <w:rPr>
                <w:rFonts w:hint="eastAsia" w:ascii="宋体" w:hAnsi="宋体" w:eastAsia="宋体" w:cs="宋体"/>
                <w:spacing w:val="10"/>
              </w:rPr>
              <w:t>1、加油机壳体内部空间应划分为1区。</w:t>
            </w:r>
          </w:p>
          <w:p w14:paraId="745AAE00">
            <w:pPr>
              <w:adjustRightInd w:val="0"/>
              <w:snapToGrid w:val="0"/>
              <w:rPr>
                <w:rFonts w:hint="eastAsia" w:ascii="宋体" w:hAnsi="宋体" w:eastAsia="宋体" w:cs="宋体"/>
                <w:spacing w:val="20"/>
              </w:rPr>
            </w:pPr>
            <w:r>
              <w:rPr>
                <w:rFonts w:hint="eastAsia" w:ascii="宋体" w:hAnsi="宋体" w:eastAsia="宋体" w:cs="宋体"/>
                <w:spacing w:val="10"/>
              </w:rPr>
              <w:t>2、以加油机中心线为中心线，以半径为3m的地面区域为底面和以加油机顶部以上0.15m半径为1.5m的平面为顶面的圆台形空间，应划分为2区。</w:t>
            </w:r>
          </w:p>
        </w:tc>
      </w:tr>
    </w:tbl>
    <w:p w14:paraId="0B028FC4">
      <w:pPr>
        <w:rPr>
          <w:rStyle w:val="25"/>
          <w:rFonts w:hint="eastAsia" w:ascii="楷体" w:hAnsi="楷体" w:eastAsia="楷体" w:cs="楷体"/>
          <w:sz w:val="32"/>
          <w:szCs w:val="32"/>
        </w:rPr>
      </w:pPr>
      <w:r>
        <w:rPr>
          <w:rStyle w:val="25"/>
          <w:rFonts w:hint="eastAsia" w:ascii="楷体" w:hAnsi="楷体" w:eastAsia="楷体" w:cs="楷体"/>
          <w:sz w:val="32"/>
          <w:szCs w:val="32"/>
        </w:rPr>
        <w:br w:type="page"/>
      </w:r>
    </w:p>
    <w:p w14:paraId="47EDF4E7">
      <w:pPr>
        <w:keepNext w:val="0"/>
        <w:keepLines w:val="0"/>
        <w:pageBreakBefore w:val="0"/>
        <w:widowControl w:val="0"/>
        <w:kinsoku/>
        <w:wordWrap/>
        <w:overflowPunct/>
        <w:topLinePunct w:val="0"/>
        <w:autoSpaceDE/>
        <w:autoSpaceDN/>
        <w:bidi w:val="0"/>
        <w:adjustRightInd/>
        <w:snapToGrid/>
        <w:textAlignment w:val="auto"/>
        <w:outlineLvl w:val="1"/>
        <w:rPr>
          <w:rStyle w:val="25"/>
          <w:rFonts w:hint="eastAsia" w:ascii="楷体" w:hAnsi="楷体" w:eastAsia="楷体" w:cs="楷体"/>
          <w:sz w:val="32"/>
          <w:szCs w:val="32"/>
        </w:rPr>
      </w:pPr>
      <w:bookmarkStart w:id="142" w:name="_Toc26896"/>
      <w:r>
        <w:rPr>
          <w:rStyle w:val="25"/>
          <w:rFonts w:hint="eastAsia" w:ascii="楷体" w:hAnsi="楷体" w:eastAsia="楷体" w:cs="楷体"/>
          <w:sz w:val="32"/>
          <w:szCs w:val="32"/>
        </w:rPr>
        <w:t>3.</w:t>
      </w:r>
      <w:bookmarkEnd w:id="140"/>
      <w:bookmarkEnd w:id="141"/>
      <w:r>
        <w:rPr>
          <w:rStyle w:val="25"/>
          <w:rFonts w:hint="eastAsia" w:ascii="楷体" w:hAnsi="楷体" w:eastAsia="楷体" w:cs="楷体"/>
          <w:sz w:val="32"/>
          <w:szCs w:val="32"/>
          <w:lang w:val="en-US" w:eastAsia="zh-CN"/>
        </w:rPr>
        <w:t>4</w:t>
      </w:r>
      <w:r>
        <w:rPr>
          <w:rStyle w:val="25"/>
          <w:rFonts w:hint="eastAsia" w:ascii="楷体" w:hAnsi="楷体" w:eastAsia="楷体" w:cs="楷体"/>
          <w:sz w:val="32"/>
          <w:szCs w:val="32"/>
        </w:rPr>
        <w:t>加油站主要危险因素分析</w:t>
      </w:r>
      <w:bookmarkEnd w:id="142"/>
    </w:p>
    <w:p w14:paraId="53933DF1">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val="en-US" w:eastAsia="zh-CN"/>
        </w:rPr>
      </w:pPr>
      <w:bookmarkStart w:id="143" w:name="_Toc27788"/>
      <w:r>
        <w:rPr>
          <w:rFonts w:hint="eastAsia" w:ascii="楷体" w:hAnsi="楷体" w:eastAsia="楷体" w:cs="楷体"/>
          <w:sz w:val="32"/>
          <w:szCs w:val="32"/>
          <w:lang w:val="en-US" w:eastAsia="zh-CN"/>
        </w:rPr>
        <w:t>3.4.1经营过程中的危险辨识</w:t>
      </w:r>
      <w:bookmarkEnd w:id="143"/>
    </w:p>
    <w:p w14:paraId="19B61318">
      <w:pPr>
        <w:spacing w:line="600" w:lineRule="exact"/>
        <w:ind w:firstLine="560" w:firstLineChars="200"/>
        <w:rPr>
          <w:rFonts w:hint="eastAsia" w:cs="宋体"/>
          <w:sz w:val="28"/>
          <w:szCs w:val="28"/>
        </w:rPr>
      </w:pPr>
      <w:r>
        <w:rPr>
          <w:rFonts w:hint="eastAsia" w:cs="宋体"/>
          <w:sz w:val="28"/>
          <w:szCs w:val="28"/>
        </w:rPr>
        <w:t>由于能量的积聚和有害物质的存在是危险、有害因素产生的根源，系统具有的能量越大，存在的有害物质的数量越多，系统的潜在危险性和危害性也越大。能量和有害物质的失控是危险，有害因素产生的条件，失控主要体现在设备故障，人为失误，管理缺陷，环境因素四个方面。</w:t>
      </w:r>
    </w:p>
    <w:p w14:paraId="5F003D44">
      <w:pPr>
        <w:spacing w:line="600" w:lineRule="exact"/>
        <w:ind w:firstLine="560" w:firstLineChars="200"/>
        <w:rPr>
          <w:rFonts w:hint="eastAsia" w:cs="宋体"/>
          <w:sz w:val="28"/>
          <w:szCs w:val="28"/>
        </w:rPr>
      </w:pPr>
      <w:r>
        <w:rPr>
          <w:rFonts w:hint="eastAsia" w:cs="宋体"/>
          <w:sz w:val="28"/>
          <w:szCs w:val="28"/>
        </w:rPr>
        <w:t>通过对该企业提供的有关资料的分析，结合现场调研和类比企业装置现场调查和了解的资料分析，按照《企业职工伤亡事故分类》</w:t>
      </w:r>
      <w:r>
        <w:rPr>
          <w:rFonts w:hint="eastAsia" w:ascii="宋体" w:hAnsi="宋体" w:eastAsia="宋体" w:cs="宋体"/>
          <w:sz w:val="28"/>
          <w:szCs w:val="28"/>
        </w:rPr>
        <w:t>GB6441-1986</w:t>
      </w:r>
      <w:r>
        <w:rPr>
          <w:rFonts w:hint="eastAsia" w:cs="宋体"/>
          <w:sz w:val="28"/>
          <w:szCs w:val="28"/>
        </w:rPr>
        <w:t>的规定，对本项目存在危险因素归纳汇总。各单元危险性具体分析见预先危险性分析。</w:t>
      </w:r>
    </w:p>
    <w:p w14:paraId="57F53E15">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b/>
          <w:bCs/>
          <w:kern w:val="2"/>
          <w:sz w:val="32"/>
          <w:szCs w:val="32"/>
          <w:lang w:val="en-US" w:eastAsia="zh-CN" w:bidi="ar-SA"/>
        </w:rPr>
      </w:pPr>
      <w:bookmarkStart w:id="144" w:name="_Toc9067"/>
      <w:bookmarkStart w:id="145" w:name="_Toc16198"/>
      <w:bookmarkStart w:id="146" w:name="_Toc1539"/>
      <w:bookmarkStart w:id="147" w:name="_Toc7842"/>
      <w:r>
        <w:rPr>
          <w:rFonts w:hint="eastAsia" w:ascii="楷体" w:hAnsi="楷体" w:eastAsia="楷体" w:cs="楷体"/>
          <w:b/>
          <w:bCs/>
          <w:kern w:val="2"/>
          <w:sz w:val="32"/>
          <w:szCs w:val="32"/>
          <w:lang w:val="en-US" w:eastAsia="zh-CN" w:bidi="ar-SA"/>
        </w:rPr>
        <w:t>3.4.2火灾、爆炸危险因素</w:t>
      </w:r>
      <w:bookmarkEnd w:id="144"/>
      <w:bookmarkEnd w:id="145"/>
      <w:bookmarkEnd w:id="146"/>
      <w:bookmarkEnd w:id="147"/>
    </w:p>
    <w:p w14:paraId="6251A50F">
      <w:pPr>
        <w:spacing w:line="560" w:lineRule="exact"/>
        <w:ind w:firstLine="560" w:firstLineChars="200"/>
        <w:rPr>
          <w:rFonts w:hint="eastAsia" w:cs="宋体"/>
          <w:sz w:val="28"/>
          <w:szCs w:val="28"/>
        </w:rPr>
      </w:pPr>
      <w:r>
        <w:rPr>
          <w:rFonts w:hint="eastAsia" w:cs="宋体"/>
          <w:sz w:val="28"/>
          <w:szCs w:val="28"/>
        </w:rPr>
        <w:t>车用汽油、柴油在常温下蒸发速度较快。由于加油站在卸油、储油、加油作业中不可能是完全密闭的，油蒸汽大量积聚飘移在空气中与空气的混合气体遇火或受热就容易燃烧着火。汽油的燃烧速度很快，最大可达</w:t>
      </w:r>
      <w:r>
        <w:rPr>
          <w:rFonts w:hint="eastAsia" w:ascii="宋体" w:hAnsi="宋体" w:eastAsia="宋体" w:cs="宋体"/>
          <w:sz w:val="28"/>
          <w:szCs w:val="28"/>
        </w:rPr>
        <w:t>5m/s</w:t>
      </w:r>
      <w:r>
        <w:rPr>
          <w:rFonts w:hint="eastAsia" w:cs="宋体"/>
          <w:sz w:val="28"/>
          <w:szCs w:val="28"/>
        </w:rPr>
        <w:t>，而且，周围的空气（氧气）</w:t>
      </w:r>
      <w:r>
        <w:rPr>
          <w:rFonts w:hint="eastAsia" w:cs="宋体"/>
          <w:sz w:val="28"/>
          <w:szCs w:val="28"/>
          <w:lang w:val="en-US" w:eastAsia="zh-CN"/>
        </w:rPr>
        <w:t>对流</w:t>
      </w:r>
      <w:r>
        <w:rPr>
          <w:rFonts w:hint="eastAsia" w:cs="宋体"/>
          <w:sz w:val="28"/>
          <w:szCs w:val="28"/>
        </w:rPr>
        <w:t>很难控制，容易造成火灾蔓延。</w:t>
      </w:r>
    </w:p>
    <w:p w14:paraId="38E254ED">
      <w:pPr>
        <w:spacing w:line="560" w:lineRule="exact"/>
        <w:ind w:firstLine="560" w:firstLineChars="200"/>
        <w:rPr>
          <w:rFonts w:hint="eastAsia"/>
        </w:rPr>
      </w:pPr>
      <w:r>
        <w:rPr>
          <w:rFonts w:hint="eastAsia" w:cs="宋体"/>
          <w:sz w:val="28"/>
          <w:szCs w:val="28"/>
        </w:rPr>
        <w:t>车用汽油、柴油的蒸气中存在一定量的氢元素，含氢的油蒸气与空气组成的混合气体达到爆炸极限时碰到很小的能量就有可能引发爆炸，爆炸极限见下表</w:t>
      </w:r>
      <w:r>
        <w:rPr>
          <w:rFonts w:hint="eastAsia" w:ascii="宋体" w:hAnsi="宋体" w:eastAsia="宋体" w:cs="宋体"/>
          <w:sz w:val="28"/>
          <w:szCs w:val="28"/>
        </w:rPr>
        <w:t>3-6</w:t>
      </w:r>
      <w:r>
        <w:rPr>
          <w:rFonts w:hint="eastAsia" w:cs="宋体"/>
          <w:sz w:val="28"/>
          <w:szCs w:val="28"/>
        </w:rPr>
        <w:t>。</w:t>
      </w:r>
    </w:p>
    <w:p w14:paraId="1EFFFF64">
      <w:pPr>
        <w:spacing w:line="600" w:lineRule="exact"/>
        <w:jc w:val="center"/>
        <w:rPr>
          <w:rFonts w:cs="Times New Roman"/>
          <w:sz w:val="24"/>
          <w:szCs w:val="24"/>
          <w:lang w:val="zh-CN"/>
        </w:rPr>
      </w:pPr>
      <w:r>
        <w:rPr>
          <w:rFonts w:hint="eastAsia" w:cs="宋体"/>
          <w:b/>
          <w:bCs/>
          <w:sz w:val="24"/>
          <w:szCs w:val="24"/>
          <w:lang w:val="zh-CN"/>
        </w:rPr>
        <w:t>表</w:t>
      </w:r>
      <w:r>
        <w:rPr>
          <w:b/>
          <w:bCs/>
          <w:sz w:val="24"/>
          <w:szCs w:val="24"/>
          <w:lang w:val="zh-CN"/>
        </w:rPr>
        <w:t>3-</w:t>
      </w:r>
      <w:r>
        <w:rPr>
          <w:b/>
          <w:bCs/>
          <w:sz w:val="24"/>
          <w:szCs w:val="24"/>
        </w:rPr>
        <w:t>6</w:t>
      </w:r>
      <w:r>
        <w:rPr>
          <w:b/>
          <w:bCs/>
          <w:sz w:val="24"/>
          <w:szCs w:val="24"/>
          <w:lang w:val="zh-CN"/>
        </w:rPr>
        <w:t xml:space="preserve"> </w:t>
      </w:r>
      <w:r>
        <w:rPr>
          <w:rFonts w:hint="eastAsia" w:cs="宋体"/>
          <w:b/>
          <w:bCs/>
          <w:sz w:val="24"/>
          <w:szCs w:val="24"/>
          <w:lang w:val="zh-CN"/>
        </w:rPr>
        <w:t>车用汽、柴油爆炸极限表</w:t>
      </w:r>
    </w:p>
    <w:tbl>
      <w:tblPr>
        <w:tblStyle w:val="19"/>
        <w:tblW w:w="8844" w:type="dxa"/>
        <w:tblInd w:w="2"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3068"/>
        <w:gridCol w:w="2888"/>
        <w:gridCol w:w="2888"/>
      </w:tblGrid>
      <w:tr w14:paraId="7929EE3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422" w:hRule="atLeast"/>
        </w:trPr>
        <w:tc>
          <w:tcPr>
            <w:tcW w:w="3068" w:type="dxa"/>
            <w:vMerge w:val="restart"/>
            <w:tcBorders>
              <w:top w:val="single" w:color="auto" w:sz="8" w:space="0"/>
            </w:tcBorders>
            <w:vAlign w:val="center"/>
          </w:tcPr>
          <w:p w14:paraId="1A6C3374">
            <w:pPr>
              <w:autoSpaceDE w:val="0"/>
              <w:autoSpaceDN w:val="0"/>
              <w:jc w:val="center"/>
              <w:rPr>
                <w:rFonts w:hint="eastAsia" w:ascii="宋体" w:hAnsi="宋体" w:eastAsia="宋体" w:cs="宋体"/>
                <w:kern w:val="0"/>
              </w:rPr>
            </w:pPr>
            <w:r>
              <w:rPr>
                <w:rFonts w:hint="eastAsia" w:ascii="宋体" w:hAnsi="宋体" w:eastAsia="宋体" w:cs="宋体"/>
                <w:kern w:val="0"/>
              </w:rPr>
              <w:t>油品名称</w:t>
            </w:r>
          </w:p>
        </w:tc>
        <w:tc>
          <w:tcPr>
            <w:tcW w:w="5776" w:type="dxa"/>
            <w:gridSpan w:val="2"/>
            <w:tcBorders>
              <w:top w:val="single" w:color="auto" w:sz="8" w:space="0"/>
            </w:tcBorders>
            <w:vAlign w:val="center"/>
          </w:tcPr>
          <w:p w14:paraId="122649AC">
            <w:pPr>
              <w:autoSpaceDE w:val="0"/>
              <w:autoSpaceDN w:val="0"/>
              <w:jc w:val="center"/>
              <w:rPr>
                <w:rFonts w:hint="eastAsia" w:ascii="宋体" w:hAnsi="宋体" w:eastAsia="宋体" w:cs="宋体"/>
                <w:kern w:val="0"/>
              </w:rPr>
            </w:pPr>
            <w:r>
              <w:rPr>
                <w:rFonts w:hint="eastAsia" w:ascii="宋体" w:hAnsi="宋体" w:eastAsia="宋体" w:cs="宋体"/>
                <w:kern w:val="0"/>
              </w:rPr>
              <w:t>爆炸极限%(体积)</w:t>
            </w:r>
          </w:p>
        </w:tc>
      </w:tr>
      <w:tr w14:paraId="79F3DE7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37" w:hRule="atLeast"/>
        </w:trPr>
        <w:tc>
          <w:tcPr>
            <w:tcW w:w="3068" w:type="dxa"/>
            <w:vMerge w:val="continue"/>
            <w:vAlign w:val="center"/>
          </w:tcPr>
          <w:p w14:paraId="57D0D062">
            <w:pPr>
              <w:autoSpaceDE w:val="0"/>
              <w:autoSpaceDN w:val="0"/>
              <w:jc w:val="center"/>
              <w:rPr>
                <w:rFonts w:hint="eastAsia" w:ascii="宋体" w:hAnsi="宋体" w:eastAsia="宋体" w:cs="宋体"/>
                <w:kern w:val="0"/>
              </w:rPr>
            </w:pPr>
          </w:p>
        </w:tc>
        <w:tc>
          <w:tcPr>
            <w:tcW w:w="2888" w:type="dxa"/>
            <w:vAlign w:val="center"/>
          </w:tcPr>
          <w:p w14:paraId="2850D93C">
            <w:pPr>
              <w:autoSpaceDE w:val="0"/>
              <w:autoSpaceDN w:val="0"/>
              <w:jc w:val="center"/>
              <w:rPr>
                <w:rFonts w:hint="eastAsia" w:ascii="宋体" w:hAnsi="宋体" w:eastAsia="宋体" w:cs="宋体"/>
                <w:kern w:val="0"/>
              </w:rPr>
            </w:pPr>
            <w:r>
              <w:rPr>
                <w:rFonts w:hint="eastAsia" w:ascii="宋体" w:hAnsi="宋体" w:eastAsia="宋体" w:cs="宋体"/>
                <w:kern w:val="0"/>
              </w:rPr>
              <w:t>下限</w:t>
            </w:r>
          </w:p>
        </w:tc>
        <w:tc>
          <w:tcPr>
            <w:tcW w:w="2888" w:type="dxa"/>
            <w:vAlign w:val="center"/>
          </w:tcPr>
          <w:p w14:paraId="1F1A9678">
            <w:pPr>
              <w:autoSpaceDE w:val="0"/>
              <w:autoSpaceDN w:val="0"/>
              <w:jc w:val="center"/>
              <w:rPr>
                <w:rFonts w:hint="eastAsia" w:ascii="宋体" w:hAnsi="宋体" w:eastAsia="宋体" w:cs="宋体"/>
                <w:kern w:val="0"/>
              </w:rPr>
            </w:pPr>
            <w:r>
              <w:rPr>
                <w:rFonts w:hint="eastAsia" w:ascii="宋体" w:hAnsi="宋体" w:eastAsia="宋体" w:cs="宋体"/>
                <w:kern w:val="0"/>
              </w:rPr>
              <w:t>上限</w:t>
            </w:r>
          </w:p>
        </w:tc>
      </w:tr>
      <w:tr w14:paraId="2E490FF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24" w:hRule="atLeast"/>
        </w:trPr>
        <w:tc>
          <w:tcPr>
            <w:tcW w:w="3068" w:type="dxa"/>
            <w:vAlign w:val="center"/>
          </w:tcPr>
          <w:p w14:paraId="2245854C">
            <w:pPr>
              <w:autoSpaceDE w:val="0"/>
              <w:autoSpaceDN w:val="0"/>
              <w:jc w:val="center"/>
              <w:rPr>
                <w:rFonts w:hint="eastAsia" w:ascii="宋体" w:hAnsi="宋体" w:eastAsia="宋体" w:cs="宋体"/>
                <w:kern w:val="0"/>
              </w:rPr>
            </w:pPr>
            <w:r>
              <w:rPr>
                <w:rFonts w:hint="eastAsia" w:ascii="宋体" w:hAnsi="宋体" w:eastAsia="宋体" w:cs="宋体"/>
                <w:kern w:val="0"/>
              </w:rPr>
              <w:t>车用汽油</w:t>
            </w:r>
          </w:p>
        </w:tc>
        <w:tc>
          <w:tcPr>
            <w:tcW w:w="2888" w:type="dxa"/>
            <w:vAlign w:val="center"/>
          </w:tcPr>
          <w:p w14:paraId="7793C4A8">
            <w:pPr>
              <w:autoSpaceDE w:val="0"/>
              <w:autoSpaceDN w:val="0"/>
              <w:jc w:val="center"/>
              <w:rPr>
                <w:rFonts w:hint="eastAsia" w:ascii="宋体" w:hAnsi="宋体" w:eastAsia="宋体" w:cs="宋体"/>
                <w:kern w:val="0"/>
              </w:rPr>
            </w:pPr>
            <w:r>
              <w:rPr>
                <w:rFonts w:hint="eastAsia" w:ascii="宋体" w:hAnsi="宋体" w:eastAsia="宋体" w:cs="宋体"/>
                <w:kern w:val="0"/>
              </w:rPr>
              <w:t>1.3</w:t>
            </w:r>
          </w:p>
        </w:tc>
        <w:tc>
          <w:tcPr>
            <w:tcW w:w="2888" w:type="dxa"/>
            <w:vAlign w:val="center"/>
          </w:tcPr>
          <w:p w14:paraId="00A02229">
            <w:pPr>
              <w:autoSpaceDE w:val="0"/>
              <w:autoSpaceDN w:val="0"/>
              <w:jc w:val="center"/>
              <w:rPr>
                <w:rFonts w:hint="eastAsia" w:ascii="宋体" w:hAnsi="宋体" w:eastAsia="宋体" w:cs="宋体"/>
                <w:kern w:val="0"/>
              </w:rPr>
            </w:pPr>
            <w:r>
              <w:rPr>
                <w:rFonts w:hint="eastAsia" w:ascii="宋体" w:hAnsi="宋体" w:eastAsia="宋体" w:cs="宋体"/>
                <w:kern w:val="0"/>
              </w:rPr>
              <w:t>6.0</w:t>
            </w:r>
          </w:p>
        </w:tc>
      </w:tr>
      <w:tr w14:paraId="4A46A35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068" w:type="dxa"/>
            <w:tcBorders>
              <w:bottom w:val="single" w:color="auto" w:sz="8" w:space="0"/>
            </w:tcBorders>
            <w:vAlign w:val="center"/>
          </w:tcPr>
          <w:p w14:paraId="77DE8D67">
            <w:pPr>
              <w:autoSpaceDE w:val="0"/>
              <w:autoSpaceDN w:val="0"/>
              <w:jc w:val="center"/>
              <w:rPr>
                <w:rFonts w:hint="eastAsia" w:ascii="宋体" w:hAnsi="宋体" w:eastAsia="宋体" w:cs="宋体"/>
                <w:kern w:val="0"/>
              </w:rPr>
            </w:pPr>
            <w:r>
              <w:rPr>
                <w:rFonts w:hint="eastAsia" w:ascii="宋体" w:hAnsi="宋体" w:eastAsia="宋体" w:cs="宋体"/>
                <w:kern w:val="0"/>
              </w:rPr>
              <w:t>柴油</w:t>
            </w:r>
          </w:p>
        </w:tc>
        <w:tc>
          <w:tcPr>
            <w:tcW w:w="2888" w:type="dxa"/>
            <w:tcBorders>
              <w:bottom w:val="single" w:color="auto" w:sz="8" w:space="0"/>
            </w:tcBorders>
            <w:vAlign w:val="center"/>
          </w:tcPr>
          <w:p w14:paraId="099B6E45">
            <w:pPr>
              <w:autoSpaceDE w:val="0"/>
              <w:autoSpaceDN w:val="0"/>
              <w:jc w:val="center"/>
              <w:rPr>
                <w:rFonts w:hint="eastAsia" w:ascii="宋体" w:hAnsi="宋体" w:eastAsia="宋体" w:cs="宋体"/>
                <w:kern w:val="0"/>
              </w:rPr>
            </w:pPr>
            <w:r>
              <w:rPr>
                <w:rFonts w:hint="eastAsia" w:ascii="宋体" w:hAnsi="宋体" w:eastAsia="宋体" w:cs="宋体"/>
                <w:kern w:val="0"/>
              </w:rPr>
              <w:t>0.6</w:t>
            </w:r>
          </w:p>
        </w:tc>
        <w:tc>
          <w:tcPr>
            <w:tcW w:w="2888" w:type="dxa"/>
            <w:tcBorders>
              <w:bottom w:val="single" w:color="auto" w:sz="8" w:space="0"/>
            </w:tcBorders>
            <w:vAlign w:val="center"/>
          </w:tcPr>
          <w:p w14:paraId="55982008">
            <w:pPr>
              <w:autoSpaceDE w:val="0"/>
              <w:autoSpaceDN w:val="0"/>
              <w:jc w:val="center"/>
              <w:rPr>
                <w:rFonts w:hint="eastAsia" w:ascii="宋体" w:hAnsi="宋体" w:eastAsia="宋体" w:cs="宋体"/>
                <w:kern w:val="0"/>
              </w:rPr>
            </w:pPr>
            <w:r>
              <w:rPr>
                <w:rFonts w:hint="eastAsia" w:ascii="宋体" w:hAnsi="宋体" w:eastAsia="宋体" w:cs="宋体"/>
                <w:kern w:val="0"/>
              </w:rPr>
              <w:t>6.5</w:t>
            </w:r>
          </w:p>
        </w:tc>
      </w:tr>
    </w:tbl>
    <w:p w14:paraId="6E10CAE6">
      <w:pPr>
        <w:spacing w:line="560" w:lineRule="exact"/>
        <w:ind w:firstLine="560" w:firstLineChars="200"/>
        <w:rPr>
          <w:rFonts w:cs="Times New Roman"/>
          <w:sz w:val="28"/>
          <w:szCs w:val="28"/>
        </w:rPr>
      </w:pPr>
      <w:r>
        <w:rPr>
          <w:rFonts w:hint="eastAsia" w:cs="宋体"/>
          <w:sz w:val="28"/>
          <w:szCs w:val="28"/>
        </w:rPr>
        <w:t>从表中可以看出，车用汽油的爆炸极限较宽，当油蒸气处于饱和状态，超过爆炸极限上限时，它与空气的混合气体遇火源只会燃烧，不会爆炸。但大多数情况下有空气的对流，油蒸气处于非饱和状态，当油蒸气的浓度达到一定比例时有可能发生爆炸。冬季气温较低条件下，油蒸汽浓度可能处在爆炸极限范围，则车用汽油蒸气与空气混合气体遇火源也会发生爆炸。因此，冬季一定要加强通风，防止油气聚积，不要形成爆炸极限条件。另外易燃油品一旦发生燃烧，燃烧大量产热，加速油品蒸发，极易形成爆炸性混合物，而爆炸后又转换成更大范围的燃烧，油品一旦形成大面积燃烧很容易形成燃烧与爆炸相互转换的效果。</w:t>
      </w:r>
    </w:p>
    <w:p w14:paraId="25C74BA5">
      <w:pPr>
        <w:spacing w:line="560" w:lineRule="exact"/>
        <w:ind w:firstLine="560" w:firstLineChars="200"/>
        <w:rPr>
          <w:rFonts w:cs="Times New Roman"/>
          <w:sz w:val="28"/>
          <w:szCs w:val="28"/>
        </w:rPr>
      </w:pPr>
      <w:r>
        <w:rPr>
          <w:rFonts w:hint="eastAsia" w:cs="宋体"/>
          <w:sz w:val="28"/>
          <w:szCs w:val="28"/>
        </w:rPr>
        <w:t>静电的积聚放电是引起火灾事故的原因之一。油品的电阻率很高，一般在</w:t>
      </w:r>
      <w:r>
        <w:rPr>
          <w:rFonts w:hint="eastAsia" w:ascii="宋体" w:hAnsi="宋体" w:eastAsia="宋体" w:cs="宋体"/>
          <w:b w:val="0"/>
          <w:bCs w:val="0"/>
          <w:sz w:val="28"/>
          <w:szCs w:val="28"/>
        </w:rPr>
        <w:object>
          <v:shape id="_x0000_i1025" o:spt="75" alt="" type="#_x0000_t75" style="height:15.75pt;width:18pt;" o:ole="t" filled="f" o:preferrelative="t" stroked="f" coordsize="21600,21600">
            <v:path/>
            <v:fill on="f" focussize="0,0"/>
            <v:stroke on="f"/>
            <v:imagedata r:id="rId16" o:title=""/>
            <o:lock v:ext="edit" aspectratio="t"/>
            <w10:wrap type="none"/>
            <w10:anchorlock/>
          </v:shape>
          <o:OLEObject Type="Embed" ProgID="Equation.3" ShapeID="_x0000_i1025" DrawAspect="Content" ObjectID="_1468075726" r:id="rId15">
            <o:LockedField>false</o:LockedField>
          </o:OLEObject>
        </w:object>
      </w:r>
      <w:r>
        <w:rPr>
          <w:rFonts w:hint="eastAsia" w:ascii="宋体" w:hAnsi="宋体" w:eastAsia="宋体" w:cs="宋体"/>
          <w:b w:val="0"/>
          <w:bCs w:val="0"/>
          <w:sz w:val="28"/>
          <w:szCs w:val="28"/>
        </w:rPr>
        <w:t>—</w:t>
      </w:r>
      <w:r>
        <w:rPr>
          <w:rFonts w:hint="eastAsia" w:ascii="宋体" w:hAnsi="宋体" w:eastAsia="宋体" w:cs="宋体"/>
          <w:b w:val="0"/>
          <w:bCs w:val="0"/>
          <w:sz w:val="28"/>
          <w:szCs w:val="28"/>
        </w:rPr>
        <w:object>
          <v:shape id="_x0000_i1026" o:spt="75" alt="" type="#_x0000_t75" style="height:15.75pt;width:21pt;" o:ole="t" filled="f" o:preferrelative="t" stroked="f" coordsize="21600,21600">
            <v:path/>
            <v:fill on="f" focussize="0,0"/>
            <v:stroke on="f"/>
            <v:imagedata r:id="rId18" o:title=""/>
            <o:lock v:ext="edit" aspectratio="t"/>
            <w10:wrap type="none"/>
            <w10:anchorlock/>
          </v:shape>
          <o:OLEObject Type="Embed" ProgID="Equation.3" ShapeID="_x0000_i1026" DrawAspect="Content" ObjectID="_1468075727" r:id="rId17">
            <o:LockedField>false</o:LockedField>
          </o:OLEObject>
        </w:object>
      </w:r>
      <w:r>
        <w:rPr>
          <w:rFonts w:hint="eastAsia" w:ascii="宋体" w:hAnsi="宋体" w:eastAsia="宋体" w:cs="宋体"/>
          <w:b w:val="0"/>
          <w:bCs w:val="0"/>
          <w:sz w:val="28"/>
          <w:szCs w:val="28"/>
        </w:rPr>
        <w:t>Ω·m之间</w:t>
      </w:r>
      <w:r>
        <w:rPr>
          <w:rFonts w:hint="eastAsia" w:cs="宋体"/>
          <w:sz w:val="28"/>
          <w:szCs w:val="28"/>
        </w:rPr>
        <w:t>，电阻率越高导电率越小，积累电荷的能力越强。因此油品在泵送、灌装、运输等作业过程中，流动摩擦、喷射、冲击、过滤等都会产生大量静电，并且油品静电的产生速度远大于流散速度，导致静电积聚。静电积聚的危害主要是静电放电，一旦静电放电产生的电火花能量达到或超过油蒸气的最小点火能量时，就会引起燃烧或爆炸。由于汽油静电积聚能力强，而汽油最小点火能量低</w:t>
      </w:r>
      <w:r>
        <w:rPr>
          <w:rFonts w:hint="eastAsia" w:ascii="宋体" w:hAnsi="宋体" w:eastAsia="宋体" w:cs="宋体"/>
          <w:sz w:val="28"/>
          <w:szCs w:val="28"/>
        </w:rPr>
        <w:t>(汽油为0.1—0.2 MJ)，</w:t>
      </w:r>
      <w:r>
        <w:rPr>
          <w:rFonts w:hint="eastAsia" w:cs="宋体"/>
          <w:sz w:val="28"/>
          <w:szCs w:val="28"/>
        </w:rPr>
        <w:t>因此要求加油站在油罐车卸油或利用加油枪加油时，一定要有可靠的静电接地装置，及时消除静电。</w:t>
      </w:r>
    </w:p>
    <w:p w14:paraId="7F48CB59">
      <w:pPr>
        <w:spacing w:line="560" w:lineRule="exact"/>
        <w:ind w:firstLine="560" w:firstLineChars="200"/>
        <w:rPr>
          <w:rFonts w:cs="Times New Roman"/>
          <w:sz w:val="28"/>
          <w:szCs w:val="28"/>
        </w:rPr>
      </w:pPr>
      <w:r>
        <w:rPr>
          <w:rFonts w:hint="eastAsia" w:cs="宋体"/>
          <w:sz w:val="28"/>
          <w:szCs w:val="28"/>
        </w:rPr>
        <w:t>人体衣服间的摩擦、化纤衣物，纯毛制品尤为显著。例如化纤衣从毛衣外脱下时人体可带</w:t>
      </w:r>
      <w:r>
        <w:rPr>
          <w:rFonts w:hint="eastAsia" w:ascii="宋体" w:hAnsi="宋体" w:eastAsia="宋体" w:cs="宋体"/>
          <w:sz w:val="28"/>
          <w:szCs w:val="28"/>
        </w:rPr>
        <w:t>10 KV以上电压，穿胶鞋脱工作服时可带千伏以上电压，在易燃易爆场所人体的静电</w:t>
      </w:r>
      <w:r>
        <w:rPr>
          <w:rFonts w:hint="eastAsia" w:cs="宋体"/>
          <w:sz w:val="28"/>
          <w:szCs w:val="28"/>
        </w:rPr>
        <w:t>不可忽视。如不经意的打闹，不介意的走动都如同边走边划火柴一样危险。所以加油站的员工工作服必须是防静电的面料或全棉面料，以消除人体静电。不允许穿化纤服装上岗操作，更不允许在加油作业现场穿、脱、拍打化纤服装，以免发生静电放电事故。</w:t>
      </w:r>
    </w:p>
    <w:p w14:paraId="39AA4507">
      <w:pPr>
        <w:spacing w:line="560" w:lineRule="exact"/>
        <w:ind w:firstLine="560" w:firstLineChars="200"/>
        <w:rPr>
          <w:rFonts w:cs="Times New Roman"/>
          <w:sz w:val="28"/>
          <w:szCs w:val="28"/>
        </w:rPr>
      </w:pPr>
      <w:r>
        <w:rPr>
          <w:rFonts w:hint="eastAsia" w:cs="宋体"/>
          <w:sz w:val="28"/>
          <w:szCs w:val="28"/>
        </w:rPr>
        <w:t>其发生火灾、爆炸可能性有：</w:t>
      </w:r>
    </w:p>
    <w:p w14:paraId="18EEA86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宋体" w:hAnsi="宋体" w:eastAsia="宋体" w:cs="宋体"/>
          <w:sz w:val="28"/>
          <w:szCs w:val="28"/>
        </w:rPr>
      </w:pPr>
      <w:r>
        <w:rPr>
          <w:rFonts w:hint="eastAsia" w:ascii="宋体" w:hAnsi="宋体" w:eastAsia="宋体" w:cs="宋体"/>
          <w:sz w:val="28"/>
          <w:szCs w:val="28"/>
        </w:rPr>
        <w:t>1、泄漏：</w:t>
      </w:r>
    </w:p>
    <w:p w14:paraId="3D7BA0F8">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（1）储罐因长期使用，罐体腐蚀而产生穿孔、破裂，从而大量泄漏；</w:t>
      </w:r>
    </w:p>
    <w:p w14:paraId="46AE0CE9">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（2）管道因长期使用，管壁腐蚀而产生穿孔、破裂；</w:t>
      </w:r>
    </w:p>
    <w:p w14:paraId="699FE8B3">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（3）管道焊接处焊接质量差发生裂缝而产生泄漏；</w:t>
      </w:r>
    </w:p>
    <w:p w14:paraId="56B837BB">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（4）管道、法兰连接处垫子长期使用老化发生泄漏；</w:t>
      </w:r>
    </w:p>
    <w:p w14:paraId="73B764BC">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（5）加油机管道连接不牢而发生泄漏；</w:t>
      </w:r>
    </w:p>
    <w:p w14:paraId="337CD30E">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（6）储罐受外界热辐射的影响，罐体温度过高，从而从呼吸管中呼出大量油气；</w:t>
      </w:r>
    </w:p>
    <w:p w14:paraId="0DF6C59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rPr>
        <w:t>（7）加油过程中的油气挥发；</w:t>
      </w:r>
    </w:p>
    <w:p w14:paraId="3EF8459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rPr>
        <w:t>2、点火源</w:t>
      </w:r>
      <w:r>
        <w:rPr>
          <w:rFonts w:hint="eastAsia" w:ascii="宋体" w:hAnsi="宋体" w:eastAsia="宋体" w:cs="宋体"/>
          <w:sz w:val="28"/>
          <w:szCs w:val="28"/>
          <w:lang w:eastAsia="zh-CN"/>
        </w:rPr>
        <w:t>：</w:t>
      </w:r>
    </w:p>
    <w:p w14:paraId="4B793D85">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（1）设备、管道、加油枪发生故障，出现磨擦、撞击等而产生火花。</w:t>
      </w:r>
    </w:p>
    <w:p w14:paraId="7E89B4AB">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（2）电气绝缘失效、接触不良、过载、超压、短路引起电火花。</w:t>
      </w:r>
    </w:p>
    <w:p w14:paraId="5C697027">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（3）燃爆场合的防爆电气失效或接入非防爆电气等。</w:t>
      </w:r>
    </w:p>
    <w:p w14:paraId="12207768">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（4）静电，包括液体流动产生的静电和人体静电</w:t>
      </w:r>
      <w:r>
        <w:rPr>
          <w:rFonts w:hint="eastAsia" w:ascii="宋体" w:hAnsi="宋体" w:cs="宋体"/>
          <w:sz w:val="28"/>
          <w:szCs w:val="28"/>
          <w:lang w:eastAsia="zh-CN"/>
        </w:rPr>
        <w:t>，</w:t>
      </w:r>
      <w:r>
        <w:rPr>
          <w:rFonts w:hint="eastAsia" w:ascii="宋体" w:hAnsi="宋体" w:eastAsia="宋体" w:cs="宋体"/>
          <w:sz w:val="28"/>
          <w:szCs w:val="28"/>
        </w:rPr>
        <w:t>导除静电不良，发生静电放电。</w:t>
      </w:r>
    </w:p>
    <w:p w14:paraId="7673D93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cs="宋体"/>
          <w:sz w:val="28"/>
          <w:szCs w:val="28"/>
        </w:rPr>
      </w:pPr>
      <w:r>
        <w:rPr>
          <w:rFonts w:hint="eastAsia" w:ascii="宋体" w:hAnsi="宋体" w:eastAsia="宋体" w:cs="宋体"/>
          <w:sz w:val="28"/>
          <w:szCs w:val="28"/>
        </w:rPr>
        <w:t>（5）防雷系统失效，出现雷电</w:t>
      </w:r>
      <w:r>
        <w:rPr>
          <w:rFonts w:hint="eastAsia" w:cs="宋体"/>
          <w:sz w:val="28"/>
          <w:szCs w:val="28"/>
        </w:rPr>
        <w:t>火花。</w:t>
      </w:r>
    </w:p>
    <w:p w14:paraId="7FC7A2FB">
      <w:pPr>
        <w:spacing w:line="560" w:lineRule="exact"/>
        <w:ind w:firstLine="560" w:firstLineChars="200"/>
        <w:rPr>
          <w:rFonts w:cs="Times New Roman"/>
          <w:sz w:val="28"/>
          <w:szCs w:val="28"/>
        </w:rPr>
      </w:pPr>
      <w:r>
        <w:rPr>
          <w:rFonts w:hint="eastAsia" w:ascii="宋体" w:hAnsi="宋体" w:eastAsia="宋体" w:cs="宋体"/>
          <w:sz w:val="28"/>
          <w:szCs w:val="28"/>
        </w:rPr>
        <w:t>（6）</w:t>
      </w:r>
      <w:r>
        <w:rPr>
          <w:rFonts w:hint="eastAsia" w:cs="宋体"/>
          <w:sz w:val="28"/>
          <w:szCs w:val="28"/>
        </w:rPr>
        <w:t>电缆、导线、其他电器设备接触不良发热升温；电缆、导线和其他电器设备过载、过流发热升温。</w:t>
      </w:r>
    </w:p>
    <w:p w14:paraId="01E0B2D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rPr>
        <w:t>3、人的不安全行为</w:t>
      </w:r>
      <w:r>
        <w:rPr>
          <w:rFonts w:hint="eastAsia" w:ascii="宋体" w:hAnsi="宋体" w:eastAsia="宋体" w:cs="宋体"/>
          <w:sz w:val="28"/>
          <w:szCs w:val="28"/>
          <w:lang w:eastAsia="zh-CN"/>
        </w:rPr>
        <w:t>：</w:t>
      </w:r>
    </w:p>
    <w:p w14:paraId="32B8E1CC">
      <w:pPr>
        <w:spacing w:line="560" w:lineRule="exact"/>
        <w:ind w:firstLine="528" w:firstLineChars="200"/>
      </w:pPr>
      <w:r>
        <w:rPr>
          <w:rFonts w:hint="eastAsia" w:cs="宋体"/>
          <w:spacing w:val="-8"/>
          <w:sz w:val="28"/>
          <w:szCs w:val="28"/>
        </w:rPr>
        <w:t>操作人员的违章作业，检修人员的违章行为。如违章用火动火，检修用的电焊、气焊、沙轮打磨、敲击、焚烧、清除杂物；外来人员违章带入火源，如吸烟、点打火机；手机、</w:t>
      </w:r>
      <w:r>
        <w:rPr>
          <w:rFonts w:hint="eastAsia" w:cs="宋体"/>
          <w:spacing w:val="-8"/>
          <w:sz w:val="28"/>
          <w:szCs w:val="28"/>
          <w:lang w:val="en-US" w:eastAsia="zh-CN"/>
        </w:rPr>
        <w:t>无线</w:t>
      </w:r>
      <w:r>
        <w:rPr>
          <w:rFonts w:hint="eastAsia" w:cs="宋体"/>
          <w:spacing w:val="-8"/>
          <w:sz w:val="28"/>
          <w:szCs w:val="28"/>
        </w:rPr>
        <w:t>电话、对讲机等流散杂电能源发生火花等。</w:t>
      </w:r>
    </w:p>
    <w:p w14:paraId="0B5EFB70">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sz w:val="32"/>
          <w:szCs w:val="32"/>
        </w:rPr>
      </w:pPr>
      <w:bookmarkStart w:id="148" w:name="_Toc29418"/>
      <w:bookmarkStart w:id="149" w:name="_Toc8290"/>
      <w:bookmarkStart w:id="150" w:name="_Toc26831"/>
      <w:bookmarkStart w:id="151" w:name="_Toc20980"/>
      <w:bookmarkStart w:id="152" w:name="_Toc20938"/>
      <w:r>
        <w:rPr>
          <w:rFonts w:hint="eastAsia" w:ascii="楷体" w:hAnsi="楷体" w:eastAsia="楷体" w:cs="楷体"/>
          <w:sz w:val="32"/>
          <w:szCs w:val="32"/>
        </w:rPr>
        <w:t>3.</w:t>
      </w:r>
      <w:r>
        <w:rPr>
          <w:rFonts w:hint="eastAsia" w:ascii="楷体" w:hAnsi="楷体" w:eastAsia="楷体" w:cs="楷体"/>
          <w:sz w:val="32"/>
          <w:szCs w:val="32"/>
          <w:lang w:val="en-US" w:eastAsia="zh-CN"/>
        </w:rPr>
        <w:t>4</w:t>
      </w:r>
      <w:r>
        <w:rPr>
          <w:rFonts w:hint="eastAsia" w:ascii="楷体" w:hAnsi="楷体" w:eastAsia="楷体" w:cs="楷体"/>
          <w:sz w:val="32"/>
          <w:szCs w:val="32"/>
        </w:rPr>
        <w:t>.</w:t>
      </w:r>
      <w:r>
        <w:rPr>
          <w:rFonts w:hint="eastAsia" w:ascii="楷体" w:hAnsi="楷体" w:eastAsia="楷体" w:cs="楷体"/>
          <w:sz w:val="32"/>
          <w:szCs w:val="32"/>
          <w:lang w:val="en-US" w:eastAsia="zh-CN"/>
        </w:rPr>
        <w:t>3</w:t>
      </w:r>
      <w:r>
        <w:rPr>
          <w:rFonts w:hint="eastAsia" w:ascii="楷体" w:hAnsi="楷体" w:eastAsia="楷体" w:cs="楷体"/>
          <w:sz w:val="32"/>
          <w:szCs w:val="32"/>
        </w:rPr>
        <w:t>车辆伤害</w:t>
      </w:r>
      <w:bookmarkEnd w:id="148"/>
      <w:bookmarkEnd w:id="149"/>
      <w:bookmarkEnd w:id="150"/>
    </w:p>
    <w:p w14:paraId="3AD456FF">
      <w:pPr>
        <w:adjustRightInd w:val="0"/>
        <w:spacing w:line="580" w:lineRule="exact"/>
        <w:ind w:firstLine="570"/>
        <w:rPr>
          <w:rFonts w:cs="Times New Roman"/>
          <w:sz w:val="28"/>
          <w:szCs w:val="28"/>
        </w:rPr>
      </w:pPr>
      <w:r>
        <w:rPr>
          <w:rFonts w:hint="eastAsia" w:hAnsi="宋体" w:cs="宋体"/>
          <w:sz w:val="28"/>
          <w:szCs w:val="28"/>
        </w:rPr>
        <w:t>车辆伤害指企业机动车辆在行驶中引起的人体坠落和物体倒塌、飞落、挤压伤亡事故；项目物料进出均由汽车完成，场内汽车来往频繁，有可能因道路缺陷、安全标志不明或缺失、车辆故障、车辆违章行驶、驾驶员思想麻痹、加油员引导失当等原因，引发车辆伤害事故。</w:t>
      </w:r>
    </w:p>
    <w:p w14:paraId="44DBC85C">
      <w:pPr>
        <w:keepNext w:val="0"/>
        <w:keepLines w:val="0"/>
        <w:pageBreakBefore w:val="0"/>
        <w:widowControl w:val="0"/>
        <w:kinsoku/>
        <w:wordWrap/>
        <w:overflowPunct/>
        <w:topLinePunct w:val="0"/>
        <w:autoSpaceDE/>
        <w:autoSpaceDN/>
        <w:bidi w:val="0"/>
        <w:adjustRightInd/>
        <w:snapToGrid/>
        <w:spacing w:line="560" w:lineRule="exact"/>
        <w:ind w:firstLine="0" w:firstLineChars="0"/>
        <w:textAlignment w:val="auto"/>
        <w:outlineLvl w:val="2"/>
        <w:rPr>
          <w:rFonts w:cs="Times New Roman"/>
          <w:b/>
          <w:bCs/>
          <w:sz w:val="28"/>
          <w:szCs w:val="28"/>
        </w:rPr>
      </w:pPr>
      <w:bookmarkStart w:id="153" w:name="_Toc8708"/>
      <w:bookmarkStart w:id="154" w:name="_Toc25256"/>
      <w:r>
        <w:rPr>
          <w:rStyle w:val="26"/>
          <w:rFonts w:hint="eastAsia" w:ascii="楷体" w:hAnsi="楷体" w:eastAsia="楷体" w:cs="楷体"/>
          <w:lang w:val="en-US" w:eastAsia="zh-CN"/>
        </w:rPr>
        <w:t>3.4.4机械伤害</w:t>
      </w:r>
      <w:bookmarkEnd w:id="151"/>
      <w:bookmarkEnd w:id="152"/>
      <w:bookmarkEnd w:id="153"/>
      <w:bookmarkEnd w:id="154"/>
    </w:p>
    <w:p w14:paraId="3BB5C1B8">
      <w:pPr>
        <w:spacing w:line="560" w:lineRule="exact"/>
        <w:ind w:firstLine="560" w:firstLineChars="200"/>
        <w:rPr>
          <w:rFonts w:cs="Times New Roman"/>
          <w:sz w:val="28"/>
          <w:szCs w:val="28"/>
        </w:rPr>
      </w:pPr>
      <w:r>
        <w:rPr>
          <w:rFonts w:hint="eastAsia" w:cs="宋体"/>
          <w:sz w:val="28"/>
          <w:szCs w:val="28"/>
        </w:rPr>
        <w:t>机械伤害是人体与机械设备接触可能引起的挤压、夹击、卷、绞、刺、割伤等。</w:t>
      </w:r>
      <w:r>
        <w:rPr>
          <w:rFonts w:hint="eastAsia" w:cs="宋体"/>
          <w:sz w:val="28"/>
          <w:szCs w:val="28"/>
          <w:lang w:val="en-US" w:eastAsia="zh-CN"/>
        </w:rPr>
        <w:t>加油站</w:t>
      </w:r>
      <w:r>
        <w:rPr>
          <w:rFonts w:hint="eastAsia" w:cs="宋体"/>
          <w:sz w:val="28"/>
          <w:szCs w:val="28"/>
        </w:rPr>
        <w:t>使用潜油泵、加油机、配电柜等机电设备，当其在运行中如果发生设备故障、安全设施失效、或管理不善、人员违章作业等原因，有可能发生挂、压、挤、绞伤人体从而出现机械伤害事故，致人受伤。</w:t>
      </w:r>
    </w:p>
    <w:p w14:paraId="794394BA">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b/>
          <w:bCs/>
          <w:kern w:val="2"/>
          <w:sz w:val="32"/>
          <w:szCs w:val="32"/>
          <w:lang w:val="en-US" w:eastAsia="zh-CN" w:bidi="ar-SA"/>
        </w:rPr>
      </w:pPr>
      <w:bookmarkStart w:id="155" w:name="_Toc21664"/>
      <w:bookmarkStart w:id="156" w:name="_Toc31559"/>
      <w:bookmarkStart w:id="157" w:name="_Toc30566"/>
      <w:bookmarkStart w:id="158" w:name="_Toc17417"/>
      <w:r>
        <w:rPr>
          <w:rFonts w:hint="eastAsia" w:ascii="楷体" w:hAnsi="楷体" w:eastAsia="楷体" w:cs="楷体"/>
          <w:b/>
          <w:bCs/>
          <w:kern w:val="2"/>
          <w:sz w:val="32"/>
          <w:szCs w:val="32"/>
          <w:lang w:val="en-US" w:eastAsia="zh-CN" w:bidi="ar-SA"/>
        </w:rPr>
        <w:t>3.4.5触电</w:t>
      </w:r>
      <w:bookmarkEnd w:id="155"/>
      <w:bookmarkEnd w:id="156"/>
      <w:bookmarkEnd w:id="157"/>
      <w:bookmarkEnd w:id="158"/>
    </w:p>
    <w:p w14:paraId="41D05536">
      <w:pPr>
        <w:spacing w:line="360" w:lineRule="auto"/>
        <w:ind w:firstLine="560" w:firstLineChars="200"/>
        <w:jc w:val="left"/>
        <w:rPr>
          <w:rFonts w:cs="Times New Roman"/>
          <w:sz w:val="28"/>
          <w:szCs w:val="28"/>
        </w:rPr>
      </w:pPr>
      <w:bookmarkStart w:id="159" w:name="_Toc13360"/>
      <w:bookmarkStart w:id="160" w:name="_Toc8845"/>
      <w:r>
        <w:rPr>
          <w:rFonts w:hint="eastAsia" w:cs="宋体"/>
          <w:sz w:val="28"/>
          <w:szCs w:val="28"/>
        </w:rPr>
        <w:t>电气伤害主要包括触电和电弧</w:t>
      </w:r>
      <w:r>
        <w:rPr>
          <w:rFonts w:hint="eastAsia" w:cs="宋体"/>
          <w:sz w:val="28"/>
          <w:szCs w:val="28"/>
          <w:lang w:val="en-US" w:eastAsia="zh-CN"/>
        </w:rPr>
        <w:t>烧</w:t>
      </w:r>
      <w:r>
        <w:rPr>
          <w:rFonts w:hint="eastAsia" w:cs="宋体"/>
          <w:sz w:val="28"/>
          <w:szCs w:val="28"/>
        </w:rPr>
        <w:t>伤。</w:t>
      </w:r>
    </w:p>
    <w:p w14:paraId="38D60305">
      <w:pPr>
        <w:spacing w:line="360" w:lineRule="auto"/>
        <w:ind w:firstLine="560" w:firstLineChars="200"/>
        <w:jc w:val="left"/>
        <w:rPr>
          <w:rFonts w:cs="Times New Roman"/>
          <w:sz w:val="28"/>
          <w:szCs w:val="28"/>
        </w:rPr>
      </w:pPr>
      <w:r>
        <w:rPr>
          <w:rFonts w:hint="eastAsia" w:cs="宋体"/>
          <w:sz w:val="28"/>
          <w:szCs w:val="28"/>
          <w:lang w:val="en-US" w:eastAsia="zh-CN"/>
        </w:rPr>
        <w:t>加油站</w:t>
      </w:r>
      <w:r>
        <w:rPr>
          <w:rFonts w:hint="eastAsia" w:cs="宋体"/>
          <w:sz w:val="28"/>
          <w:szCs w:val="28"/>
        </w:rPr>
        <w:t>中有用电设备，人体接触高、低压电源会造成触电伤害，雷击也可能产生类似的后果。如果设备开关本体缺陷、设备保护接地失效或操作失误，个人思想麻痹，防护缺陷，操作高压开关不使用绝缘工具，或非专业人员违章操作等，易发生人员触电事故。而电气布线及用电设备容易产生绝缘性能降低，甚至外壳带电，特别在多雨、潮湿、高温季节可能造成人身触电事故。</w:t>
      </w:r>
    </w:p>
    <w:p w14:paraId="602BF743">
      <w:pPr>
        <w:spacing w:line="360" w:lineRule="auto"/>
        <w:ind w:firstLine="544" w:firstLineChars="200"/>
        <w:jc w:val="left"/>
        <w:rPr>
          <w:rFonts w:cs="Times New Roman"/>
          <w:spacing w:val="-4"/>
          <w:sz w:val="28"/>
          <w:szCs w:val="28"/>
        </w:rPr>
      </w:pPr>
      <w:r>
        <w:rPr>
          <w:rFonts w:hint="eastAsia" w:cs="宋体"/>
          <w:spacing w:val="-4"/>
          <w:sz w:val="28"/>
          <w:szCs w:val="28"/>
        </w:rPr>
        <w:t>电弧</w:t>
      </w:r>
      <w:r>
        <w:rPr>
          <w:rFonts w:hint="eastAsia" w:cs="宋体"/>
          <w:spacing w:val="-4"/>
          <w:sz w:val="28"/>
          <w:szCs w:val="28"/>
          <w:lang w:val="en-US" w:eastAsia="zh-CN"/>
        </w:rPr>
        <w:t>烧</w:t>
      </w:r>
      <w:r>
        <w:rPr>
          <w:rFonts w:hint="eastAsia" w:cs="宋体"/>
          <w:spacing w:val="-4"/>
          <w:sz w:val="28"/>
          <w:szCs w:val="28"/>
        </w:rPr>
        <w:t>伤主要表现在违章操作如带负荷送电或停电，绝缘损坏或人为造成短路，引发电弧可能造成</w:t>
      </w:r>
      <w:r>
        <w:rPr>
          <w:rFonts w:hint="eastAsia" w:cs="宋体"/>
          <w:spacing w:val="-4"/>
          <w:sz w:val="28"/>
          <w:szCs w:val="28"/>
          <w:lang w:val="en-US" w:eastAsia="zh-CN"/>
        </w:rPr>
        <w:t>电弧烧</w:t>
      </w:r>
      <w:r>
        <w:rPr>
          <w:rFonts w:hint="eastAsia" w:cs="宋体"/>
          <w:spacing w:val="-4"/>
          <w:sz w:val="28"/>
          <w:szCs w:val="28"/>
        </w:rPr>
        <w:t>伤事故。电焊作业亦会引起电弧</w:t>
      </w:r>
      <w:r>
        <w:rPr>
          <w:rFonts w:hint="eastAsia" w:cs="宋体"/>
          <w:spacing w:val="-4"/>
          <w:sz w:val="28"/>
          <w:szCs w:val="28"/>
          <w:lang w:val="en-US" w:eastAsia="zh-CN"/>
        </w:rPr>
        <w:t>烧</w:t>
      </w:r>
      <w:r>
        <w:rPr>
          <w:rFonts w:hint="eastAsia" w:cs="宋体"/>
          <w:spacing w:val="-4"/>
          <w:sz w:val="28"/>
          <w:szCs w:val="28"/>
        </w:rPr>
        <w:t>伤事故。</w:t>
      </w:r>
    </w:p>
    <w:bookmarkEnd w:id="159"/>
    <w:bookmarkEnd w:id="160"/>
    <w:p w14:paraId="6740BC3F">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b/>
          <w:bCs/>
          <w:kern w:val="2"/>
          <w:sz w:val="32"/>
          <w:szCs w:val="32"/>
          <w:lang w:val="en-US" w:eastAsia="zh-CN" w:bidi="ar-SA"/>
        </w:rPr>
      </w:pPr>
      <w:bookmarkStart w:id="161" w:name="_Toc29396"/>
      <w:bookmarkStart w:id="162" w:name="_Toc24001"/>
      <w:bookmarkStart w:id="163" w:name="_Toc26196"/>
      <w:bookmarkStart w:id="164" w:name="_Toc12233"/>
      <w:r>
        <w:rPr>
          <w:rFonts w:hint="eastAsia" w:ascii="楷体" w:hAnsi="楷体" w:eastAsia="楷体" w:cs="楷体"/>
          <w:b/>
          <w:bCs/>
          <w:kern w:val="2"/>
          <w:sz w:val="32"/>
          <w:szCs w:val="32"/>
          <w:lang w:val="en-US" w:eastAsia="zh-CN" w:bidi="ar-SA"/>
        </w:rPr>
        <w:t>3.4.6物体打击</w:t>
      </w:r>
      <w:bookmarkEnd w:id="161"/>
      <w:bookmarkEnd w:id="162"/>
      <w:bookmarkEnd w:id="163"/>
      <w:bookmarkEnd w:id="164"/>
    </w:p>
    <w:p w14:paraId="14BBD09C">
      <w:pPr>
        <w:spacing w:line="560" w:lineRule="exact"/>
        <w:ind w:firstLine="560" w:firstLineChars="200"/>
        <w:rPr>
          <w:rFonts w:cs="Times New Roman"/>
          <w:sz w:val="28"/>
          <w:szCs w:val="28"/>
        </w:rPr>
      </w:pPr>
      <w:r>
        <w:rPr>
          <w:rFonts w:hint="eastAsia" w:cs="宋体"/>
          <w:sz w:val="28"/>
          <w:szCs w:val="28"/>
        </w:rPr>
        <w:t>物体在外力或重力作用下，打击人体会造成人身伤害事故。罩棚高处的灯具等物体固定不牢，因腐蚀或风造成断裂，检修时使用工具飞出击打到人体上；作业工具和材料使用放置不当，造成高处落物等，易发生物体打击事故。</w:t>
      </w:r>
    </w:p>
    <w:p w14:paraId="58590481">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b/>
          <w:bCs/>
          <w:kern w:val="2"/>
          <w:sz w:val="32"/>
          <w:szCs w:val="32"/>
          <w:lang w:val="en-US" w:eastAsia="zh-CN" w:bidi="ar-SA"/>
        </w:rPr>
      </w:pPr>
      <w:bookmarkStart w:id="165" w:name="_Toc5934"/>
      <w:bookmarkStart w:id="166" w:name="_Toc24629"/>
      <w:bookmarkStart w:id="167" w:name="_Toc14003"/>
      <w:bookmarkStart w:id="168" w:name="_Toc14544"/>
      <w:r>
        <w:rPr>
          <w:rFonts w:hint="eastAsia" w:ascii="楷体" w:hAnsi="楷体" w:eastAsia="楷体" w:cs="楷体"/>
          <w:b/>
          <w:bCs/>
          <w:kern w:val="2"/>
          <w:sz w:val="32"/>
          <w:szCs w:val="32"/>
          <w:lang w:val="en-US" w:eastAsia="zh-CN" w:bidi="ar-SA"/>
        </w:rPr>
        <w:t>3.4.7中毒和窒息</w:t>
      </w:r>
      <w:bookmarkEnd w:id="165"/>
      <w:bookmarkEnd w:id="166"/>
      <w:bookmarkEnd w:id="167"/>
      <w:bookmarkEnd w:id="168"/>
    </w:p>
    <w:p w14:paraId="7B2A91C3">
      <w:pPr>
        <w:autoSpaceDE w:val="0"/>
        <w:autoSpaceDN w:val="0"/>
        <w:adjustRightInd w:val="0"/>
        <w:spacing w:line="360" w:lineRule="auto"/>
        <w:ind w:firstLine="560" w:firstLineChars="200"/>
        <w:jc w:val="left"/>
        <w:rPr>
          <w:rFonts w:hint="eastAsia" w:ascii="宋体" w:hAnsi="宋体" w:eastAsia="宋体" w:cs="宋体"/>
          <w:kern w:val="0"/>
          <w:sz w:val="28"/>
          <w:szCs w:val="28"/>
        </w:rPr>
      </w:pPr>
      <w:bookmarkStart w:id="169" w:name="_Toc29272"/>
      <w:r>
        <w:rPr>
          <w:rFonts w:hint="eastAsia" w:ascii="宋体" w:hAnsi="宋体" w:eastAsia="宋体" w:cs="宋体"/>
          <w:kern w:val="0"/>
          <w:sz w:val="28"/>
          <w:szCs w:val="28"/>
        </w:rPr>
        <w:t>汽油是一种有机溶剂，人体经呼吸道长期吸入一定浓度的汽油后，可引起慢性中毒。汽油急性中毒对中枢神经系统有麻醉作用，出现意识丧失，反射性呼吸停止；中毒性脑病、化学性肺炎等；慢性中毒则出现神经衰弱、植物神经功能紊乱等；溅入眼内可致角膜损害，甚至失明；皮肤接触致接触性皮炎或灼伤；吞咽引起急性胃肠炎，重者出现类似急性吸入中毒症状，并可引起肝、肾损害。</w:t>
      </w:r>
    </w:p>
    <w:p w14:paraId="600C4CF3">
      <w:pPr>
        <w:autoSpaceDE w:val="0"/>
        <w:autoSpaceDN w:val="0"/>
        <w:adjustRightInd w:val="0"/>
        <w:spacing w:line="360" w:lineRule="auto"/>
        <w:ind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rPr>
        <w:t>皮肤接触柴油可引起接触性皮炎，油性痤疮，吸入可引起性肺炎。能经胎盘进入胎儿血中。柴油废气可引起眼、鼻刺激症状，头晕及头痛。</w:t>
      </w:r>
    </w:p>
    <w:p w14:paraId="00B4497D">
      <w:pPr>
        <w:spacing w:line="360" w:lineRule="auto"/>
        <w:ind w:firstLine="560" w:firstLineChars="200"/>
        <w:jc w:val="left"/>
        <w:rPr>
          <w:rFonts w:hint="eastAsia" w:ascii="宋体" w:hAnsi="宋体" w:eastAsia="宋体" w:cs="宋体"/>
          <w:sz w:val="28"/>
          <w:szCs w:val="28"/>
        </w:rPr>
      </w:pPr>
      <w:r>
        <w:rPr>
          <w:rFonts w:hint="eastAsia" w:ascii="宋体" w:hAnsi="宋体" w:eastAsia="宋体" w:cs="宋体"/>
          <w:sz w:val="28"/>
          <w:szCs w:val="28"/>
        </w:rPr>
        <w:t>（1）项目经营储存的油品物质如在非正常经营、储存情况过程中大量可燃气体泄漏，形成局部高浓度环境，应急处理人员未带防护面具进入现场，可能造成应急人员中毒。</w:t>
      </w:r>
    </w:p>
    <w:p w14:paraId="1D69C935">
      <w:pPr>
        <w:spacing w:line="360" w:lineRule="auto"/>
        <w:ind w:firstLine="560" w:firstLineChars="200"/>
        <w:jc w:val="left"/>
        <w:rPr>
          <w:rFonts w:hint="eastAsia" w:ascii="宋体" w:hAnsi="宋体" w:eastAsia="宋体" w:cs="宋体"/>
          <w:sz w:val="28"/>
          <w:szCs w:val="28"/>
        </w:rPr>
      </w:pPr>
      <w:r>
        <w:rPr>
          <w:rFonts w:hint="eastAsia" w:ascii="宋体" w:hAnsi="宋体" w:eastAsia="宋体" w:cs="宋体"/>
          <w:sz w:val="28"/>
          <w:szCs w:val="28"/>
        </w:rPr>
        <w:t>（2）人员进入储罐内进行清洗和维护作业，如果未进行有效的置换或通风，不按照操作规程作业，可能造成人员中毒和窒息。</w:t>
      </w:r>
    </w:p>
    <w:p w14:paraId="7B6342B5">
      <w:pPr>
        <w:keepNext w:val="0"/>
        <w:keepLines w:val="0"/>
        <w:pageBreakBefore w:val="0"/>
        <w:widowControl w:val="0"/>
        <w:kinsoku/>
        <w:wordWrap/>
        <w:overflowPunct/>
        <w:topLinePunct w:val="0"/>
        <w:autoSpaceDE/>
        <w:autoSpaceDN/>
        <w:bidi w:val="0"/>
        <w:adjustRightInd/>
        <w:snapToGrid/>
        <w:ind w:firstLine="0" w:firstLineChars="0"/>
        <w:jc w:val="left"/>
        <w:textAlignment w:val="auto"/>
        <w:outlineLvl w:val="2"/>
        <w:rPr>
          <w:rFonts w:hint="eastAsia" w:ascii="楷体" w:hAnsi="楷体" w:eastAsia="楷体" w:cs="楷体"/>
          <w:b/>
          <w:bCs/>
          <w:sz w:val="32"/>
          <w:szCs w:val="32"/>
        </w:rPr>
      </w:pPr>
      <w:bookmarkStart w:id="170" w:name="_Toc1365"/>
      <w:r>
        <w:rPr>
          <w:rFonts w:hint="eastAsia" w:ascii="楷体" w:hAnsi="楷体" w:eastAsia="楷体" w:cs="楷体"/>
          <w:b/>
          <w:bCs/>
          <w:sz w:val="32"/>
          <w:szCs w:val="32"/>
        </w:rPr>
        <w:t>3.</w:t>
      </w:r>
      <w:r>
        <w:rPr>
          <w:rFonts w:hint="eastAsia" w:ascii="楷体" w:hAnsi="楷体" w:eastAsia="楷体" w:cs="楷体"/>
          <w:b/>
          <w:bCs/>
          <w:sz w:val="32"/>
          <w:szCs w:val="32"/>
          <w:lang w:val="en-US" w:eastAsia="zh-CN"/>
        </w:rPr>
        <w:t>4</w:t>
      </w:r>
      <w:r>
        <w:rPr>
          <w:rFonts w:hint="eastAsia" w:ascii="楷体" w:hAnsi="楷体" w:eastAsia="楷体" w:cs="楷体"/>
          <w:b/>
          <w:bCs/>
          <w:sz w:val="32"/>
          <w:szCs w:val="32"/>
        </w:rPr>
        <w:t>.</w:t>
      </w:r>
      <w:r>
        <w:rPr>
          <w:rFonts w:hint="eastAsia" w:ascii="楷体" w:hAnsi="楷体" w:eastAsia="楷体" w:cs="楷体"/>
          <w:b/>
          <w:bCs/>
          <w:sz w:val="32"/>
          <w:szCs w:val="32"/>
          <w:lang w:val="en-US" w:eastAsia="zh-CN"/>
        </w:rPr>
        <w:t>8</w:t>
      </w:r>
      <w:r>
        <w:rPr>
          <w:rFonts w:hint="eastAsia" w:ascii="楷体" w:hAnsi="楷体" w:eastAsia="楷体" w:cs="楷体"/>
          <w:b/>
          <w:bCs/>
          <w:sz w:val="32"/>
          <w:szCs w:val="32"/>
        </w:rPr>
        <w:t>高空坠落</w:t>
      </w:r>
      <w:bookmarkEnd w:id="170"/>
    </w:p>
    <w:p w14:paraId="1B05EBEC">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高处坠落是指作业人员在高处作业中发生坠落造成的伤亡事故，如从设备上、高处平台坠落下来。对此要求登高作业人员必须系安全带；高处作业平台加装必要的防护栏；高处施工点下面加装安全网；上下梯子应设置扶手及护栏；现场工作人员必须戴安全帽，非工作人员远离现场等。</w:t>
      </w:r>
    </w:p>
    <w:p w14:paraId="3C406F90">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该站存在高 2m 及以上的操作维修作业，如罩棚检维修作业、站房装修改造作业等，在施工或检修时需搭设脚手架或采用其它方式进行高处作业，临时脚手架缺陷；高处作业未使用防护用品，思想麻痹、身体、精神状态不良等发生高处坠落事故。造成高处坠落的主要因素是：</w:t>
      </w:r>
    </w:p>
    <w:p w14:paraId="1FBFBFD2">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宋体" w:hAnsi="宋体" w:eastAsia="宋体" w:cs="宋体"/>
          <w:sz w:val="28"/>
          <w:szCs w:val="28"/>
        </w:rPr>
      </w:pPr>
      <w:r>
        <w:rPr>
          <w:rFonts w:hint="eastAsia" w:ascii="宋体" w:hAnsi="宋体" w:eastAsia="宋体" w:cs="宋体"/>
          <w:sz w:val="28"/>
          <w:szCs w:val="28"/>
        </w:rPr>
        <w:t>1）没有按要求使用安全带。</w:t>
      </w:r>
    </w:p>
    <w:p w14:paraId="37D08ACF">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宋体" w:hAnsi="宋体" w:eastAsia="宋体" w:cs="宋体"/>
          <w:sz w:val="28"/>
          <w:szCs w:val="28"/>
        </w:rPr>
      </w:pPr>
      <w:r>
        <w:rPr>
          <w:rFonts w:hint="eastAsia" w:ascii="宋体" w:hAnsi="宋体" w:eastAsia="宋体" w:cs="宋体"/>
          <w:sz w:val="28"/>
          <w:szCs w:val="28"/>
        </w:rPr>
        <w:t>2）高处作业时安全防护设施损坏。</w:t>
      </w:r>
    </w:p>
    <w:p w14:paraId="1FE4F6A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3）使用安全保护装置不完善或在缺乏安全设备、设施上进行作业。</w:t>
      </w:r>
    </w:p>
    <w:p w14:paraId="68F4EEF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4）工作责任心不强，主观判断失误。</w:t>
      </w:r>
    </w:p>
    <w:p w14:paraId="4690EAC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5）作业人员疏忽大意，疲劳过度。</w:t>
      </w:r>
    </w:p>
    <w:p w14:paraId="25D2A1A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6）高处作业安全管理不到位。</w:t>
      </w:r>
    </w:p>
    <w:p w14:paraId="6159CC4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rPr>
      </w:pPr>
      <w:r>
        <w:rPr>
          <w:rFonts w:hint="eastAsia" w:ascii="宋体" w:hAnsi="宋体" w:eastAsia="宋体" w:cs="宋体"/>
          <w:sz w:val="28"/>
          <w:szCs w:val="28"/>
        </w:rPr>
        <w:t>7）没有按要求穿防滑性能良好的软底鞋等。</w:t>
      </w:r>
    </w:p>
    <w:p w14:paraId="02C53884">
      <w:pPr>
        <w:pStyle w:val="6"/>
        <w:bidi w:val="0"/>
        <w:rPr>
          <w:rFonts w:hint="eastAsia" w:ascii="楷体" w:hAnsi="楷体" w:eastAsia="楷体" w:cs="楷体"/>
          <w:sz w:val="32"/>
          <w:szCs w:val="32"/>
        </w:rPr>
      </w:pPr>
      <w:bookmarkStart w:id="171" w:name="_Toc8453"/>
      <w:r>
        <w:rPr>
          <w:rFonts w:hint="eastAsia" w:ascii="楷体" w:hAnsi="楷体" w:eastAsia="楷体" w:cs="楷体"/>
          <w:sz w:val="32"/>
          <w:szCs w:val="32"/>
        </w:rPr>
        <w:t>3.</w:t>
      </w:r>
      <w:r>
        <w:rPr>
          <w:rFonts w:hint="eastAsia" w:ascii="楷体" w:hAnsi="楷体" w:eastAsia="楷体" w:cs="楷体"/>
          <w:sz w:val="32"/>
          <w:szCs w:val="32"/>
          <w:lang w:val="en-US" w:eastAsia="zh-CN"/>
        </w:rPr>
        <w:t>4</w:t>
      </w:r>
      <w:r>
        <w:rPr>
          <w:rFonts w:hint="eastAsia" w:ascii="楷体" w:hAnsi="楷体" w:eastAsia="楷体" w:cs="楷体"/>
          <w:sz w:val="32"/>
          <w:szCs w:val="32"/>
        </w:rPr>
        <w:t>.</w:t>
      </w:r>
      <w:r>
        <w:rPr>
          <w:rFonts w:hint="eastAsia" w:ascii="楷体" w:hAnsi="楷体" w:eastAsia="楷体" w:cs="楷体"/>
          <w:sz w:val="32"/>
          <w:szCs w:val="32"/>
          <w:lang w:val="en-US" w:eastAsia="zh-CN"/>
        </w:rPr>
        <w:t>9</w:t>
      </w:r>
      <w:r>
        <w:rPr>
          <w:rFonts w:hint="eastAsia" w:ascii="楷体" w:hAnsi="楷体" w:eastAsia="楷体" w:cs="楷体"/>
          <w:sz w:val="32"/>
          <w:szCs w:val="32"/>
        </w:rPr>
        <w:t>受限空间作业危险性分析</w:t>
      </w:r>
      <w:bookmarkEnd w:id="171"/>
    </w:p>
    <w:p w14:paraId="056D0516">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该项目有限空间作业场所主要包括油罐、隔油池等。</w:t>
      </w:r>
    </w:p>
    <w:p w14:paraId="24EA8FA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1、进入油罐、隔油池等可能挥发有毒物质的受限空间进行作业前，未进行有毒气体检测，未进行充分的通风或作业过程中通风供氧措施不到位，使得因缺氧而造成中毒窒息伤害。</w:t>
      </w:r>
    </w:p>
    <w:p w14:paraId="248B8F0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在受限空间油罐实施焊接等作业时，如果未对可燃气体进行检测测，动火时可能发生火灾爆炸事故；由于使用的工器具产生的有害物质（如焊接产生的有害烟尘等），可能影响作业人员的身体健康，甚至可能出现中毒、窒息等严重事故。</w:t>
      </w:r>
    </w:p>
    <w:p w14:paraId="091DA41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3、在受限空间作业由于防护措施不到位或无人监护，可能会造成人员伤害。</w:t>
      </w:r>
    </w:p>
    <w:p w14:paraId="29A0D9B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4、进入原来盛装易燃性液体的容器进行焊接等明火作业时，未事先进行充分的通风和清扫，使得聚积在容器内的爆炸性混合气体浓度达到爆炸范围，遇焊接火花等可引起爆炸</w:t>
      </w:r>
      <w:r>
        <w:rPr>
          <w:rFonts w:hint="eastAsia" w:ascii="宋体" w:hAnsi="宋体" w:eastAsia="宋体" w:cs="宋体"/>
          <w:sz w:val="28"/>
          <w:szCs w:val="28"/>
          <w:lang w:eastAsia="zh-CN"/>
        </w:rPr>
        <w:t>。</w:t>
      </w:r>
    </w:p>
    <w:p w14:paraId="767B5C89">
      <w:pPr>
        <w:pStyle w:val="5"/>
        <w:bidi w:val="0"/>
        <w:rPr>
          <w:rFonts w:hint="eastAsia" w:ascii="楷体" w:hAnsi="楷体" w:eastAsia="楷体" w:cs="楷体"/>
          <w:sz w:val="32"/>
          <w:szCs w:val="32"/>
          <w:lang w:val="en-US" w:eastAsia="zh-CN"/>
        </w:rPr>
      </w:pPr>
      <w:bookmarkStart w:id="172" w:name="_Toc12095"/>
      <w:bookmarkStart w:id="173" w:name="_Toc32333"/>
      <w:bookmarkStart w:id="174" w:name="_Toc15163"/>
      <w:r>
        <w:rPr>
          <w:rFonts w:hint="eastAsia" w:ascii="楷体" w:hAnsi="楷体" w:eastAsia="楷体" w:cs="楷体"/>
          <w:sz w:val="32"/>
          <w:szCs w:val="32"/>
          <w:lang w:val="en-US" w:eastAsia="zh-CN"/>
        </w:rPr>
        <w:t>3.5环境、自然危害因素分析</w:t>
      </w:r>
      <w:bookmarkEnd w:id="169"/>
      <w:bookmarkEnd w:id="172"/>
      <w:bookmarkEnd w:id="173"/>
      <w:bookmarkEnd w:id="174"/>
    </w:p>
    <w:p w14:paraId="1A10428E">
      <w:pPr>
        <w:spacing w:line="560" w:lineRule="exact"/>
        <w:ind w:firstLine="560" w:firstLineChars="200"/>
        <w:rPr>
          <w:rFonts w:cs="Times New Roman"/>
          <w:sz w:val="28"/>
          <w:szCs w:val="28"/>
        </w:rPr>
      </w:pPr>
      <w:r>
        <w:rPr>
          <w:rFonts w:hint="eastAsia" w:cs="宋体"/>
          <w:sz w:val="28"/>
          <w:szCs w:val="28"/>
        </w:rPr>
        <w:t>项目在经营、检修过程中可能存在因环境不良、地面物质堆积、操作空间过于狭窄或操作人员注意力不集中、工具不称手、防护措施不当等原因造成的滑跌、绊倒、碰撞等，造成人员伤害。</w:t>
      </w:r>
    </w:p>
    <w:p w14:paraId="5CB9D03D">
      <w:pPr>
        <w:spacing w:line="560" w:lineRule="exact"/>
        <w:ind w:firstLine="560" w:firstLineChars="200"/>
        <w:rPr>
          <w:rFonts w:cs="Times New Roman"/>
          <w:sz w:val="28"/>
          <w:szCs w:val="28"/>
        </w:rPr>
      </w:pPr>
      <w:r>
        <w:rPr>
          <w:rFonts w:hint="eastAsia" w:cs="宋体"/>
          <w:sz w:val="28"/>
          <w:szCs w:val="28"/>
        </w:rPr>
        <w:t>地震是一种能产生巨大破坏作用的自然现象，对建筑物破坏作用明显，威胁设备、人员的安全。</w:t>
      </w:r>
    </w:p>
    <w:p w14:paraId="5CDAB8FD">
      <w:pPr>
        <w:spacing w:line="560" w:lineRule="exact"/>
        <w:ind w:firstLine="560" w:firstLineChars="200"/>
        <w:rPr>
          <w:rFonts w:cs="Times New Roman"/>
          <w:sz w:val="28"/>
          <w:szCs w:val="28"/>
        </w:rPr>
      </w:pPr>
      <w:r>
        <w:rPr>
          <w:rFonts w:hint="eastAsia" w:cs="宋体"/>
          <w:sz w:val="28"/>
          <w:szCs w:val="28"/>
        </w:rPr>
        <w:t>由于江西省气候具有明显的亚热带季风气候区特点，系中亚热带向北亚热带过渡区气候温和，四季分明，大雨集中在每年六、七月间，突然的大规模降水可能导致排水不畅，暴雨及洪水可能威胁加油站的安全。</w:t>
      </w:r>
    </w:p>
    <w:p w14:paraId="325C435E">
      <w:pPr>
        <w:spacing w:line="560" w:lineRule="exact"/>
        <w:ind w:firstLine="560" w:firstLineChars="200"/>
        <w:rPr>
          <w:rFonts w:cs="Times New Roman"/>
          <w:sz w:val="28"/>
          <w:szCs w:val="28"/>
        </w:rPr>
      </w:pPr>
      <w:r>
        <w:rPr>
          <w:rFonts w:hint="eastAsia" w:cs="宋体"/>
          <w:sz w:val="28"/>
          <w:szCs w:val="28"/>
        </w:rPr>
        <w:t>此外，寒冷的冬季可能由于冰冻的出现，大面积的冰冻会导致加油站的用水水管破裂，同时导致加油站地面打滑，引发车辆伤人事故。</w:t>
      </w:r>
    </w:p>
    <w:p w14:paraId="68BA7C08">
      <w:pPr>
        <w:spacing w:line="560" w:lineRule="exact"/>
        <w:ind w:firstLine="560" w:firstLineChars="200"/>
        <w:rPr>
          <w:rFonts w:cs="Times New Roman"/>
          <w:sz w:val="28"/>
          <w:szCs w:val="28"/>
        </w:rPr>
      </w:pPr>
      <w:r>
        <w:rPr>
          <w:rFonts w:hint="eastAsia" w:cs="宋体"/>
          <w:sz w:val="28"/>
          <w:szCs w:val="28"/>
        </w:rPr>
        <w:t>由于年平均温度为</w:t>
      </w:r>
      <w:r>
        <w:rPr>
          <w:rFonts w:hint="eastAsia" w:ascii="宋体" w:hAnsi="宋体" w:eastAsia="宋体" w:cs="宋体"/>
          <w:sz w:val="28"/>
          <w:szCs w:val="28"/>
        </w:rPr>
        <w:t>17.2℃，最热月(7月)平均温度28.6℃，</w:t>
      </w:r>
      <w:r>
        <w:rPr>
          <w:rFonts w:hint="eastAsia" w:cs="宋体"/>
          <w:sz w:val="28"/>
          <w:szCs w:val="28"/>
        </w:rPr>
        <w:t>但极端高温</w:t>
      </w:r>
      <w:r>
        <w:rPr>
          <w:rFonts w:hint="eastAsia" w:ascii="宋体" w:hAnsi="宋体" w:eastAsia="宋体" w:cs="宋体"/>
          <w:sz w:val="28"/>
          <w:szCs w:val="28"/>
        </w:rPr>
        <w:t>40℃的天气，夏季出现短暂高温天气时注意作业员工的防暑降温，同时注意储油设施</w:t>
      </w:r>
      <w:r>
        <w:rPr>
          <w:rFonts w:hint="eastAsia" w:cs="宋体"/>
          <w:sz w:val="28"/>
          <w:szCs w:val="28"/>
        </w:rPr>
        <w:t>和加油设备在高温气候时的安全。</w:t>
      </w:r>
    </w:p>
    <w:p w14:paraId="277D256F">
      <w:pPr>
        <w:pStyle w:val="5"/>
        <w:bidi w:val="0"/>
        <w:rPr>
          <w:rFonts w:hint="eastAsia" w:ascii="楷体" w:hAnsi="楷体" w:eastAsia="楷体" w:cs="楷体"/>
          <w:sz w:val="32"/>
          <w:szCs w:val="32"/>
          <w:lang w:val="en-US" w:eastAsia="zh-CN"/>
        </w:rPr>
      </w:pPr>
      <w:bookmarkStart w:id="175" w:name="_Toc13368"/>
      <w:bookmarkStart w:id="176" w:name="_Toc32099"/>
      <w:bookmarkStart w:id="177" w:name="_Toc28094"/>
      <w:bookmarkStart w:id="178" w:name="_Toc1470"/>
      <w:r>
        <w:rPr>
          <w:rFonts w:hint="eastAsia" w:ascii="楷体" w:hAnsi="楷体" w:eastAsia="楷体" w:cs="楷体"/>
          <w:sz w:val="32"/>
          <w:szCs w:val="32"/>
          <w:lang w:val="en-US" w:eastAsia="zh-CN"/>
        </w:rPr>
        <w:t>3.6有害因素分析</w:t>
      </w:r>
      <w:bookmarkEnd w:id="175"/>
      <w:bookmarkEnd w:id="176"/>
      <w:bookmarkEnd w:id="177"/>
      <w:bookmarkEnd w:id="178"/>
    </w:p>
    <w:p w14:paraId="24ACBB13">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b/>
          <w:bCs/>
          <w:kern w:val="2"/>
          <w:sz w:val="32"/>
          <w:szCs w:val="32"/>
          <w:lang w:val="en-US" w:eastAsia="zh-CN" w:bidi="ar-SA"/>
        </w:rPr>
      </w:pPr>
      <w:bookmarkStart w:id="179" w:name="_Toc30707"/>
      <w:bookmarkStart w:id="180" w:name="_Toc3276"/>
      <w:bookmarkStart w:id="181" w:name="_Toc25351"/>
      <w:r>
        <w:rPr>
          <w:rFonts w:hint="eastAsia" w:ascii="楷体" w:hAnsi="楷体" w:eastAsia="楷体" w:cs="楷体"/>
          <w:b/>
          <w:bCs/>
          <w:kern w:val="2"/>
          <w:sz w:val="32"/>
          <w:szCs w:val="32"/>
          <w:lang w:val="en-US" w:eastAsia="zh-CN" w:bidi="ar-SA"/>
        </w:rPr>
        <w:t>3.6.1有害物质</w:t>
      </w:r>
      <w:bookmarkEnd w:id="179"/>
      <w:bookmarkEnd w:id="180"/>
      <w:bookmarkEnd w:id="181"/>
    </w:p>
    <w:p w14:paraId="46ED0804">
      <w:pPr>
        <w:spacing w:line="560" w:lineRule="exact"/>
        <w:ind w:firstLine="560" w:firstLineChars="200"/>
        <w:rPr>
          <w:rFonts w:cs="Times New Roman"/>
          <w:sz w:val="28"/>
          <w:szCs w:val="28"/>
        </w:rPr>
      </w:pPr>
      <w:r>
        <w:rPr>
          <w:rFonts w:hint="eastAsia" w:cs="宋体"/>
          <w:sz w:val="28"/>
          <w:szCs w:val="28"/>
        </w:rPr>
        <w:t>经营、储存的汽油、柴油危险化学品物质即使在正常的生产过程中也会有微量的泄漏，长期低浓度接触这些物质可能对人体造成不良影响，可能导致神经衰弱综合征、皮肤过敏、损害。</w:t>
      </w:r>
    </w:p>
    <w:p w14:paraId="6C93F659">
      <w:pPr>
        <w:pStyle w:val="6"/>
        <w:keepNext/>
        <w:keepLines/>
        <w:pageBreakBefore w:val="0"/>
        <w:widowControl w:val="0"/>
        <w:kinsoku/>
        <w:wordWrap/>
        <w:overflowPunct/>
        <w:topLinePunct w:val="0"/>
        <w:autoSpaceDE/>
        <w:autoSpaceDN/>
        <w:bidi w:val="0"/>
        <w:adjustRightInd/>
        <w:snapToGrid/>
        <w:ind w:firstLine="0" w:firstLineChars="0"/>
        <w:textAlignment w:val="auto"/>
        <w:rPr>
          <w:rFonts w:hint="eastAsia" w:ascii="楷体" w:hAnsi="楷体" w:eastAsia="楷体" w:cs="楷体"/>
          <w:b/>
          <w:bCs/>
          <w:kern w:val="2"/>
          <w:sz w:val="32"/>
          <w:szCs w:val="32"/>
          <w:lang w:val="en-US" w:eastAsia="zh-CN" w:bidi="ar-SA"/>
        </w:rPr>
      </w:pPr>
      <w:bookmarkStart w:id="182" w:name="_Toc15120"/>
      <w:bookmarkStart w:id="183" w:name="_Toc23698"/>
      <w:bookmarkStart w:id="184" w:name="_Toc4303"/>
      <w:bookmarkStart w:id="185" w:name="_Toc5253"/>
      <w:r>
        <w:rPr>
          <w:rFonts w:hint="eastAsia" w:ascii="楷体" w:hAnsi="楷体" w:eastAsia="楷体" w:cs="楷体"/>
          <w:b/>
          <w:bCs/>
          <w:kern w:val="2"/>
          <w:sz w:val="32"/>
          <w:szCs w:val="32"/>
          <w:lang w:val="en-US" w:eastAsia="zh-CN" w:bidi="ar-SA"/>
        </w:rPr>
        <w:t>3.6.2噪声危害</w:t>
      </w:r>
      <w:bookmarkEnd w:id="182"/>
      <w:bookmarkEnd w:id="183"/>
      <w:bookmarkEnd w:id="184"/>
      <w:bookmarkEnd w:id="185"/>
    </w:p>
    <w:p w14:paraId="1DCE6EFA">
      <w:pPr>
        <w:spacing w:line="560" w:lineRule="exact"/>
        <w:ind w:firstLine="560" w:firstLineChars="200"/>
        <w:rPr>
          <w:rFonts w:cs="Times New Roman"/>
          <w:sz w:val="28"/>
          <w:szCs w:val="28"/>
        </w:rPr>
      </w:pPr>
      <w:r>
        <w:rPr>
          <w:rFonts w:hint="eastAsia" w:cs="宋体"/>
          <w:sz w:val="28"/>
          <w:szCs w:val="28"/>
        </w:rPr>
        <w:t>加油站经营中的噪声一般来自于大型车辆的启动、运行的噪声。</w:t>
      </w:r>
    </w:p>
    <w:p w14:paraId="4B549549">
      <w:pPr>
        <w:spacing w:line="560" w:lineRule="exact"/>
        <w:ind w:firstLine="560" w:firstLineChars="200"/>
        <w:rPr>
          <w:rFonts w:cs="Times New Roman"/>
          <w:sz w:val="28"/>
          <w:szCs w:val="28"/>
        </w:rPr>
      </w:pPr>
      <w:r>
        <w:rPr>
          <w:rFonts w:hint="eastAsia" w:cs="宋体"/>
          <w:sz w:val="28"/>
          <w:szCs w:val="28"/>
        </w:rPr>
        <w:t>此外机械运转部件发生故障也会产生较大的机械噪声。</w:t>
      </w:r>
    </w:p>
    <w:p w14:paraId="4DCA0108">
      <w:pPr>
        <w:pStyle w:val="5"/>
        <w:bidi w:val="0"/>
        <w:rPr>
          <w:rFonts w:hint="eastAsia" w:ascii="楷体" w:hAnsi="楷体" w:eastAsia="楷体" w:cs="楷体"/>
          <w:b/>
          <w:bCs/>
          <w:kern w:val="2"/>
          <w:sz w:val="32"/>
          <w:szCs w:val="32"/>
          <w:lang w:val="en-US" w:eastAsia="zh-CN" w:bidi="ar-SA"/>
        </w:rPr>
      </w:pPr>
      <w:bookmarkStart w:id="186" w:name="_Toc27626"/>
      <w:bookmarkStart w:id="187" w:name="_Toc16060"/>
      <w:bookmarkStart w:id="188" w:name="_Toc25195"/>
      <w:bookmarkStart w:id="189" w:name="_Toc19314"/>
      <w:r>
        <w:rPr>
          <w:rFonts w:hint="eastAsia" w:ascii="楷体" w:hAnsi="楷体" w:eastAsia="楷体" w:cs="楷体"/>
          <w:b/>
          <w:bCs/>
          <w:kern w:val="2"/>
          <w:sz w:val="32"/>
          <w:szCs w:val="32"/>
          <w:lang w:val="en-US" w:eastAsia="zh-CN" w:bidi="ar-SA"/>
        </w:rPr>
        <w:t>3.7典型事故案例</w:t>
      </w:r>
      <w:bookmarkEnd w:id="186"/>
      <w:bookmarkEnd w:id="187"/>
      <w:bookmarkEnd w:id="188"/>
      <w:bookmarkEnd w:id="189"/>
    </w:p>
    <w:p w14:paraId="20F30602">
      <w:pPr>
        <w:spacing w:line="560" w:lineRule="exact"/>
        <w:ind w:firstLine="560" w:firstLineChars="200"/>
        <w:rPr>
          <w:rFonts w:hint="eastAsia" w:ascii="宋体" w:hAnsi="宋体" w:eastAsia="宋体" w:cs="宋体"/>
          <w:sz w:val="28"/>
          <w:szCs w:val="28"/>
        </w:rPr>
      </w:pPr>
      <w:r>
        <w:rPr>
          <w:rFonts w:hint="eastAsia"/>
          <w:sz w:val="28"/>
          <w:szCs w:val="28"/>
        </w:rPr>
        <w:t>广汉市某加油站主要从事成品油零售。</w:t>
      </w:r>
      <w:r>
        <w:rPr>
          <w:rFonts w:hint="eastAsia" w:ascii="宋体" w:hAnsi="宋体" w:eastAsia="宋体" w:cs="宋体"/>
          <w:sz w:val="28"/>
          <w:szCs w:val="28"/>
        </w:rPr>
        <w:t>2023年7月29日，德阳市广汉生态环境局委托走航车对该加油站开展走航监测，在对其油气回收装置接口处现场监测时发现其数据异常，总挥发性有机物高达278265.18ppm，远高于油气泄漏检测值标准（500ppm）。经核实该加油站因疏于管理，导致其非卸油状态油气回收装置接头处帽盖脱落丢失。</w:t>
      </w:r>
    </w:p>
    <w:p w14:paraId="702C3C22">
      <w:pPr>
        <w:spacing w:line="560" w:lineRule="exact"/>
        <w:ind w:firstLine="560" w:firstLineChars="200"/>
        <w:rPr>
          <w:rFonts w:hint="eastAsia"/>
          <w:sz w:val="28"/>
          <w:szCs w:val="28"/>
        </w:rPr>
      </w:pPr>
      <w:r>
        <w:rPr>
          <w:rFonts w:hint="eastAsia" w:ascii="宋体" w:hAnsi="宋体" w:eastAsia="宋体" w:cs="宋体"/>
          <w:sz w:val="28"/>
          <w:szCs w:val="28"/>
        </w:rPr>
        <w:t>查处情况</w:t>
      </w:r>
      <w:r>
        <w:rPr>
          <w:rFonts w:hint="eastAsia" w:ascii="宋体" w:hAnsi="宋体" w:eastAsia="宋体" w:cs="宋体"/>
          <w:sz w:val="28"/>
          <w:szCs w:val="28"/>
          <w:lang w:val="en-US" w:eastAsia="zh-CN"/>
        </w:rPr>
        <w:t>:</w:t>
      </w:r>
      <w:r>
        <w:rPr>
          <w:rFonts w:hint="eastAsia"/>
          <w:sz w:val="28"/>
          <w:szCs w:val="28"/>
        </w:rPr>
        <w:t>该加油站上述行为违反了《中华人民共和国大气污染防治法》第四十七条第二款的规定，依据《中华人民共和国大气污染防治法》第一百零八条第四项和《四川省生态环境行政处罚裁量标准》的规定，德阳市生态环境局依法对该加油站不正常使用油气回收装置的行为作出罚款2万元的处罚决定。</w:t>
      </w:r>
    </w:p>
    <w:p w14:paraId="3333A9F1">
      <w:pPr>
        <w:spacing w:line="560" w:lineRule="exact"/>
        <w:ind w:firstLine="560" w:firstLineChars="200"/>
        <w:rPr>
          <w:rFonts w:hint="eastAsia"/>
          <w:sz w:val="28"/>
          <w:szCs w:val="28"/>
        </w:rPr>
      </w:pPr>
      <w:r>
        <w:rPr>
          <w:rFonts w:hint="eastAsia"/>
          <w:sz w:val="28"/>
          <w:szCs w:val="28"/>
        </w:rPr>
        <w:t>典型</w:t>
      </w:r>
      <w:r>
        <w:rPr>
          <w:rFonts w:hint="eastAsia" w:ascii="宋体" w:hAnsi="宋体" w:eastAsia="宋体" w:cs="宋体"/>
          <w:sz w:val="28"/>
          <w:szCs w:val="28"/>
        </w:rPr>
        <w:t>意义</w:t>
      </w:r>
      <w:r>
        <w:rPr>
          <w:rFonts w:hint="eastAsia" w:ascii="宋体" w:hAnsi="宋体" w:eastAsia="宋体" w:cs="宋体"/>
          <w:sz w:val="28"/>
          <w:szCs w:val="28"/>
          <w:lang w:val="en-US" w:eastAsia="zh-CN"/>
        </w:rPr>
        <w:t>:</w:t>
      </w:r>
      <w:r>
        <w:rPr>
          <w:rFonts w:hint="eastAsia" w:ascii="宋体" w:hAnsi="宋体" w:eastAsia="宋体" w:cs="宋体"/>
          <w:sz w:val="28"/>
          <w:szCs w:val="28"/>
        </w:rPr>
        <w:t>本案是一</w:t>
      </w:r>
      <w:r>
        <w:rPr>
          <w:rFonts w:hint="eastAsia"/>
          <w:sz w:val="28"/>
          <w:szCs w:val="28"/>
        </w:rPr>
        <w:t>起情节较为典型的加油站不正常使用油气回收装置的案件。加油站在卸油、储存、加油过程中会产生挥发性有机物，其在一定温度、压力条件下，易产生二次污染物臭氧，它是导致雾霾污染天气的元凶之一。因此，要求加油站的储油罐、加油枪等设备必须按要求安装油气回收系统，减小非甲烷总烃的无组织排放，防止臭氧的产生，保障环境空气质量。加油站等经营主体要加强对油气回收系统的维护，定期委托有资质的检测机构对气液比等参数进行校检，保障油气回收装置的正常使用，既是履行生态环境保护的主体责任，也有利于保障加油站的安全生产和正常经营。</w:t>
      </w:r>
    </w:p>
    <w:p w14:paraId="1E748F97">
      <w:pPr>
        <w:spacing w:line="560" w:lineRule="exact"/>
        <w:ind w:firstLine="560" w:firstLineChars="200"/>
        <w:rPr>
          <w:rFonts w:hint="eastAsia"/>
          <w:sz w:val="28"/>
          <w:szCs w:val="28"/>
        </w:rPr>
      </w:pPr>
      <w:r>
        <w:rPr>
          <w:rFonts w:hint="eastAsia"/>
          <w:sz w:val="28"/>
          <w:szCs w:val="28"/>
        </w:rPr>
        <w:t>执法部门利用走航车、便携式检测仪等设备对加油站、储油库、油罐车等不定期开展监督性检测，精准及时发现油气回收设施不正常运行等违法行为并立即责令改正，依法查处，尽可能减轻对环境的影响。</w:t>
      </w:r>
    </w:p>
    <w:p w14:paraId="4C606426">
      <w:r>
        <w:rPr>
          <w:rFonts w:hint="eastAsia"/>
          <w:sz w:val="28"/>
          <w:szCs w:val="28"/>
        </w:rPr>
        <w:br w:type="page"/>
      </w:r>
    </w:p>
    <w:p w14:paraId="5D4998FB">
      <w:pPr>
        <w:keepNext w:val="0"/>
        <w:keepLines w:val="0"/>
        <w:pageBreakBefore w:val="0"/>
        <w:widowControl w:val="0"/>
        <w:kinsoku/>
        <w:wordWrap/>
        <w:overflowPunct/>
        <w:topLinePunct w:val="0"/>
        <w:autoSpaceDE/>
        <w:autoSpaceDN/>
        <w:bidi w:val="0"/>
        <w:adjustRightInd/>
        <w:snapToGrid/>
        <w:spacing w:line="600" w:lineRule="exact"/>
        <w:textAlignment w:val="auto"/>
        <w:outlineLvl w:val="0"/>
        <w:rPr>
          <w:rFonts w:hint="eastAsia" w:ascii="楷体" w:hAnsi="楷体" w:eastAsia="楷体" w:cs="楷体"/>
          <w:b/>
          <w:bCs/>
          <w:kern w:val="2"/>
          <w:sz w:val="32"/>
          <w:szCs w:val="32"/>
          <w:lang w:val="en-US" w:eastAsia="zh-CN" w:bidi="ar-SA"/>
        </w:rPr>
      </w:pPr>
      <w:bookmarkStart w:id="190" w:name="_Toc350517383"/>
      <w:bookmarkStart w:id="191" w:name="_Toc20468417"/>
      <w:bookmarkStart w:id="192" w:name="_Toc27989"/>
      <w:bookmarkStart w:id="193" w:name="_Toc9757"/>
      <w:bookmarkStart w:id="194" w:name="_Toc2652"/>
      <w:r>
        <w:rPr>
          <w:rStyle w:val="24"/>
          <w:rFonts w:hint="eastAsia" w:ascii="楷体" w:hAnsi="楷体" w:eastAsia="楷体" w:cs="楷体"/>
          <w:sz w:val="32"/>
          <w:szCs w:val="32"/>
          <w:lang w:val="en-US" w:eastAsia="zh-CN"/>
        </w:rPr>
        <w:t>4</w:t>
      </w:r>
      <w:bookmarkEnd w:id="190"/>
      <w:bookmarkEnd w:id="191"/>
      <w:bookmarkEnd w:id="192"/>
      <w:bookmarkEnd w:id="193"/>
      <w:r>
        <w:rPr>
          <w:rStyle w:val="24"/>
          <w:rFonts w:hint="eastAsia" w:ascii="楷体" w:hAnsi="楷体" w:eastAsia="楷体" w:cs="楷体"/>
          <w:sz w:val="32"/>
          <w:szCs w:val="32"/>
          <w:lang w:val="en-US" w:eastAsia="zh-CN"/>
        </w:rPr>
        <w:t>评价单元的划分及评价方法的选择</w:t>
      </w:r>
      <w:bookmarkEnd w:id="194"/>
    </w:p>
    <w:p w14:paraId="5B081FF7">
      <w:pPr>
        <w:pStyle w:val="5"/>
        <w:keepNext/>
        <w:keepLines/>
        <w:pageBreakBefore w:val="0"/>
        <w:widowControl w:val="0"/>
        <w:kinsoku/>
        <w:wordWrap/>
        <w:overflowPunct/>
        <w:topLinePunct w:val="0"/>
        <w:autoSpaceDE/>
        <w:autoSpaceDN/>
        <w:bidi w:val="0"/>
        <w:adjustRightInd/>
        <w:snapToGrid/>
        <w:ind w:firstLine="0" w:firstLineChars="0"/>
        <w:textAlignment w:val="auto"/>
        <w:outlineLvl w:val="1"/>
        <w:rPr>
          <w:rFonts w:hint="eastAsia" w:ascii="楷体" w:hAnsi="楷体" w:eastAsia="楷体" w:cs="楷体"/>
          <w:b/>
          <w:bCs/>
          <w:kern w:val="2"/>
          <w:sz w:val="32"/>
          <w:szCs w:val="32"/>
          <w:lang w:val="en-US" w:eastAsia="zh-CN" w:bidi="ar-SA"/>
        </w:rPr>
      </w:pPr>
      <w:bookmarkStart w:id="195" w:name="_Toc9508"/>
      <w:bookmarkStart w:id="196" w:name="_Toc20468418"/>
      <w:bookmarkStart w:id="197" w:name="_Toc26913"/>
      <w:bookmarkStart w:id="198" w:name="_Toc18672"/>
      <w:bookmarkStart w:id="199" w:name="_Toc23345"/>
      <w:bookmarkStart w:id="200" w:name="_Toc343692259"/>
      <w:bookmarkStart w:id="201" w:name="_Toc32083"/>
      <w:bookmarkStart w:id="202" w:name="_Toc343692260"/>
      <w:bookmarkStart w:id="203" w:name="_Toc20468419"/>
      <w:bookmarkStart w:id="204" w:name="_Toc22347"/>
      <w:bookmarkStart w:id="205" w:name="_Toc3014"/>
      <w:r>
        <w:rPr>
          <w:rFonts w:hint="eastAsia" w:ascii="楷体" w:hAnsi="楷体" w:eastAsia="楷体" w:cs="楷体"/>
          <w:b/>
          <w:bCs/>
          <w:kern w:val="2"/>
          <w:sz w:val="32"/>
          <w:szCs w:val="32"/>
          <w:lang w:val="en-US" w:eastAsia="zh-CN" w:bidi="ar-SA"/>
        </w:rPr>
        <w:t>4.1评价单元的</w:t>
      </w:r>
      <w:bookmarkEnd w:id="195"/>
      <w:bookmarkEnd w:id="196"/>
      <w:bookmarkEnd w:id="197"/>
      <w:bookmarkEnd w:id="198"/>
      <w:bookmarkEnd w:id="199"/>
      <w:bookmarkEnd w:id="200"/>
      <w:r>
        <w:rPr>
          <w:rFonts w:hint="eastAsia" w:ascii="楷体" w:hAnsi="楷体" w:eastAsia="楷体" w:cs="楷体"/>
          <w:b/>
          <w:bCs/>
          <w:kern w:val="2"/>
          <w:sz w:val="32"/>
          <w:szCs w:val="32"/>
          <w:lang w:val="en-US" w:eastAsia="zh-CN" w:bidi="ar-SA"/>
        </w:rPr>
        <w:t>划分</w:t>
      </w:r>
      <w:bookmarkEnd w:id="201"/>
    </w:p>
    <w:p w14:paraId="6F928B45">
      <w:pPr>
        <w:spacing w:line="600" w:lineRule="exact"/>
        <w:ind w:firstLine="560" w:firstLineChars="200"/>
        <w:rPr>
          <w:rFonts w:hint="eastAsia" w:ascii="宋体" w:hAnsi="宋体" w:eastAsia="宋体" w:cs="宋体"/>
          <w:sz w:val="28"/>
          <w:szCs w:val="28"/>
        </w:rPr>
      </w:pPr>
      <w:r>
        <w:rPr>
          <w:rFonts w:hint="eastAsia" w:cs="宋体"/>
          <w:sz w:val="28"/>
          <w:szCs w:val="28"/>
        </w:rPr>
        <w:t>据该加油站的现场实际以及危险、有害因素辨识与分析的基础上，按照国家有关成品油零售经营的法律法规以及《汽车加油加气加氢站设计标准》</w:t>
      </w:r>
      <w:r>
        <w:rPr>
          <w:rFonts w:hint="eastAsia" w:ascii="宋体" w:hAnsi="宋体" w:eastAsia="宋体" w:cs="宋体"/>
          <w:sz w:val="28"/>
          <w:szCs w:val="28"/>
        </w:rPr>
        <w:t>GB50156-2021的要求，安全评价单元划分为：</w:t>
      </w:r>
    </w:p>
    <w:p w14:paraId="44E9737A">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eastAsia" w:ascii="宋体" w:hAnsi="宋体" w:cs="宋体"/>
          <w:b/>
          <w:bCs/>
          <w:sz w:val="24"/>
          <w:szCs w:val="24"/>
        </w:rPr>
      </w:pPr>
      <w:r>
        <w:rPr>
          <w:rFonts w:hint="eastAsia" w:ascii="宋体" w:hAnsi="宋体" w:cs="宋体"/>
          <w:b/>
          <w:bCs/>
          <w:sz w:val="24"/>
          <w:szCs w:val="24"/>
        </w:rPr>
        <w:t>表</w:t>
      </w:r>
      <w:r>
        <w:rPr>
          <w:rFonts w:ascii="宋体" w:hAnsi="宋体" w:cs="宋体"/>
          <w:b/>
          <w:bCs/>
          <w:sz w:val="24"/>
          <w:szCs w:val="24"/>
        </w:rPr>
        <w:t>4-1</w:t>
      </w:r>
      <w:r>
        <w:rPr>
          <w:rFonts w:hint="eastAsia" w:ascii="宋体" w:hAnsi="宋体" w:cs="宋体"/>
          <w:b/>
          <w:bCs/>
          <w:sz w:val="24"/>
          <w:szCs w:val="24"/>
        </w:rPr>
        <w:t>评价单元划分一览表</w:t>
      </w:r>
    </w:p>
    <w:tbl>
      <w:tblPr>
        <w:tblStyle w:val="47"/>
        <w:tblW w:w="929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05"/>
        <w:gridCol w:w="2550"/>
        <w:gridCol w:w="3400"/>
        <w:gridCol w:w="2235"/>
      </w:tblGrid>
      <w:tr w14:paraId="591EBD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1" w:hRule="atLeast"/>
        </w:trPr>
        <w:tc>
          <w:tcPr>
            <w:tcW w:w="1105" w:type="dxa"/>
            <w:vAlign w:val="top"/>
          </w:tcPr>
          <w:p w14:paraId="76870E08">
            <w:pPr>
              <w:kinsoku w:val="0"/>
              <w:autoSpaceDE w:val="0"/>
              <w:autoSpaceDN w:val="0"/>
              <w:adjustRightInd w:val="0"/>
              <w:snapToGrid w:val="0"/>
              <w:spacing w:before="55" w:line="230" w:lineRule="auto"/>
              <w:ind w:left="34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4"/>
                <w:kern w:val="0"/>
                <w:sz w:val="20"/>
                <w:szCs w:val="20"/>
                <w:lang w:val="en-US" w:eastAsia="en-US" w:bidi="ar-SA"/>
              </w:rPr>
              <w:t>序号</w:t>
            </w:r>
          </w:p>
        </w:tc>
        <w:tc>
          <w:tcPr>
            <w:tcW w:w="2550" w:type="dxa"/>
            <w:vAlign w:val="top"/>
          </w:tcPr>
          <w:p w14:paraId="5667199B">
            <w:pPr>
              <w:kinsoku w:val="0"/>
              <w:autoSpaceDE w:val="0"/>
              <w:autoSpaceDN w:val="0"/>
              <w:adjustRightInd w:val="0"/>
              <w:snapToGrid w:val="0"/>
              <w:spacing w:before="56" w:line="227" w:lineRule="auto"/>
              <w:ind w:left="85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评价单元</w:t>
            </w:r>
          </w:p>
        </w:tc>
        <w:tc>
          <w:tcPr>
            <w:tcW w:w="3400" w:type="dxa"/>
            <w:vAlign w:val="top"/>
          </w:tcPr>
          <w:p w14:paraId="3071002C">
            <w:pPr>
              <w:kinsoku w:val="0"/>
              <w:autoSpaceDE w:val="0"/>
              <w:autoSpaceDN w:val="0"/>
              <w:adjustRightInd w:val="0"/>
              <w:snapToGrid w:val="0"/>
              <w:spacing w:before="56" w:line="227" w:lineRule="auto"/>
              <w:ind w:left="96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7"/>
                <w:kern w:val="0"/>
                <w:sz w:val="20"/>
                <w:szCs w:val="20"/>
                <w:lang w:val="en-US" w:eastAsia="en-US" w:bidi="ar-SA"/>
              </w:rPr>
              <w:t>评价的主要对象</w:t>
            </w:r>
          </w:p>
        </w:tc>
        <w:tc>
          <w:tcPr>
            <w:tcW w:w="2235" w:type="dxa"/>
            <w:vAlign w:val="top"/>
          </w:tcPr>
          <w:p w14:paraId="4CCB67F7">
            <w:pPr>
              <w:kinsoku w:val="0"/>
              <w:autoSpaceDE w:val="0"/>
              <w:autoSpaceDN w:val="0"/>
              <w:adjustRightInd w:val="0"/>
              <w:snapToGrid w:val="0"/>
              <w:spacing w:before="56" w:line="227" w:lineRule="auto"/>
              <w:ind w:left="38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7"/>
                <w:kern w:val="0"/>
                <w:sz w:val="20"/>
                <w:szCs w:val="20"/>
                <w:lang w:val="en-US" w:eastAsia="en-US" w:bidi="ar-SA"/>
              </w:rPr>
              <w:t>采用的评价方法</w:t>
            </w:r>
          </w:p>
        </w:tc>
      </w:tr>
      <w:tr w14:paraId="77844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105" w:type="dxa"/>
            <w:vMerge w:val="restart"/>
            <w:tcBorders>
              <w:bottom w:val="nil"/>
            </w:tcBorders>
            <w:vAlign w:val="top"/>
          </w:tcPr>
          <w:p w14:paraId="5896FBE5">
            <w:pPr>
              <w:widowControl/>
              <w:kinsoku w:val="0"/>
              <w:autoSpaceDE w:val="0"/>
              <w:autoSpaceDN w:val="0"/>
              <w:adjustRightInd w:val="0"/>
              <w:snapToGrid w:val="0"/>
              <w:spacing w:line="349" w:lineRule="auto"/>
              <w:jc w:val="left"/>
              <w:textAlignment w:val="baseline"/>
              <w:rPr>
                <w:rFonts w:ascii="Arial" w:hAnsi="Arial" w:eastAsia="Arial" w:cs="Arial"/>
                <w:snapToGrid w:val="0"/>
                <w:color w:val="000000"/>
                <w:kern w:val="0"/>
                <w:sz w:val="21"/>
                <w:lang w:eastAsia="en-US"/>
              </w:rPr>
            </w:pPr>
          </w:p>
          <w:p w14:paraId="53F32EBE">
            <w:pPr>
              <w:widowControl/>
              <w:kinsoku w:val="0"/>
              <w:autoSpaceDE w:val="0"/>
              <w:autoSpaceDN w:val="0"/>
              <w:adjustRightInd w:val="0"/>
              <w:snapToGrid w:val="0"/>
              <w:spacing w:before="58" w:line="195" w:lineRule="auto"/>
              <w:ind w:left="52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2550" w:type="dxa"/>
            <w:vMerge w:val="restart"/>
            <w:tcBorders>
              <w:bottom w:val="nil"/>
            </w:tcBorders>
            <w:vAlign w:val="top"/>
          </w:tcPr>
          <w:p w14:paraId="3FEF2F24">
            <w:pPr>
              <w:widowControl/>
              <w:kinsoku w:val="0"/>
              <w:autoSpaceDE w:val="0"/>
              <w:autoSpaceDN w:val="0"/>
              <w:adjustRightInd w:val="0"/>
              <w:snapToGrid w:val="0"/>
              <w:spacing w:line="306" w:lineRule="auto"/>
              <w:jc w:val="left"/>
              <w:textAlignment w:val="baseline"/>
              <w:rPr>
                <w:rFonts w:ascii="Arial" w:hAnsi="Arial" w:eastAsia="Arial" w:cs="Arial"/>
                <w:snapToGrid w:val="0"/>
                <w:color w:val="000000"/>
                <w:kern w:val="0"/>
                <w:sz w:val="21"/>
                <w:lang w:eastAsia="en-US"/>
              </w:rPr>
            </w:pPr>
          </w:p>
          <w:p w14:paraId="0F5A45E8">
            <w:pPr>
              <w:kinsoku w:val="0"/>
              <w:autoSpaceDE w:val="0"/>
              <w:autoSpaceDN w:val="0"/>
              <w:adjustRightInd w:val="0"/>
              <w:snapToGrid w:val="0"/>
              <w:spacing w:before="65" w:line="228" w:lineRule="auto"/>
              <w:ind w:left="86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安全条件</w:t>
            </w:r>
          </w:p>
        </w:tc>
        <w:tc>
          <w:tcPr>
            <w:tcW w:w="3400" w:type="dxa"/>
            <w:vAlign w:val="top"/>
          </w:tcPr>
          <w:p w14:paraId="0667F2F7">
            <w:pPr>
              <w:kinsoku w:val="0"/>
              <w:autoSpaceDE w:val="0"/>
              <w:autoSpaceDN w:val="0"/>
              <w:adjustRightInd w:val="0"/>
              <w:snapToGrid w:val="0"/>
              <w:spacing w:before="51" w:line="229" w:lineRule="auto"/>
              <w:ind w:left="129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资质审查</w:t>
            </w:r>
          </w:p>
        </w:tc>
        <w:tc>
          <w:tcPr>
            <w:tcW w:w="2235" w:type="dxa"/>
            <w:vMerge w:val="restart"/>
            <w:tcBorders>
              <w:bottom w:val="nil"/>
            </w:tcBorders>
            <w:vAlign w:val="top"/>
          </w:tcPr>
          <w:p w14:paraId="756C211C">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6BA4DBA0">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592ECBE6">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49B2FA28">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6F1A1ECE">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6BA31147">
            <w:pPr>
              <w:kinsoku w:val="0"/>
              <w:autoSpaceDE w:val="0"/>
              <w:autoSpaceDN w:val="0"/>
              <w:adjustRightInd w:val="0"/>
              <w:snapToGrid w:val="0"/>
              <w:spacing w:before="65" w:line="227" w:lineRule="auto"/>
              <w:ind w:left="59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危险度评价</w:t>
            </w:r>
          </w:p>
          <w:p w14:paraId="4E9BAA52">
            <w:pPr>
              <w:kinsoku w:val="0"/>
              <w:autoSpaceDE w:val="0"/>
              <w:autoSpaceDN w:val="0"/>
              <w:adjustRightInd w:val="0"/>
              <w:snapToGrid w:val="0"/>
              <w:spacing w:before="66" w:line="228" w:lineRule="auto"/>
              <w:ind w:left="60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安全检查表</w:t>
            </w:r>
          </w:p>
          <w:p w14:paraId="4845CECC">
            <w:pPr>
              <w:kinsoku w:val="0"/>
              <w:autoSpaceDE w:val="0"/>
              <w:autoSpaceDN w:val="0"/>
              <w:adjustRightInd w:val="0"/>
              <w:snapToGrid w:val="0"/>
              <w:spacing w:before="64" w:line="227"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作业条件危险性评价</w:t>
            </w:r>
          </w:p>
        </w:tc>
      </w:tr>
      <w:tr w14:paraId="36A58A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105" w:type="dxa"/>
            <w:vMerge w:val="continue"/>
            <w:tcBorders>
              <w:top w:val="nil"/>
              <w:bottom w:val="nil"/>
            </w:tcBorders>
            <w:vAlign w:val="top"/>
          </w:tcPr>
          <w:p w14:paraId="610BB1D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50" w:type="dxa"/>
            <w:vMerge w:val="continue"/>
            <w:tcBorders>
              <w:top w:val="nil"/>
              <w:bottom w:val="nil"/>
            </w:tcBorders>
            <w:vAlign w:val="top"/>
          </w:tcPr>
          <w:p w14:paraId="5F69628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3400" w:type="dxa"/>
            <w:vAlign w:val="top"/>
          </w:tcPr>
          <w:p w14:paraId="562055D2">
            <w:pPr>
              <w:kinsoku w:val="0"/>
              <w:autoSpaceDE w:val="0"/>
              <w:autoSpaceDN w:val="0"/>
              <w:adjustRightInd w:val="0"/>
              <w:snapToGrid w:val="0"/>
              <w:spacing w:before="51" w:line="228" w:lineRule="auto"/>
              <w:ind w:left="76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安全管理制度、组织</w:t>
            </w:r>
          </w:p>
        </w:tc>
        <w:tc>
          <w:tcPr>
            <w:tcW w:w="2235" w:type="dxa"/>
            <w:vMerge w:val="continue"/>
            <w:tcBorders>
              <w:top w:val="nil"/>
              <w:bottom w:val="nil"/>
            </w:tcBorders>
            <w:vAlign w:val="top"/>
          </w:tcPr>
          <w:p w14:paraId="31507F0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4DB394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105" w:type="dxa"/>
            <w:vMerge w:val="continue"/>
            <w:tcBorders>
              <w:top w:val="nil"/>
            </w:tcBorders>
            <w:vAlign w:val="top"/>
          </w:tcPr>
          <w:p w14:paraId="3621B0B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50" w:type="dxa"/>
            <w:vMerge w:val="continue"/>
            <w:tcBorders>
              <w:top w:val="nil"/>
            </w:tcBorders>
            <w:vAlign w:val="top"/>
          </w:tcPr>
          <w:p w14:paraId="54837A4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3400" w:type="dxa"/>
            <w:vAlign w:val="top"/>
          </w:tcPr>
          <w:p w14:paraId="23E2E613">
            <w:pPr>
              <w:kinsoku w:val="0"/>
              <w:autoSpaceDE w:val="0"/>
              <w:autoSpaceDN w:val="0"/>
              <w:adjustRightInd w:val="0"/>
              <w:snapToGrid w:val="0"/>
              <w:spacing w:before="53" w:line="228" w:lineRule="auto"/>
              <w:ind w:left="107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从业人员状况</w:t>
            </w:r>
          </w:p>
        </w:tc>
        <w:tc>
          <w:tcPr>
            <w:tcW w:w="2235" w:type="dxa"/>
            <w:vMerge w:val="continue"/>
            <w:tcBorders>
              <w:top w:val="nil"/>
              <w:bottom w:val="nil"/>
            </w:tcBorders>
            <w:vAlign w:val="top"/>
          </w:tcPr>
          <w:p w14:paraId="6A3882B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6EDD5F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105" w:type="dxa"/>
            <w:vMerge w:val="restart"/>
            <w:tcBorders>
              <w:bottom w:val="nil"/>
            </w:tcBorders>
            <w:vAlign w:val="top"/>
          </w:tcPr>
          <w:p w14:paraId="60C1A30B">
            <w:pPr>
              <w:widowControl/>
              <w:kinsoku w:val="0"/>
              <w:autoSpaceDE w:val="0"/>
              <w:autoSpaceDN w:val="0"/>
              <w:adjustRightInd w:val="0"/>
              <w:snapToGrid w:val="0"/>
              <w:spacing w:line="351" w:lineRule="auto"/>
              <w:jc w:val="left"/>
              <w:textAlignment w:val="baseline"/>
              <w:rPr>
                <w:rFonts w:ascii="Arial" w:hAnsi="Arial" w:eastAsia="Arial" w:cs="Arial"/>
                <w:snapToGrid w:val="0"/>
                <w:color w:val="000000"/>
                <w:kern w:val="0"/>
                <w:sz w:val="21"/>
                <w:lang w:eastAsia="en-US"/>
              </w:rPr>
            </w:pPr>
          </w:p>
          <w:p w14:paraId="7CA840E8">
            <w:pPr>
              <w:widowControl/>
              <w:kinsoku w:val="0"/>
              <w:autoSpaceDE w:val="0"/>
              <w:autoSpaceDN w:val="0"/>
              <w:adjustRightInd w:val="0"/>
              <w:snapToGrid w:val="0"/>
              <w:spacing w:before="58" w:line="195" w:lineRule="auto"/>
              <w:ind w:left="50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2550" w:type="dxa"/>
            <w:vMerge w:val="restart"/>
            <w:tcBorders>
              <w:bottom w:val="nil"/>
            </w:tcBorders>
            <w:vAlign w:val="top"/>
          </w:tcPr>
          <w:p w14:paraId="08188031">
            <w:pPr>
              <w:kinsoku w:val="0"/>
              <w:autoSpaceDE w:val="0"/>
              <w:autoSpaceDN w:val="0"/>
              <w:adjustRightInd w:val="0"/>
              <w:snapToGrid w:val="0"/>
              <w:spacing w:before="218" w:line="274" w:lineRule="auto"/>
              <w:ind w:left="762" w:right="227" w:hanging="53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站址和总平面布置及建</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（构）筑物</w:t>
            </w:r>
          </w:p>
        </w:tc>
        <w:tc>
          <w:tcPr>
            <w:tcW w:w="3400" w:type="dxa"/>
            <w:vAlign w:val="top"/>
          </w:tcPr>
          <w:p w14:paraId="59EB3CE5">
            <w:pPr>
              <w:kinsoku w:val="0"/>
              <w:autoSpaceDE w:val="0"/>
              <w:autoSpaceDN w:val="0"/>
              <w:adjustRightInd w:val="0"/>
              <w:snapToGrid w:val="0"/>
              <w:spacing w:before="54" w:line="229" w:lineRule="auto"/>
              <w:ind w:left="107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周边安全距离</w:t>
            </w:r>
          </w:p>
        </w:tc>
        <w:tc>
          <w:tcPr>
            <w:tcW w:w="2235" w:type="dxa"/>
            <w:vMerge w:val="continue"/>
            <w:tcBorders>
              <w:top w:val="nil"/>
              <w:bottom w:val="nil"/>
            </w:tcBorders>
            <w:vAlign w:val="top"/>
          </w:tcPr>
          <w:p w14:paraId="776CE8D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75F2D0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105" w:type="dxa"/>
            <w:vMerge w:val="continue"/>
            <w:tcBorders>
              <w:top w:val="nil"/>
              <w:bottom w:val="nil"/>
            </w:tcBorders>
            <w:vAlign w:val="top"/>
          </w:tcPr>
          <w:p w14:paraId="07F6B93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50" w:type="dxa"/>
            <w:vMerge w:val="continue"/>
            <w:tcBorders>
              <w:top w:val="nil"/>
              <w:bottom w:val="nil"/>
            </w:tcBorders>
            <w:vAlign w:val="top"/>
          </w:tcPr>
          <w:p w14:paraId="6BE4551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3400" w:type="dxa"/>
            <w:vAlign w:val="top"/>
          </w:tcPr>
          <w:p w14:paraId="465A251F">
            <w:pPr>
              <w:kinsoku w:val="0"/>
              <w:autoSpaceDE w:val="0"/>
              <w:autoSpaceDN w:val="0"/>
              <w:adjustRightInd w:val="0"/>
              <w:snapToGrid w:val="0"/>
              <w:spacing w:before="53" w:line="228" w:lineRule="auto"/>
              <w:ind w:left="86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平面布置安全距离</w:t>
            </w:r>
          </w:p>
        </w:tc>
        <w:tc>
          <w:tcPr>
            <w:tcW w:w="2235" w:type="dxa"/>
            <w:vMerge w:val="continue"/>
            <w:tcBorders>
              <w:top w:val="nil"/>
              <w:bottom w:val="nil"/>
            </w:tcBorders>
            <w:vAlign w:val="top"/>
          </w:tcPr>
          <w:p w14:paraId="252C814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0C210D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105" w:type="dxa"/>
            <w:vMerge w:val="continue"/>
            <w:tcBorders>
              <w:top w:val="nil"/>
            </w:tcBorders>
            <w:vAlign w:val="top"/>
          </w:tcPr>
          <w:p w14:paraId="4E5A501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50" w:type="dxa"/>
            <w:vMerge w:val="continue"/>
            <w:tcBorders>
              <w:top w:val="nil"/>
            </w:tcBorders>
            <w:vAlign w:val="top"/>
          </w:tcPr>
          <w:p w14:paraId="08CD4D9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3400" w:type="dxa"/>
            <w:vAlign w:val="top"/>
          </w:tcPr>
          <w:p w14:paraId="26F89FFF">
            <w:pPr>
              <w:kinsoku w:val="0"/>
              <w:autoSpaceDE w:val="0"/>
              <w:autoSpaceDN w:val="0"/>
              <w:adjustRightInd w:val="0"/>
              <w:snapToGrid w:val="0"/>
              <w:spacing w:before="54" w:line="229" w:lineRule="auto"/>
              <w:ind w:left="107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建（构）筑物</w:t>
            </w:r>
          </w:p>
        </w:tc>
        <w:tc>
          <w:tcPr>
            <w:tcW w:w="2235" w:type="dxa"/>
            <w:vMerge w:val="continue"/>
            <w:tcBorders>
              <w:top w:val="nil"/>
              <w:bottom w:val="nil"/>
            </w:tcBorders>
            <w:vAlign w:val="top"/>
          </w:tcPr>
          <w:p w14:paraId="19B68E9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4E6732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105" w:type="dxa"/>
            <w:vAlign w:val="top"/>
          </w:tcPr>
          <w:p w14:paraId="4B665248">
            <w:pPr>
              <w:widowControl/>
              <w:kinsoku w:val="0"/>
              <w:autoSpaceDE w:val="0"/>
              <w:autoSpaceDN w:val="0"/>
              <w:adjustRightInd w:val="0"/>
              <w:snapToGrid w:val="0"/>
              <w:spacing w:before="89" w:line="195" w:lineRule="auto"/>
              <w:ind w:left="50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2550" w:type="dxa"/>
            <w:vAlign w:val="top"/>
          </w:tcPr>
          <w:p w14:paraId="586670A6">
            <w:pPr>
              <w:kinsoku w:val="0"/>
              <w:autoSpaceDE w:val="0"/>
              <w:autoSpaceDN w:val="0"/>
              <w:adjustRightInd w:val="0"/>
              <w:snapToGrid w:val="0"/>
              <w:spacing w:before="53" w:line="230" w:lineRule="auto"/>
              <w:ind w:left="54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工艺及设备设施</w:t>
            </w:r>
          </w:p>
        </w:tc>
        <w:tc>
          <w:tcPr>
            <w:tcW w:w="3400" w:type="dxa"/>
            <w:vAlign w:val="top"/>
          </w:tcPr>
          <w:p w14:paraId="6B206262">
            <w:pPr>
              <w:kinsoku w:val="0"/>
              <w:autoSpaceDE w:val="0"/>
              <w:autoSpaceDN w:val="0"/>
              <w:adjustRightInd w:val="0"/>
              <w:snapToGrid w:val="0"/>
              <w:spacing w:before="53" w:line="230" w:lineRule="auto"/>
              <w:ind w:left="97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加油区设备设施</w:t>
            </w:r>
          </w:p>
        </w:tc>
        <w:tc>
          <w:tcPr>
            <w:tcW w:w="2235" w:type="dxa"/>
            <w:vMerge w:val="continue"/>
            <w:tcBorders>
              <w:top w:val="nil"/>
              <w:bottom w:val="nil"/>
            </w:tcBorders>
            <w:vAlign w:val="top"/>
          </w:tcPr>
          <w:p w14:paraId="4A0F6DA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5EAB57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105" w:type="dxa"/>
            <w:vAlign w:val="top"/>
          </w:tcPr>
          <w:p w14:paraId="3B2C024C">
            <w:pPr>
              <w:widowControl/>
              <w:kinsoku w:val="0"/>
              <w:autoSpaceDE w:val="0"/>
              <w:autoSpaceDN w:val="0"/>
              <w:adjustRightInd w:val="0"/>
              <w:snapToGrid w:val="0"/>
              <w:spacing w:before="89" w:line="195" w:lineRule="auto"/>
              <w:ind w:left="50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4</w:t>
            </w:r>
          </w:p>
        </w:tc>
        <w:tc>
          <w:tcPr>
            <w:tcW w:w="2550" w:type="dxa"/>
            <w:vAlign w:val="top"/>
          </w:tcPr>
          <w:p w14:paraId="530D0884">
            <w:pPr>
              <w:kinsoku w:val="0"/>
              <w:autoSpaceDE w:val="0"/>
              <w:autoSpaceDN w:val="0"/>
              <w:adjustRightInd w:val="0"/>
              <w:snapToGrid w:val="0"/>
              <w:spacing w:before="53" w:line="229" w:lineRule="auto"/>
              <w:ind w:left="86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作业单元</w:t>
            </w:r>
          </w:p>
        </w:tc>
        <w:tc>
          <w:tcPr>
            <w:tcW w:w="3400" w:type="dxa"/>
            <w:vAlign w:val="top"/>
          </w:tcPr>
          <w:p w14:paraId="6B5CCF87">
            <w:pPr>
              <w:kinsoku w:val="0"/>
              <w:autoSpaceDE w:val="0"/>
              <w:autoSpaceDN w:val="0"/>
              <w:adjustRightInd w:val="0"/>
              <w:snapToGrid w:val="0"/>
              <w:spacing w:before="53" w:line="229" w:lineRule="auto"/>
              <w:ind w:left="118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危险性分析</w:t>
            </w:r>
          </w:p>
        </w:tc>
        <w:tc>
          <w:tcPr>
            <w:tcW w:w="2235" w:type="dxa"/>
            <w:vMerge w:val="continue"/>
            <w:tcBorders>
              <w:top w:val="nil"/>
              <w:bottom w:val="nil"/>
            </w:tcBorders>
            <w:vAlign w:val="top"/>
          </w:tcPr>
          <w:p w14:paraId="35E065E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678CF1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1105" w:type="dxa"/>
            <w:vAlign w:val="top"/>
          </w:tcPr>
          <w:p w14:paraId="3D00D3EB">
            <w:pPr>
              <w:widowControl/>
              <w:kinsoku w:val="0"/>
              <w:autoSpaceDE w:val="0"/>
              <w:autoSpaceDN w:val="0"/>
              <w:adjustRightInd w:val="0"/>
              <w:snapToGrid w:val="0"/>
              <w:spacing w:before="110" w:line="192" w:lineRule="auto"/>
              <w:ind w:left="50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5</w:t>
            </w:r>
          </w:p>
        </w:tc>
        <w:tc>
          <w:tcPr>
            <w:tcW w:w="2550" w:type="dxa"/>
            <w:vAlign w:val="top"/>
          </w:tcPr>
          <w:p w14:paraId="24895AF7">
            <w:pPr>
              <w:kinsoku w:val="0"/>
              <w:autoSpaceDE w:val="0"/>
              <w:autoSpaceDN w:val="0"/>
              <w:adjustRightInd w:val="0"/>
              <w:snapToGrid w:val="0"/>
              <w:spacing w:before="72" w:line="229" w:lineRule="auto"/>
              <w:ind w:left="86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辅助单元</w:t>
            </w:r>
          </w:p>
        </w:tc>
        <w:tc>
          <w:tcPr>
            <w:tcW w:w="3400" w:type="dxa"/>
            <w:vAlign w:val="top"/>
          </w:tcPr>
          <w:p w14:paraId="7527F647">
            <w:pPr>
              <w:kinsoku w:val="0"/>
              <w:autoSpaceDE w:val="0"/>
              <w:autoSpaceDN w:val="0"/>
              <w:adjustRightInd w:val="0"/>
              <w:snapToGrid w:val="0"/>
              <w:spacing w:before="72" w:line="228" w:lineRule="auto"/>
              <w:ind w:left="68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电气系统、给排水设施</w:t>
            </w:r>
          </w:p>
        </w:tc>
        <w:tc>
          <w:tcPr>
            <w:tcW w:w="2235" w:type="dxa"/>
            <w:vMerge w:val="continue"/>
            <w:tcBorders>
              <w:top w:val="nil"/>
              <w:bottom w:val="nil"/>
            </w:tcBorders>
            <w:vAlign w:val="top"/>
          </w:tcPr>
          <w:p w14:paraId="0AD4539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10C4E6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1105" w:type="dxa"/>
            <w:vAlign w:val="top"/>
          </w:tcPr>
          <w:p w14:paraId="2A01F741">
            <w:pPr>
              <w:widowControl/>
              <w:kinsoku w:val="0"/>
              <w:autoSpaceDE w:val="0"/>
              <w:autoSpaceDN w:val="0"/>
              <w:adjustRightInd w:val="0"/>
              <w:snapToGrid w:val="0"/>
              <w:spacing w:before="107" w:line="195" w:lineRule="auto"/>
              <w:ind w:left="50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2550" w:type="dxa"/>
            <w:vAlign w:val="top"/>
          </w:tcPr>
          <w:p w14:paraId="0E65C38D">
            <w:pPr>
              <w:kinsoku w:val="0"/>
              <w:autoSpaceDE w:val="0"/>
              <w:autoSpaceDN w:val="0"/>
              <w:adjustRightInd w:val="0"/>
              <w:snapToGrid w:val="0"/>
              <w:spacing w:before="71" w:line="229" w:lineRule="auto"/>
              <w:ind w:left="65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消防安全设施</w:t>
            </w:r>
          </w:p>
        </w:tc>
        <w:tc>
          <w:tcPr>
            <w:tcW w:w="3400" w:type="dxa"/>
            <w:vAlign w:val="top"/>
          </w:tcPr>
          <w:p w14:paraId="4D4BD636">
            <w:pPr>
              <w:kinsoku w:val="0"/>
              <w:autoSpaceDE w:val="0"/>
              <w:autoSpaceDN w:val="0"/>
              <w:adjustRightInd w:val="0"/>
              <w:snapToGrid w:val="0"/>
              <w:spacing w:before="71" w:line="228" w:lineRule="auto"/>
              <w:ind w:left="24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消防设施、报警和紧急切断系统</w:t>
            </w:r>
          </w:p>
        </w:tc>
        <w:tc>
          <w:tcPr>
            <w:tcW w:w="2235" w:type="dxa"/>
            <w:vMerge w:val="continue"/>
            <w:tcBorders>
              <w:top w:val="nil"/>
              <w:bottom w:val="nil"/>
            </w:tcBorders>
            <w:vAlign w:val="top"/>
          </w:tcPr>
          <w:p w14:paraId="5915BC3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26E208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105" w:type="dxa"/>
            <w:vAlign w:val="top"/>
          </w:tcPr>
          <w:p w14:paraId="59052585">
            <w:pPr>
              <w:widowControl/>
              <w:kinsoku w:val="0"/>
              <w:autoSpaceDE w:val="0"/>
              <w:autoSpaceDN w:val="0"/>
              <w:adjustRightInd w:val="0"/>
              <w:snapToGrid w:val="0"/>
              <w:spacing w:before="94" w:line="192" w:lineRule="auto"/>
              <w:ind w:left="504"/>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2550" w:type="dxa"/>
            <w:vAlign w:val="top"/>
          </w:tcPr>
          <w:p w14:paraId="319F63D3">
            <w:pPr>
              <w:kinsoku w:val="0"/>
              <w:autoSpaceDE w:val="0"/>
              <w:autoSpaceDN w:val="0"/>
              <w:adjustRightInd w:val="0"/>
              <w:snapToGrid w:val="0"/>
              <w:spacing w:before="56" w:line="228" w:lineRule="auto"/>
              <w:ind w:left="86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综合管理</w:t>
            </w:r>
          </w:p>
        </w:tc>
        <w:tc>
          <w:tcPr>
            <w:tcW w:w="3400" w:type="dxa"/>
            <w:vAlign w:val="top"/>
          </w:tcPr>
          <w:p w14:paraId="32B77866">
            <w:pPr>
              <w:kinsoku w:val="0"/>
              <w:autoSpaceDE w:val="0"/>
              <w:autoSpaceDN w:val="0"/>
              <w:adjustRightInd w:val="0"/>
              <w:snapToGrid w:val="0"/>
              <w:spacing w:before="56" w:line="228" w:lineRule="auto"/>
              <w:ind w:left="118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综合性检查</w:t>
            </w:r>
          </w:p>
        </w:tc>
        <w:tc>
          <w:tcPr>
            <w:tcW w:w="2235" w:type="dxa"/>
            <w:vMerge w:val="continue"/>
            <w:tcBorders>
              <w:top w:val="nil"/>
            </w:tcBorders>
            <w:vAlign w:val="top"/>
          </w:tcPr>
          <w:p w14:paraId="24F6A65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bl>
    <w:p w14:paraId="44D46286">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val="en-US" w:eastAsia="zh-CN"/>
        </w:rPr>
      </w:pPr>
      <w:bookmarkStart w:id="206" w:name="_Toc17657"/>
      <w:bookmarkStart w:id="207" w:name="_Toc25811"/>
      <w:bookmarkStart w:id="208" w:name="_Toc24029"/>
      <w:r>
        <w:rPr>
          <w:rFonts w:hint="eastAsia" w:ascii="楷体" w:hAnsi="楷体" w:eastAsia="楷体" w:cs="楷体"/>
          <w:sz w:val="32"/>
          <w:szCs w:val="32"/>
          <w:lang w:val="en-US" w:eastAsia="zh-CN"/>
        </w:rPr>
        <w:t>4.2评价单元的选择</w:t>
      </w:r>
      <w:bookmarkEnd w:id="206"/>
    </w:p>
    <w:p w14:paraId="0FEEE15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sz w:val="28"/>
          <w:szCs w:val="28"/>
          <w:lang w:val="en-US" w:eastAsia="zh-CN"/>
        </w:rPr>
      </w:pPr>
      <w:r>
        <w:rPr>
          <w:rFonts w:hint="eastAsia"/>
          <w:sz w:val="28"/>
          <w:szCs w:val="28"/>
          <w:lang w:val="en-US" w:eastAsia="zh-CN"/>
        </w:rPr>
        <w:t>安全评价是对系统的危险、有害因素及其危险危害程度进行分析。评价的方法分为定性安全评价和定量安全评价。</w:t>
      </w:r>
    </w:p>
    <w:p w14:paraId="36DE7D7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sz w:val="28"/>
          <w:szCs w:val="28"/>
          <w:lang w:val="en-US" w:eastAsia="zh-CN"/>
        </w:rPr>
      </w:pPr>
      <w:r>
        <w:rPr>
          <w:rFonts w:hint="eastAsia"/>
          <w:sz w:val="28"/>
          <w:szCs w:val="28"/>
          <w:lang w:val="en-US" w:eastAsia="zh-CN"/>
        </w:rPr>
        <w:t>评价单元就是在危险有害因素分析的基础上，根据评价目标和评价方法的需要，将系统分成若干有限、确定范围的单元。评价单元一般以生产工艺、工艺装置、物料的特点和特征与危险、有害因素的类别、分布有机结合进行划分。还可以按评价需要将一个评价单元再划分为若干个子评价单元或更细致的单元。</w:t>
      </w:r>
    </w:p>
    <w:p w14:paraId="7AE3D55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sz w:val="28"/>
          <w:szCs w:val="28"/>
          <w:lang w:val="en-US" w:eastAsia="zh-CN"/>
        </w:rPr>
        <w:t>本安全评价报告评价单元划分以中国石化销售有限公司江西余干石油分公司社庚加油站经营、储存场所的特点与危险、有害因素的类别为主，主要采用的评价方法为安全检查表法、危险度评价法，具体评价单元与评方法</w:t>
      </w:r>
      <w:r>
        <w:rPr>
          <w:rFonts w:hint="eastAsia" w:ascii="宋体" w:hAnsi="宋体" w:eastAsia="宋体" w:cs="宋体"/>
          <w:sz w:val="28"/>
          <w:szCs w:val="28"/>
          <w:lang w:val="en-US" w:eastAsia="zh-CN"/>
        </w:rPr>
        <w:t>见表4-1评价单元划分。</w:t>
      </w:r>
    </w:p>
    <w:bookmarkEnd w:id="202"/>
    <w:bookmarkEnd w:id="203"/>
    <w:bookmarkEnd w:id="204"/>
    <w:bookmarkEnd w:id="205"/>
    <w:bookmarkEnd w:id="207"/>
    <w:bookmarkEnd w:id="208"/>
    <w:p w14:paraId="5663DB2E">
      <w:pPr>
        <w:keepNext w:val="0"/>
        <w:keepLines w:val="0"/>
        <w:pageBreakBefore w:val="0"/>
        <w:widowControl w:val="0"/>
        <w:kinsoku/>
        <w:wordWrap/>
        <w:overflowPunct/>
        <w:topLinePunct w:val="0"/>
        <w:autoSpaceDE/>
        <w:autoSpaceDN/>
        <w:bidi w:val="0"/>
        <w:adjustRightInd/>
        <w:snapToGrid/>
        <w:textAlignment w:val="auto"/>
        <w:outlineLvl w:val="1"/>
        <w:rPr>
          <w:rFonts w:hint="eastAsia" w:ascii="楷体" w:hAnsi="楷体" w:eastAsia="楷体" w:cs="楷体"/>
          <w:b/>
          <w:bCs/>
          <w:sz w:val="32"/>
          <w:szCs w:val="32"/>
          <w:lang w:val="en-US" w:eastAsia="zh-CN"/>
        </w:rPr>
      </w:pPr>
      <w:bookmarkStart w:id="209" w:name="_Toc10774"/>
      <w:r>
        <w:rPr>
          <w:rFonts w:hint="eastAsia" w:ascii="楷体" w:hAnsi="楷体" w:eastAsia="楷体" w:cs="楷体"/>
          <w:b/>
          <w:bCs/>
          <w:sz w:val="32"/>
          <w:szCs w:val="32"/>
          <w:lang w:val="en-US" w:eastAsia="zh-CN"/>
        </w:rPr>
        <w:t>4.3评价方法介绍</w:t>
      </w:r>
      <w:bookmarkEnd w:id="209"/>
    </w:p>
    <w:p w14:paraId="487F122C">
      <w:pPr>
        <w:keepNext w:val="0"/>
        <w:keepLines w:val="0"/>
        <w:pageBreakBefore w:val="0"/>
        <w:widowControl w:val="0"/>
        <w:kinsoku/>
        <w:wordWrap/>
        <w:overflowPunct/>
        <w:topLinePunct w:val="0"/>
        <w:autoSpaceDE/>
        <w:autoSpaceDN/>
        <w:bidi w:val="0"/>
        <w:adjustRightInd/>
        <w:snapToGrid/>
        <w:textAlignment w:val="auto"/>
        <w:outlineLvl w:val="2"/>
        <w:rPr>
          <w:rFonts w:hint="eastAsia" w:ascii="楷体" w:hAnsi="楷体" w:eastAsia="楷体" w:cs="楷体"/>
          <w:b/>
          <w:bCs/>
          <w:sz w:val="32"/>
          <w:szCs w:val="32"/>
          <w:lang w:val="en-US" w:eastAsia="zh-CN"/>
        </w:rPr>
      </w:pPr>
      <w:bookmarkStart w:id="210" w:name="_Toc11655"/>
      <w:r>
        <w:rPr>
          <w:rFonts w:hint="eastAsia" w:ascii="楷体" w:hAnsi="楷体" w:eastAsia="楷体" w:cs="楷体"/>
          <w:b/>
          <w:bCs/>
          <w:sz w:val="32"/>
          <w:szCs w:val="32"/>
          <w:lang w:val="en-US" w:eastAsia="zh-CN"/>
        </w:rPr>
        <w:t>4.3.1危险度评价法</w:t>
      </w:r>
      <w:bookmarkEnd w:id="210"/>
    </w:p>
    <w:p w14:paraId="099B7D9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危险度评价法是根据日本劳动省“六阶段法”的定量评价表，结合我国有关标准、规程，编制了“危险度评价取值表”。规定单元危险度由物质、容量、温度、压力和操作5个项目共同确定。其危险度分别按A=10分，B=5分，C=2分，D=0分赋值计分，由累计分值确定单元危险度。危险度评价取值表见表4-2。</w:t>
      </w:r>
    </w:p>
    <w:p w14:paraId="48A48CF1">
      <w:pPr>
        <w:widowControl/>
        <w:kinsoku w:val="0"/>
        <w:autoSpaceDE w:val="0"/>
        <w:autoSpaceDN w:val="0"/>
        <w:adjustRightInd w:val="0"/>
        <w:snapToGrid w:val="0"/>
        <w:spacing w:before="152" w:line="219" w:lineRule="auto"/>
        <w:ind w:left="3363"/>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54"/>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4-</w:t>
      </w:r>
      <w:r>
        <w:rPr>
          <w:rFonts w:hint="eastAsia" w:ascii="Times New Roman" w:hAnsi="Times New Roman" w:eastAsia="宋体" w:cs="Times New Roman"/>
          <w:b/>
          <w:bCs/>
          <w:snapToGrid w:val="0"/>
          <w:color w:val="000000"/>
          <w:spacing w:val="-2"/>
          <w:kern w:val="0"/>
          <w:sz w:val="24"/>
          <w:szCs w:val="24"/>
          <w:lang w:val="en-US" w:eastAsia="zh-CN"/>
        </w:rPr>
        <w:t>2</w:t>
      </w:r>
      <w:r>
        <w:rPr>
          <w:rFonts w:ascii="宋体" w:hAnsi="宋体" w:eastAsia="宋体" w:cs="宋体"/>
          <w:b/>
          <w:bCs/>
          <w:snapToGrid w:val="0"/>
          <w:color w:val="000000"/>
          <w:spacing w:val="-2"/>
          <w:kern w:val="0"/>
          <w:sz w:val="24"/>
          <w:szCs w:val="24"/>
          <w:lang w:eastAsia="en-US"/>
        </w:rPr>
        <w:t>危险度评价取值表</w:t>
      </w:r>
    </w:p>
    <w:p w14:paraId="4AF68C45">
      <w:pPr>
        <w:widowControl/>
        <w:kinsoku w:val="0"/>
        <w:autoSpaceDE w:val="0"/>
        <w:autoSpaceDN w:val="0"/>
        <w:adjustRightInd w:val="0"/>
        <w:snapToGrid w:val="0"/>
        <w:spacing w:line="41" w:lineRule="exact"/>
        <w:jc w:val="left"/>
        <w:textAlignment w:val="baseline"/>
        <w:rPr>
          <w:rFonts w:ascii="Arial" w:hAnsi="Arial" w:eastAsia="Arial" w:cs="Arial"/>
          <w:snapToGrid w:val="0"/>
          <w:color w:val="000000"/>
          <w:kern w:val="0"/>
          <w:lang w:eastAsia="en-US"/>
        </w:rPr>
      </w:pPr>
    </w:p>
    <w:tbl>
      <w:tblPr>
        <w:tblStyle w:val="47"/>
        <w:tblW w:w="900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7"/>
        <w:gridCol w:w="2006"/>
        <w:gridCol w:w="2222"/>
        <w:gridCol w:w="2266"/>
        <w:gridCol w:w="1633"/>
      </w:tblGrid>
      <w:tr w14:paraId="0DA412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877" w:type="dxa"/>
            <w:tcBorders>
              <w:tl2br w:val="single" w:color="000000" w:sz="4" w:space="0"/>
            </w:tcBorders>
            <w:vAlign w:val="top"/>
          </w:tcPr>
          <w:p w14:paraId="19B9176C">
            <w:pPr>
              <w:kinsoku w:val="0"/>
              <w:autoSpaceDE w:val="0"/>
              <w:autoSpaceDN w:val="0"/>
              <w:adjustRightInd w:val="0"/>
              <w:snapToGrid w:val="0"/>
              <w:spacing w:before="17" w:line="213" w:lineRule="auto"/>
              <w:ind w:left="119" w:right="137" w:firstLine="20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分值</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项目</w:t>
            </w:r>
          </w:p>
        </w:tc>
        <w:tc>
          <w:tcPr>
            <w:tcW w:w="2006" w:type="dxa"/>
            <w:vAlign w:val="top"/>
          </w:tcPr>
          <w:p w14:paraId="008C0AE2">
            <w:pPr>
              <w:kinsoku w:val="0"/>
              <w:autoSpaceDE w:val="0"/>
              <w:autoSpaceDN w:val="0"/>
              <w:adjustRightInd w:val="0"/>
              <w:snapToGrid w:val="0"/>
              <w:spacing w:before="137" w:line="229" w:lineRule="auto"/>
              <w:ind w:left="478"/>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3"/>
                <w:kern w:val="0"/>
                <w:sz w:val="20"/>
                <w:szCs w:val="20"/>
                <w:lang w:val="en-US" w:eastAsia="en-US" w:bidi="ar-SA"/>
              </w:rPr>
              <w:t>A</w:t>
            </w:r>
            <w:r>
              <w:rPr>
                <w:rFonts w:ascii="宋体" w:hAnsi="宋体" w:eastAsia="宋体" w:cs="宋体"/>
                <w:snapToGrid w:val="0"/>
                <w:color w:val="000000"/>
                <w:spacing w:val="3"/>
                <w:kern w:val="0"/>
                <w:sz w:val="20"/>
                <w:szCs w:val="20"/>
                <w:lang w:val="en-US" w:eastAsia="en-US" w:bidi="ar-SA"/>
              </w:rPr>
              <w:t>（</w:t>
            </w:r>
            <w:r>
              <w:rPr>
                <w:rFonts w:ascii="Times New Roman" w:hAnsi="Times New Roman" w:eastAsia="Times New Roman" w:cs="Times New Roman"/>
                <w:snapToGrid w:val="0"/>
                <w:color w:val="000000"/>
                <w:spacing w:val="3"/>
                <w:kern w:val="0"/>
                <w:sz w:val="20"/>
                <w:szCs w:val="20"/>
                <w:lang w:val="en-US" w:eastAsia="en-US" w:bidi="ar-SA"/>
              </w:rPr>
              <w:t>10</w:t>
            </w:r>
            <w:r>
              <w:rPr>
                <w:rFonts w:ascii="Times New Roman" w:hAnsi="Times New Roman" w:eastAsia="Times New Roman" w:cs="Times New Roman"/>
                <w:snapToGrid w:val="0"/>
                <w:color w:val="000000"/>
                <w:spacing w:val="17"/>
                <w:w w:val="101"/>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分）</w:t>
            </w:r>
          </w:p>
        </w:tc>
        <w:tc>
          <w:tcPr>
            <w:tcW w:w="2222" w:type="dxa"/>
            <w:vAlign w:val="top"/>
          </w:tcPr>
          <w:p w14:paraId="2AEB752C">
            <w:pPr>
              <w:kinsoku w:val="0"/>
              <w:autoSpaceDE w:val="0"/>
              <w:autoSpaceDN w:val="0"/>
              <w:adjustRightInd w:val="0"/>
              <w:snapToGrid w:val="0"/>
              <w:spacing w:before="137" w:line="229" w:lineRule="auto"/>
              <w:ind w:left="646"/>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3"/>
                <w:kern w:val="0"/>
                <w:sz w:val="20"/>
                <w:szCs w:val="20"/>
                <w:lang w:val="en-US" w:eastAsia="en-US" w:bidi="ar-SA"/>
              </w:rPr>
              <w:t>B</w:t>
            </w:r>
            <w:r>
              <w:rPr>
                <w:rFonts w:ascii="宋体" w:hAnsi="宋体" w:eastAsia="宋体" w:cs="宋体"/>
                <w:snapToGrid w:val="0"/>
                <w:color w:val="000000"/>
                <w:spacing w:val="3"/>
                <w:kern w:val="0"/>
                <w:sz w:val="20"/>
                <w:szCs w:val="20"/>
                <w:lang w:val="en-US" w:eastAsia="en-US" w:bidi="ar-SA"/>
              </w:rPr>
              <w:t>（</w:t>
            </w:r>
            <w:r>
              <w:rPr>
                <w:rFonts w:ascii="Times New Roman" w:hAnsi="Times New Roman" w:eastAsia="Times New Roman" w:cs="Times New Roman"/>
                <w:snapToGrid w:val="0"/>
                <w:color w:val="000000"/>
                <w:spacing w:val="3"/>
                <w:kern w:val="0"/>
                <w:sz w:val="20"/>
                <w:szCs w:val="20"/>
                <w:lang w:val="en-US" w:eastAsia="en-US" w:bidi="ar-SA"/>
              </w:rPr>
              <w:t>5</w:t>
            </w:r>
            <w:r>
              <w:rPr>
                <w:rFonts w:ascii="Times New Roman" w:hAnsi="Times New Roman" w:eastAsia="Times New Roman" w:cs="Times New Roman"/>
                <w:snapToGrid w:val="0"/>
                <w:color w:val="000000"/>
                <w:spacing w:val="14"/>
                <w:w w:val="101"/>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分）</w:t>
            </w:r>
          </w:p>
        </w:tc>
        <w:tc>
          <w:tcPr>
            <w:tcW w:w="2266" w:type="dxa"/>
            <w:vAlign w:val="top"/>
          </w:tcPr>
          <w:p w14:paraId="43F45158">
            <w:pPr>
              <w:kinsoku w:val="0"/>
              <w:autoSpaceDE w:val="0"/>
              <w:autoSpaceDN w:val="0"/>
              <w:adjustRightInd w:val="0"/>
              <w:snapToGrid w:val="0"/>
              <w:spacing w:before="137" w:line="229" w:lineRule="auto"/>
              <w:ind w:left="674"/>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2"/>
                <w:kern w:val="0"/>
                <w:sz w:val="20"/>
                <w:szCs w:val="20"/>
                <w:lang w:val="en-US" w:eastAsia="en-US" w:bidi="ar-SA"/>
              </w:rPr>
              <w:t>C</w:t>
            </w:r>
            <w:r>
              <w:rPr>
                <w:rFonts w:ascii="宋体" w:hAnsi="宋体" w:eastAsia="宋体" w:cs="宋体"/>
                <w:snapToGrid w:val="0"/>
                <w:color w:val="000000"/>
                <w:spacing w:val="2"/>
                <w:kern w:val="0"/>
                <w:sz w:val="20"/>
                <w:szCs w:val="20"/>
                <w:lang w:val="en-US" w:eastAsia="en-US" w:bidi="ar-SA"/>
              </w:rPr>
              <w:t>（</w:t>
            </w:r>
            <w:r>
              <w:rPr>
                <w:rFonts w:ascii="Times New Roman" w:hAnsi="Times New Roman" w:eastAsia="Times New Roman" w:cs="Times New Roman"/>
                <w:snapToGrid w:val="0"/>
                <w:color w:val="000000"/>
                <w:spacing w:val="2"/>
                <w:kern w:val="0"/>
                <w:sz w:val="20"/>
                <w:szCs w:val="20"/>
                <w:lang w:val="en-US" w:eastAsia="en-US" w:bidi="ar-SA"/>
              </w:rPr>
              <w:t>2</w:t>
            </w:r>
            <w:r>
              <w:rPr>
                <w:rFonts w:ascii="Times New Roman" w:hAnsi="Times New Roman" w:eastAsia="Times New Roman" w:cs="Times New Roman"/>
                <w:snapToGrid w:val="0"/>
                <w:color w:val="000000"/>
                <w:spacing w:val="13"/>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分）</w:t>
            </w:r>
          </w:p>
        </w:tc>
        <w:tc>
          <w:tcPr>
            <w:tcW w:w="1633" w:type="dxa"/>
            <w:vAlign w:val="top"/>
          </w:tcPr>
          <w:p w14:paraId="319DB0CC">
            <w:pPr>
              <w:kinsoku w:val="0"/>
              <w:autoSpaceDE w:val="0"/>
              <w:autoSpaceDN w:val="0"/>
              <w:adjustRightInd w:val="0"/>
              <w:snapToGrid w:val="0"/>
              <w:spacing w:before="137" w:line="229" w:lineRule="auto"/>
              <w:ind w:left="348"/>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2"/>
                <w:kern w:val="0"/>
                <w:sz w:val="20"/>
                <w:szCs w:val="20"/>
                <w:lang w:val="en-US" w:eastAsia="en-US" w:bidi="ar-SA"/>
              </w:rPr>
              <w:t>D</w:t>
            </w:r>
            <w:r>
              <w:rPr>
                <w:rFonts w:ascii="宋体" w:hAnsi="宋体" w:eastAsia="宋体" w:cs="宋体"/>
                <w:snapToGrid w:val="0"/>
                <w:color w:val="000000"/>
                <w:spacing w:val="2"/>
                <w:kern w:val="0"/>
                <w:sz w:val="20"/>
                <w:szCs w:val="20"/>
                <w:lang w:val="en-US" w:eastAsia="en-US" w:bidi="ar-SA"/>
              </w:rPr>
              <w:t>（</w:t>
            </w:r>
            <w:r>
              <w:rPr>
                <w:rFonts w:ascii="Times New Roman" w:hAnsi="Times New Roman" w:eastAsia="Times New Roman" w:cs="Times New Roman"/>
                <w:snapToGrid w:val="0"/>
                <w:color w:val="000000"/>
                <w:spacing w:val="2"/>
                <w:kern w:val="0"/>
                <w:sz w:val="20"/>
                <w:szCs w:val="20"/>
                <w:lang w:val="en-US" w:eastAsia="en-US" w:bidi="ar-SA"/>
              </w:rPr>
              <w:t>0</w:t>
            </w:r>
            <w:r>
              <w:rPr>
                <w:rFonts w:ascii="Times New Roman" w:hAnsi="Times New Roman" w:eastAsia="Times New Roman" w:cs="Times New Roman"/>
                <w:snapToGrid w:val="0"/>
                <w:color w:val="000000"/>
                <w:spacing w:val="18"/>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分）</w:t>
            </w:r>
          </w:p>
        </w:tc>
      </w:tr>
      <w:tr w14:paraId="49A9C8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8" w:hRule="atLeast"/>
        </w:trPr>
        <w:tc>
          <w:tcPr>
            <w:tcW w:w="877" w:type="dxa"/>
            <w:vAlign w:val="top"/>
          </w:tcPr>
          <w:p w14:paraId="23A4ABD8">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31999436">
            <w:pPr>
              <w:widowControl/>
              <w:kinsoku w:val="0"/>
              <w:autoSpaceDE w:val="0"/>
              <w:autoSpaceDN w:val="0"/>
              <w:adjustRightInd w:val="0"/>
              <w:snapToGrid w:val="0"/>
              <w:spacing w:line="267" w:lineRule="auto"/>
              <w:jc w:val="left"/>
              <w:textAlignment w:val="baseline"/>
              <w:rPr>
                <w:rFonts w:ascii="Arial" w:hAnsi="Arial" w:eastAsia="Arial" w:cs="Arial"/>
                <w:snapToGrid w:val="0"/>
                <w:color w:val="000000"/>
                <w:kern w:val="0"/>
                <w:sz w:val="21"/>
                <w:lang w:eastAsia="en-US"/>
              </w:rPr>
            </w:pPr>
          </w:p>
          <w:p w14:paraId="6CD6D210">
            <w:pPr>
              <w:kinsoku w:val="0"/>
              <w:autoSpaceDE w:val="0"/>
              <w:autoSpaceDN w:val="0"/>
              <w:adjustRightInd w:val="0"/>
              <w:snapToGrid w:val="0"/>
              <w:spacing w:before="65" w:line="229" w:lineRule="auto"/>
              <w:ind w:left="23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物质</w:t>
            </w:r>
          </w:p>
        </w:tc>
        <w:tc>
          <w:tcPr>
            <w:tcW w:w="2006" w:type="dxa"/>
            <w:vAlign w:val="top"/>
          </w:tcPr>
          <w:p w14:paraId="4B937B51">
            <w:pPr>
              <w:kinsoku w:val="0"/>
              <w:autoSpaceDE w:val="0"/>
              <w:autoSpaceDN w:val="0"/>
              <w:adjustRightInd w:val="0"/>
              <w:snapToGrid w:val="0"/>
              <w:spacing w:before="120" w:line="222" w:lineRule="auto"/>
              <w:ind w:left="13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甲类可燃气体；</w:t>
            </w:r>
          </w:p>
          <w:p w14:paraId="6042FDB8">
            <w:pPr>
              <w:kinsoku w:val="0"/>
              <w:autoSpaceDE w:val="0"/>
              <w:autoSpaceDN w:val="0"/>
              <w:adjustRightInd w:val="0"/>
              <w:snapToGrid w:val="0"/>
              <w:spacing w:before="1" w:line="221" w:lineRule="auto"/>
              <w:ind w:left="113" w:right="108" w:firstLine="2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7"/>
                <w:kern w:val="0"/>
                <w:sz w:val="20"/>
                <w:szCs w:val="20"/>
                <w:lang w:val="en-US" w:eastAsia="en-US" w:bidi="ar-SA"/>
              </w:rPr>
              <w:t>甲</w:t>
            </w:r>
            <w:r>
              <w:rPr>
                <w:rFonts w:ascii="宋体" w:hAnsi="宋体" w:eastAsia="宋体" w:cs="宋体"/>
                <w:snapToGrid w:val="0"/>
                <w:color w:val="000000"/>
                <w:spacing w:val="-23"/>
                <w:kern w:val="0"/>
                <w:sz w:val="20"/>
                <w:szCs w:val="20"/>
                <w:lang w:val="en-US" w:eastAsia="en-US" w:bidi="ar-SA"/>
              </w:rPr>
              <w:t xml:space="preserve"> </w:t>
            </w:r>
            <w:r>
              <w:rPr>
                <w:rFonts w:ascii="Times New Roman" w:hAnsi="Times New Roman" w:eastAsia="Times New Roman" w:cs="Times New Roman"/>
                <w:snapToGrid w:val="0"/>
                <w:color w:val="000000"/>
                <w:spacing w:val="21"/>
                <w:kern w:val="0"/>
                <w:position w:val="-1"/>
                <w:sz w:val="13"/>
                <w:szCs w:val="13"/>
                <w:lang w:val="en-US" w:eastAsia="en-US" w:bidi="ar-SA"/>
              </w:rPr>
              <w:t>A</w:t>
            </w:r>
            <w:r>
              <w:rPr>
                <w:rFonts w:ascii="Times New Roman" w:hAnsi="Times New Roman" w:eastAsia="Times New Roman" w:cs="Times New Roman"/>
                <w:snapToGrid w:val="0"/>
                <w:color w:val="000000"/>
                <w:spacing w:val="28"/>
                <w:w w:val="102"/>
                <w:kern w:val="0"/>
                <w:position w:val="-1"/>
                <w:sz w:val="13"/>
                <w:szCs w:val="13"/>
                <w:lang w:val="en-US" w:eastAsia="en-US" w:bidi="ar-SA"/>
              </w:rPr>
              <w:t xml:space="preserve"> </w:t>
            </w:r>
            <w:r>
              <w:rPr>
                <w:rFonts w:ascii="宋体" w:hAnsi="宋体" w:eastAsia="宋体" w:cs="宋体"/>
                <w:snapToGrid w:val="0"/>
                <w:color w:val="000000"/>
                <w:spacing w:val="21"/>
                <w:kern w:val="0"/>
                <w:sz w:val="20"/>
                <w:szCs w:val="20"/>
                <w:lang w:val="en-US" w:eastAsia="en-US" w:bidi="ar-SA"/>
              </w:rPr>
              <w:t>类物质及液态</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烃类；</w:t>
            </w:r>
          </w:p>
          <w:p w14:paraId="7672B6B7">
            <w:pPr>
              <w:kinsoku w:val="0"/>
              <w:autoSpaceDE w:val="0"/>
              <w:autoSpaceDN w:val="0"/>
              <w:adjustRightInd w:val="0"/>
              <w:snapToGrid w:val="0"/>
              <w:spacing w:line="221" w:lineRule="auto"/>
              <w:ind w:left="13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sz w:val="20"/>
                <w:szCs w:val="20"/>
                <w:lang w:val="en-US" w:eastAsia="en-US" w:bidi="ar-SA"/>
              </w:rPr>
              <w:t>甲类固体；</w:t>
            </w:r>
          </w:p>
          <w:p w14:paraId="1C2DDEDE">
            <w:pPr>
              <w:kinsoku w:val="0"/>
              <w:autoSpaceDE w:val="0"/>
              <w:autoSpaceDN w:val="0"/>
              <w:adjustRightInd w:val="0"/>
              <w:snapToGrid w:val="0"/>
              <w:spacing w:line="227" w:lineRule="auto"/>
              <w:ind w:left="11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极度危害介质</w:t>
            </w:r>
          </w:p>
        </w:tc>
        <w:tc>
          <w:tcPr>
            <w:tcW w:w="2222" w:type="dxa"/>
            <w:vAlign w:val="top"/>
          </w:tcPr>
          <w:p w14:paraId="54353C1A">
            <w:pPr>
              <w:kinsoku w:val="0"/>
              <w:autoSpaceDE w:val="0"/>
              <w:autoSpaceDN w:val="0"/>
              <w:adjustRightInd w:val="0"/>
              <w:snapToGrid w:val="0"/>
              <w:spacing w:before="240" w:line="222" w:lineRule="auto"/>
              <w:ind w:left="13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乙类气体；</w:t>
            </w:r>
          </w:p>
          <w:p w14:paraId="66AEFF7C">
            <w:pPr>
              <w:kinsoku w:val="0"/>
              <w:autoSpaceDE w:val="0"/>
              <w:autoSpaceDN w:val="0"/>
              <w:adjustRightInd w:val="0"/>
              <w:snapToGrid w:val="0"/>
              <w:spacing w:before="2" w:line="216" w:lineRule="auto"/>
              <w:ind w:left="130" w:right="54" w:firstLine="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7"/>
                <w:kern w:val="0"/>
                <w:sz w:val="20"/>
                <w:szCs w:val="20"/>
                <w:lang w:val="en-US" w:eastAsia="en-US" w:bidi="ar-SA"/>
              </w:rPr>
              <w:t>甲</w:t>
            </w:r>
            <w:r>
              <w:rPr>
                <w:rFonts w:ascii="宋体" w:hAnsi="宋体" w:eastAsia="宋体" w:cs="宋体"/>
                <w:snapToGrid w:val="0"/>
                <w:color w:val="000000"/>
                <w:spacing w:val="-44"/>
                <w:kern w:val="0"/>
                <w:sz w:val="20"/>
                <w:szCs w:val="20"/>
                <w:lang w:val="en-US" w:eastAsia="en-US" w:bidi="ar-SA"/>
              </w:rPr>
              <w:t xml:space="preserve"> </w:t>
            </w:r>
            <w:r>
              <w:rPr>
                <w:rFonts w:ascii="Times New Roman" w:hAnsi="Times New Roman" w:eastAsia="Times New Roman" w:cs="Times New Roman"/>
                <w:snapToGrid w:val="0"/>
                <w:color w:val="000000"/>
                <w:spacing w:val="2"/>
                <w:kern w:val="0"/>
                <w:position w:val="-1"/>
                <w:sz w:val="13"/>
                <w:szCs w:val="13"/>
                <w:lang w:val="en-US" w:eastAsia="en-US" w:bidi="ar-SA"/>
              </w:rPr>
              <w:t>B</w:t>
            </w:r>
            <w:r>
              <w:rPr>
                <w:rFonts w:ascii="宋体" w:hAnsi="宋体" w:eastAsia="宋体" w:cs="宋体"/>
                <w:snapToGrid w:val="0"/>
                <w:color w:val="000000"/>
                <w:spacing w:val="-34"/>
                <w:w w:val="95"/>
                <w:kern w:val="0"/>
                <w:position w:val="-1"/>
                <w:sz w:val="20"/>
                <w:szCs w:val="20"/>
                <w:lang w:val="en-US" w:eastAsia="en-US" w:bidi="ar-SA"/>
              </w:rPr>
              <w:t>、</w:t>
            </w:r>
            <w:r>
              <w:rPr>
                <w:rFonts w:ascii="宋体" w:hAnsi="宋体" w:eastAsia="宋体" w:cs="宋体"/>
                <w:snapToGrid w:val="0"/>
                <w:color w:val="000000"/>
                <w:spacing w:val="-34"/>
                <w:w w:val="95"/>
                <w:kern w:val="0"/>
                <w:sz w:val="20"/>
                <w:szCs w:val="20"/>
                <w:lang w:val="en-US" w:eastAsia="en-US" w:bidi="ar-SA"/>
              </w:rPr>
              <w:t>乙</w:t>
            </w:r>
            <w:r>
              <w:rPr>
                <w:rFonts w:ascii="宋体" w:hAnsi="宋体" w:eastAsia="宋体" w:cs="宋体"/>
                <w:snapToGrid w:val="0"/>
                <w:color w:val="000000"/>
                <w:spacing w:val="-44"/>
                <w:kern w:val="0"/>
                <w:sz w:val="20"/>
                <w:szCs w:val="20"/>
                <w:lang w:val="en-US" w:eastAsia="en-US" w:bidi="ar-SA"/>
              </w:rPr>
              <w:t xml:space="preserve"> </w:t>
            </w:r>
            <w:r>
              <w:rPr>
                <w:rFonts w:ascii="Times New Roman" w:hAnsi="Times New Roman" w:eastAsia="Times New Roman" w:cs="Times New Roman"/>
                <w:snapToGrid w:val="0"/>
                <w:color w:val="000000"/>
                <w:kern w:val="0"/>
                <w:position w:val="-1"/>
                <w:sz w:val="13"/>
                <w:szCs w:val="13"/>
                <w:lang w:val="en-US" w:eastAsia="en-US" w:bidi="ar-SA"/>
              </w:rPr>
              <w:t>A</w:t>
            </w:r>
            <w:r>
              <w:rPr>
                <w:rFonts w:ascii="Times New Roman" w:hAnsi="Times New Roman" w:eastAsia="Times New Roman" w:cs="Times New Roman"/>
                <w:snapToGrid w:val="0"/>
                <w:color w:val="000000"/>
                <w:spacing w:val="9"/>
                <w:kern w:val="0"/>
                <w:position w:val="-1"/>
                <w:sz w:val="13"/>
                <w:szCs w:val="13"/>
                <w:lang w:val="en-US" w:eastAsia="en-US" w:bidi="ar-SA"/>
              </w:rPr>
              <w:t xml:space="preserve"> </w:t>
            </w:r>
            <w:r>
              <w:rPr>
                <w:rFonts w:ascii="宋体" w:hAnsi="宋体" w:eastAsia="宋体" w:cs="宋体"/>
                <w:snapToGrid w:val="0"/>
                <w:color w:val="000000"/>
                <w:kern w:val="0"/>
                <w:sz w:val="20"/>
                <w:szCs w:val="20"/>
                <w:lang w:val="en-US" w:eastAsia="en-US" w:bidi="ar-SA"/>
              </w:rPr>
              <w:t xml:space="preserve">类可燃液体； </w:t>
            </w:r>
            <w:r>
              <w:rPr>
                <w:rFonts w:ascii="宋体" w:hAnsi="宋体" w:eastAsia="宋体" w:cs="宋体"/>
                <w:snapToGrid w:val="0"/>
                <w:color w:val="000000"/>
                <w:spacing w:val="3"/>
                <w:kern w:val="0"/>
                <w:sz w:val="20"/>
                <w:szCs w:val="20"/>
                <w:lang w:val="en-US" w:eastAsia="en-US" w:bidi="ar-SA"/>
              </w:rPr>
              <w:t>乙类固体</w:t>
            </w:r>
            <w:r>
              <w:rPr>
                <w:rFonts w:ascii="宋体" w:hAnsi="宋体" w:eastAsia="宋体" w:cs="宋体"/>
                <w:snapToGrid w:val="0"/>
                <w:color w:val="000000"/>
                <w:kern w:val="0"/>
                <w:sz w:val="20"/>
                <w:szCs w:val="20"/>
                <w:lang w:val="en-US" w:eastAsia="en-US" w:bidi="ar-SA"/>
              </w:rPr>
              <w:t>；</w:t>
            </w:r>
          </w:p>
          <w:p w14:paraId="62FC2829">
            <w:pPr>
              <w:kinsoku w:val="0"/>
              <w:autoSpaceDE w:val="0"/>
              <w:autoSpaceDN w:val="0"/>
              <w:adjustRightInd w:val="0"/>
              <w:snapToGrid w:val="0"/>
              <w:spacing w:line="227" w:lineRule="auto"/>
              <w:ind w:left="11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高度危害介质</w:t>
            </w:r>
          </w:p>
        </w:tc>
        <w:tc>
          <w:tcPr>
            <w:tcW w:w="2266" w:type="dxa"/>
            <w:vAlign w:val="top"/>
          </w:tcPr>
          <w:p w14:paraId="7589F8F2">
            <w:pPr>
              <w:kinsoku w:val="0"/>
              <w:autoSpaceDE w:val="0"/>
              <w:autoSpaceDN w:val="0"/>
              <w:adjustRightInd w:val="0"/>
              <w:snapToGrid w:val="0"/>
              <w:spacing w:before="240" w:line="222" w:lineRule="auto"/>
              <w:ind w:left="115" w:right="103" w:firstLine="1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乙</w:t>
            </w:r>
            <w:r>
              <w:rPr>
                <w:rFonts w:ascii="宋体" w:hAnsi="宋体" w:eastAsia="宋体" w:cs="宋体"/>
                <w:snapToGrid w:val="0"/>
                <w:color w:val="000000"/>
                <w:spacing w:val="-45"/>
                <w:kern w:val="0"/>
                <w:sz w:val="20"/>
                <w:szCs w:val="20"/>
                <w:lang w:val="en-US" w:eastAsia="en-US" w:bidi="ar-SA"/>
              </w:rPr>
              <w:t xml:space="preserve"> </w:t>
            </w:r>
            <w:r>
              <w:rPr>
                <w:rFonts w:ascii="Times New Roman" w:hAnsi="Times New Roman" w:eastAsia="Times New Roman" w:cs="Times New Roman"/>
                <w:snapToGrid w:val="0"/>
                <w:color w:val="000000"/>
                <w:spacing w:val="-8"/>
                <w:kern w:val="0"/>
                <w:position w:val="-1"/>
                <w:sz w:val="13"/>
                <w:szCs w:val="13"/>
                <w:lang w:val="en-US" w:eastAsia="en-US" w:bidi="ar-SA"/>
              </w:rPr>
              <w:t>B</w:t>
            </w:r>
            <w:r>
              <w:rPr>
                <w:rFonts w:ascii="宋体" w:hAnsi="宋体" w:eastAsia="宋体" w:cs="宋体"/>
                <w:snapToGrid w:val="0"/>
                <w:color w:val="000000"/>
                <w:spacing w:val="-15"/>
                <w:kern w:val="0"/>
                <w:sz w:val="20"/>
                <w:szCs w:val="20"/>
                <w:lang w:val="en-US" w:eastAsia="en-US" w:bidi="ar-SA"/>
              </w:rPr>
              <w:t>、丙</w:t>
            </w:r>
            <w:r>
              <w:rPr>
                <w:rFonts w:ascii="宋体" w:hAnsi="宋体" w:eastAsia="宋体" w:cs="宋体"/>
                <w:snapToGrid w:val="0"/>
                <w:color w:val="000000"/>
                <w:spacing w:val="-46"/>
                <w:kern w:val="0"/>
                <w:sz w:val="20"/>
                <w:szCs w:val="20"/>
                <w:lang w:val="en-US" w:eastAsia="en-US" w:bidi="ar-SA"/>
              </w:rPr>
              <w:t xml:space="preserve"> </w:t>
            </w:r>
            <w:r>
              <w:rPr>
                <w:rFonts w:ascii="Times New Roman" w:hAnsi="Times New Roman" w:eastAsia="Times New Roman" w:cs="Times New Roman"/>
                <w:snapToGrid w:val="0"/>
                <w:color w:val="000000"/>
                <w:spacing w:val="4"/>
                <w:kern w:val="0"/>
                <w:position w:val="-1"/>
                <w:sz w:val="13"/>
                <w:szCs w:val="13"/>
                <w:lang w:val="en-US" w:eastAsia="en-US" w:bidi="ar-SA"/>
              </w:rPr>
              <w:t>A</w:t>
            </w:r>
            <w:r>
              <w:rPr>
                <w:rFonts w:ascii="宋体" w:hAnsi="宋体" w:eastAsia="宋体" w:cs="宋体"/>
                <w:snapToGrid w:val="0"/>
                <w:color w:val="000000"/>
                <w:spacing w:val="-16"/>
                <w:kern w:val="0"/>
                <w:sz w:val="20"/>
                <w:szCs w:val="20"/>
                <w:lang w:val="en-US" w:eastAsia="en-US" w:bidi="ar-SA"/>
              </w:rPr>
              <w:t>、丙</w:t>
            </w:r>
            <w:r>
              <w:rPr>
                <w:rFonts w:ascii="宋体" w:hAnsi="宋体" w:eastAsia="宋体" w:cs="宋体"/>
                <w:snapToGrid w:val="0"/>
                <w:color w:val="000000"/>
                <w:spacing w:val="-45"/>
                <w:kern w:val="0"/>
                <w:sz w:val="20"/>
                <w:szCs w:val="20"/>
                <w:lang w:val="en-US" w:eastAsia="en-US" w:bidi="ar-SA"/>
              </w:rPr>
              <w:t xml:space="preserve"> </w:t>
            </w:r>
            <w:r>
              <w:rPr>
                <w:rFonts w:ascii="Times New Roman" w:hAnsi="Times New Roman" w:eastAsia="Times New Roman" w:cs="Times New Roman"/>
                <w:snapToGrid w:val="0"/>
                <w:color w:val="000000"/>
                <w:spacing w:val="6"/>
                <w:kern w:val="0"/>
                <w:position w:val="-1"/>
                <w:sz w:val="13"/>
                <w:szCs w:val="13"/>
                <w:lang w:val="en-US" w:eastAsia="en-US" w:bidi="ar-SA"/>
              </w:rPr>
              <w:t>B</w:t>
            </w:r>
            <w:r>
              <w:rPr>
                <w:rFonts w:ascii="Times New Roman" w:hAnsi="Times New Roman" w:eastAsia="Times New Roman" w:cs="Times New Roman"/>
                <w:snapToGrid w:val="0"/>
                <w:color w:val="000000"/>
                <w:spacing w:val="12"/>
                <w:kern w:val="0"/>
                <w:position w:val="-1"/>
                <w:sz w:val="13"/>
                <w:szCs w:val="13"/>
                <w:lang w:val="en-US" w:eastAsia="en-US" w:bidi="ar-SA"/>
              </w:rPr>
              <w:t xml:space="preserve"> </w:t>
            </w:r>
            <w:r>
              <w:rPr>
                <w:rFonts w:ascii="宋体" w:hAnsi="宋体" w:eastAsia="宋体" w:cs="宋体"/>
                <w:snapToGrid w:val="0"/>
                <w:color w:val="000000"/>
                <w:spacing w:val="6"/>
                <w:kern w:val="0"/>
                <w:sz w:val="20"/>
                <w:szCs w:val="20"/>
                <w:lang w:val="en-US" w:eastAsia="en-US" w:bidi="ar-SA"/>
              </w:rPr>
              <w:t>类可燃</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液体；</w:t>
            </w:r>
          </w:p>
          <w:p w14:paraId="6B7B83B0">
            <w:pPr>
              <w:kinsoku w:val="0"/>
              <w:autoSpaceDE w:val="0"/>
              <w:autoSpaceDN w:val="0"/>
              <w:adjustRightInd w:val="0"/>
              <w:snapToGrid w:val="0"/>
              <w:spacing w:line="221" w:lineRule="auto"/>
              <w:ind w:left="11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丙类固体；</w:t>
            </w:r>
          </w:p>
          <w:p w14:paraId="0C547182">
            <w:pPr>
              <w:kinsoku w:val="0"/>
              <w:autoSpaceDE w:val="0"/>
              <w:autoSpaceDN w:val="0"/>
              <w:adjustRightInd w:val="0"/>
              <w:snapToGrid w:val="0"/>
              <w:spacing w:line="227" w:lineRule="auto"/>
              <w:ind w:left="13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中、轻度危害介质</w:t>
            </w:r>
          </w:p>
        </w:tc>
        <w:tc>
          <w:tcPr>
            <w:tcW w:w="1633" w:type="dxa"/>
            <w:vAlign w:val="top"/>
          </w:tcPr>
          <w:p w14:paraId="2FDC1795">
            <w:pPr>
              <w:widowControl/>
              <w:kinsoku w:val="0"/>
              <w:autoSpaceDE w:val="0"/>
              <w:autoSpaceDN w:val="0"/>
              <w:adjustRightInd w:val="0"/>
              <w:snapToGrid w:val="0"/>
              <w:spacing w:line="414" w:lineRule="auto"/>
              <w:jc w:val="left"/>
              <w:textAlignment w:val="baseline"/>
              <w:rPr>
                <w:rFonts w:ascii="Arial" w:hAnsi="Arial" w:eastAsia="Arial" w:cs="Arial"/>
                <w:snapToGrid w:val="0"/>
                <w:color w:val="000000"/>
                <w:kern w:val="0"/>
                <w:sz w:val="21"/>
                <w:lang w:eastAsia="en-US"/>
              </w:rPr>
            </w:pPr>
          </w:p>
          <w:p w14:paraId="0445A717">
            <w:pPr>
              <w:kinsoku w:val="0"/>
              <w:autoSpaceDE w:val="0"/>
              <w:autoSpaceDN w:val="0"/>
              <w:adjustRightInd w:val="0"/>
              <w:snapToGrid w:val="0"/>
              <w:spacing w:before="65" w:line="225" w:lineRule="auto"/>
              <w:ind w:left="119" w:right="10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不属</w:t>
            </w:r>
            <w:r>
              <w:rPr>
                <w:rFonts w:ascii="宋体" w:hAnsi="宋体" w:eastAsia="宋体" w:cs="宋体"/>
                <w:snapToGrid w:val="0"/>
                <w:color w:val="000000"/>
                <w:spacing w:val="-32"/>
                <w:kern w:val="0"/>
                <w:sz w:val="20"/>
                <w:szCs w:val="20"/>
                <w:lang w:val="en-US" w:eastAsia="en-US" w:bidi="ar-SA"/>
              </w:rPr>
              <w:t xml:space="preserve"> </w:t>
            </w:r>
            <w:r>
              <w:rPr>
                <w:rFonts w:ascii="Times New Roman" w:hAnsi="Times New Roman" w:eastAsia="Times New Roman" w:cs="Times New Roman"/>
                <w:snapToGrid w:val="0"/>
                <w:color w:val="000000"/>
                <w:spacing w:val="6"/>
                <w:kern w:val="0"/>
                <w:sz w:val="20"/>
                <w:szCs w:val="20"/>
                <w:lang w:val="en-US" w:eastAsia="en-US" w:bidi="ar-SA"/>
              </w:rPr>
              <w:t>A</w:t>
            </w:r>
            <w:r>
              <w:rPr>
                <w:rFonts w:ascii="Times New Roman" w:hAnsi="Times New Roman" w:eastAsia="Times New Roman" w:cs="Times New Roman"/>
                <w:snapToGrid w:val="0"/>
                <w:color w:val="000000"/>
                <w:spacing w:val="-1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B</w:t>
            </w:r>
            <w:r>
              <w:rPr>
                <w:rFonts w:ascii="Times New Roman" w:hAnsi="Times New Roman" w:eastAsia="Times New Roman" w:cs="Times New Roman"/>
                <w:snapToGrid w:val="0"/>
                <w:color w:val="000000"/>
                <w:spacing w:val="-1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C</w:t>
            </w:r>
            <w:r>
              <w:rPr>
                <w:rFonts w:ascii="Times New Roman" w:hAnsi="Times New Roman" w:eastAsia="Times New Roman" w:cs="Times New Roman"/>
                <w:snapToGrid w:val="0"/>
                <w:color w:val="00000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项之物质</w:t>
            </w:r>
          </w:p>
        </w:tc>
      </w:tr>
      <w:tr w14:paraId="4CB94D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8" w:hRule="atLeast"/>
        </w:trPr>
        <w:tc>
          <w:tcPr>
            <w:tcW w:w="877" w:type="dxa"/>
            <w:vAlign w:val="top"/>
          </w:tcPr>
          <w:p w14:paraId="4AC3B24B">
            <w:pPr>
              <w:kinsoku w:val="0"/>
              <w:autoSpaceDE w:val="0"/>
              <w:autoSpaceDN w:val="0"/>
              <w:adjustRightInd w:val="0"/>
              <w:snapToGrid w:val="0"/>
              <w:spacing w:before="301" w:line="229" w:lineRule="auto"/>
              <w:ind w:left="23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容量</w:t>
            </w:r>
          </w:p>
        </w:tc>
        <w:tc>
          <w:tcPr>
            <w:tcW w:w="2006" w:type="dxa"/>
            <w:vAlign w:val="top"/>
          </w:tcPr>
          <w:p w14:paraId="35745BB4">
            <w:pPr>
              <w:kinsoku w:val="0"/>
              <w:autoSpaceDE w:val="0"/>
              <w:autoSpaceDN w:val="0"/>
              <w:adjustRightInd w:val="0"/>
              <w:snapToGrid w:val="0"/>
              <w:spacing w:before="182" w:line="225" w:lineRule="auto"/>
              <w:ind w:left="113" w:right="32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sz w:val="20"/>
                <w:szCs w:val="20"/>
                <w:lang w:val="en-US" w:eastAsia="en-US" w:bidi="ar-SA"/>
              </w:rPr>
              <w:t>气体</w:t>
            </w:r>
            <w:r>
              <w:rPr>
                <w:rFonts w:ascii="宋体" w:hAnsi="宋体" w:eastAsia="宋体" w:cs="宋体"/>
                <w:snapToGrid w:val="0"/>
                <w:color w:val="000000"/>
                <w:spacing w:val="-21"/>
                <w:kern w:val="0"/>
                <w:sz w:val="20"/>
                <w:szCs w:val="20"/>
                <w:lang w:val="en-US" w:eastAsia="en-US" w:bidi="ar-SA"/>
              </w:rPr>
              <w:t xml:space="preserve"> </w:t>
            </w:r>
            <w:r>
              <w:rPr>
                <w:rFonts w:ascii="Times New Roman" w:hAnsi="Times New Roman" w:eastAsia="Times New Roman" w:cs="Times New Roman"/>
                <w:snapToGrid w:val="0"/>
                <w:color w:val="000000"/>
                <w:kern w:val="0"/>
                <w:sz w:val="20"/>
                <w:szCs w:val="20"/>
                <w:lang w:val="en-US" w:eastAsia="en-US" w:bidi="ar-SA"/>
              </w:rPr>
              <w:t>1000m</w:t>
            </w:r>
            <w:r>
              <w:rPr>
                <w:rFonts w:ascii="Times New Roman" w:hAnsi="Times New Roman" w:eastAsia="Times New Roman" w:cs="Times New Roman"/>
                <w:snapToGrid w:val="0"/>
                <w:color w:val="000000"/>
                <w:kern w:val="0"/>
                <w:position w:val="6"/>
                <w:sz w:val="13"/>
                <w:szCs w:val="13"/>
                <w:lang w:val="en-US" w:eastAsia="en-US" w:bidi="ar-SA"/>
              </w:rPr>
              <w:t xml:space="preserve">3  </w:t>
            </w:r>
            <w:r>
              <w:rPr>
                <w:rFonts w:ascii="宋体" w:hAnsi="宋体" w:eastAsia="宋体" w:cs="宋体"/>
                <w:snapToGrid w:val="0"/>
                <w:color w:val="000000"/>
                <w:kern w:val="0"/>
                <w:sz w:val="20"/>
                <w:szCs w:val="20"/>
                <w:lang w:val="en-US" w:eastAsia="en-US" w:bidi="ar-SA"/>
              </w:rPr>
              <w:t xml:space="preserve">以上 </w:t>
            </w:r>
            <w:r>
              <w:rPr>
                <w:rFonts w:ascii="宋体" w:hAnsi="宋体" w:eastAsia="宋体" w:cs="宋体"/>
                <w:snapToGrid w:val="0"/>
                <w:color w:val="000000"/>
                <w:spacing w:val="-1"/>
                <w:kern w:val="0"/>
                <w:sz w:val="20"/>
                <w:szCs w:val="20"/>
                <w:lang w:val="en-US" w:eastAsia="en-US" w:bidi="ar-SA"/>
              </w:rPr>
              <w:t>液体</w:t>
            </w:r>
            <w:r>
              <w:rPr>
                <w:rFonts w:ascii="宋体" w:hAnsi="宋体" w:eastAsia="宋体" w:cs="宋体"/>
                <w:snapToGrid w:val="0"/>
                <w:color w:val="000000"/>
                <w:spacing w:val="-13"/>
                <w:kern w:val="0"/>
                <w:sz w:val="20"/>
                <w:szCs w:val="20"/>
                <w:lang w:val="en-US" w:eastAsia="en-US" w:bidi="ar-SA"/>
              </w:rPr>
              <w:t xml:space="preserve"> </w:t>
            </w:r>
            <w:r>
              <w:rPr>
                <w:rFonts w:ascii="Times New Roman" w:hAnsi="Times New Roman" w:eastAsia="Times New Roman" w:cs="Times New Roman"/>
                <w:snapToGrid w:val="0"/>
                <w:color w:val="000000"/>
                <w:spacing w:val="-1"/>
                <w:kern w:val="0"/>
                <w:sz w:val="20"/>
                <w:szCs w:val="20"/>
                <w:lang w:val="en-US" w:eastAsia="en-US" w:bidi="ar-SA"/>
              </w:rPr>
              <w:t>100 m</w:t>
            </w:r>
            <w:r>
              <w:rPr>
                <w:rFonts w:ascii="Times New Roman" w:hAnsi="Times New Roman" w:eastAsia="Times New Roman" w:cs="Times New Roman"/>
                <w:snapToGrid w:val="0"/>
                <w:color w:val="000000"/>
                <w:spacing w:val="-1"/>
                <w:kern w:val="0"/>
                <w:position w:val="6"/>
                <w:sz w:val="13"/>
                <w:szCs w:val="13"/>
                <w:lang w:val="en-US" w:eastAsia="en-US" w:bidi="ar-SA"/>
              </w:rPr>
              <w:t xml:space="preserve">3  </w:t>
            </w:r>
            <w:r>
              <w:rPr>
                <w:rFonts w:ascii="宋体" w:hAnsi="宋体" w:eastAsia="宋体" w:cs="宋体"/>
                <w:snapToGrid w:val="0"/>
                <w:color w:val="000000"/>
                <w:spacing w:val="-1"/>
                <w:kern w:val="0"/>
                <w:sz w:val="20"/>
                <w:szCs w:val="20"/>
                <w:lang w:val="en-US" w:eastAsia="en-US" w:bidi="ar-SA"/>
              </w:rPr>
              <w:t>以上</w:t>
            </w:r>
          </w:p>
        </w:tc>
        <w:tc>
          <w:tcPr>
            <w:tcW w:w="2222" w:type="dxa"/>
            <w:vAlign w:val="top"/>
          </w:tcPr>
          <w:p w14:paraId="2E81196C">
            <w:pPr>
              <w:kinsoku w:val="0"/>
              <w:autoSpaceDE w:val="0"/>
              <w:autoSpaceDN w:val="0"/>
              <w:adjustRightInd w:val="0"/>
              <w:snapToGrid w:val="0"/>
              <w:spacing w:before="182" w:line="225" w:lineRule="auto"/>
              <w:ind w:left="114" w:right="507"/>
              <w:jc w:val="left"/>
              <w:textAlignment w:val="baseline"/>
              <w:rPr>
                <w:rFonts w:ascii="Times New Roman" w:hAnsi="Times New Roman" w:eastAsia="Times New Roman" w:cs="Times New Roman"/>
                <w:snapToGrid w:val="0"/>
                <w:color w:val="000000"/>
                <w:kern w:val="0"/>
                <w:sz w:val="13"/>
                <w:szCs w:val="13"/>
                <w:lang w:val="en-US" w:eastAsia="en-US" w:bidi="ar-SA"/>
              </w:rPr>
            </w:pPr>
            <w:r>
              <w:rPr>
                <w:rFonts w:ascii="宋体" w:hAnsi="宋体" w:eastAsia="宋体" w:cs="宋体"/>
                <w:snapToGrid w:val="0"/>
                <w:color w:val="000000"/>
                <w:spacing w:val="2"/>
                <w:kern w:val="0"/>
                <w:sz w:val="20"/>
                <w:szCs w:val="20"/>
                <w:lang w:val="en-US" w:eastAsia="en-US" w:bidi="ar-SA"/>
              </w:rPr>
              <w:t>气体</w:t>
            </w:r>
            <w:r>
              <w:rPr>
                <w:rFonts w:ascii="宋体" w:hAnsi="宋体" w:eastAsia="宋体" w:cs="宋体"/>
                <w:snapToGrid w:val="0"/>
                <w:color w:val="000000"/>
                <w:spacing w:val="-35"/>
                <w:kern w:val="0"/>
                <w:sz w:val="20"/>
                <w:szCs w:val="20"/>
                <w:lang w:val="en-US" w:eastAsia="en-US" w:bidi="ar-SA"/>
              </w:rPr>
              <w:t xml:space="preserve"> </w:t>
            </w:r>
            <w:r>
              <w:rPr>
                <w:rFonts w:ascii="Times New Roman" w:hAnsi="Times New Roman" w:eastAsia="Times New Roman" w:cs="Times New Roman"/>
                <w:snapToGrid w:val="0"/>
                <w:color w:val="000000"/>
                <w:spacing w:val="2"/>
                <w:kern w:val="0"/>
                <w:sz w:val="20"/>
                <w:szCs w:val="20"/>
                <w:lang w:val="en-US" w:eastAsia="en-US" w:bidi="ar-SA"/>
              </w:rPr>
              <w:t>500~</w:t>
            </w:r>
            <w:r>
              <w:rPr>
                <w:rFonts w:ascii="Times New Roman" w:hAnsi="Times New Roman" w:eastAsia="Times New Roman" w:cs="Times New Roman"/>
                <w:snapToGrid w:val="0"/>
                <w:color w:val="000000"/>
                <w:spacing w:val="-26"/>
                <w:kern w:val="0"/>
                <w:sz w:val="20"/>
                <w:szCs w:val="20"/>
                <w:lang w:val="en-US" w:eastAsia="en-US" w:bidi="ar-SA"/>
              </w:rPr>
              <w:t xml:space="preserve"> </w:t>
            </w:r>
            <w:r>
              <w:rPr>
                <w:rFonts w:ascii="Times New Roman" w:hAnsi="Times New Roman" w:eastAsia="Times New Roman" w:cs="Times New Roman"/>
                <w:snapToGrid w:val="0"/>
                <w:color w:val="000000"/>
                <w:spacing w:val="2"/>
                <w:kern w:val="0"/>
                <w:sz w:val="20"/>
                <w:szCs w:val="20"/>
                <w:lang w:val="en-US" w:eastAsia="en-US" w:bidi="ar-SA"/>
              </w:rPr>
              <w:t>1000 m</w:t>
            </w:r>
            <w:r>
              <w:rPr>
                <w:rFonts w:ascii="Times New Roman" w:hAnsi="Times New Roman" w:eastAsia="Times New Roman" w:cs="Times New Roman"/>
                <w:snapToGrid w:val="0"/>
                <w:color w:val="000000"/>
                <w:spacing w:val="2"/>
                <w:kern w:val="0"/>
                <w:position w:val="6"/>
                <w:sz w:val="13"/>
                <w:szCs w:val="13"/>
                <w:lang w:val="en-US" w:eastAsia="en-US" w:bidi="ar-SA"/>
              </w:rPr>
              <w:t>3</w:t>
            </w:r>
            <w:r>
              <w:rPr>
                <w:rFonts w:ascii="Times New Roman" w:hAnsi="Times New Roman" w:eastAsia="Times New Roman" w:cs="Times New Roman"/>
                <w:snapToGrid w:val="0"/>
                <w:color w:val="000000"/>
                <w:kern w:val="0"/>
                <w:position w:val="6"/>
                <w:sz w:val="13"/>
                <w:szCs w:val="13"/>
                <w:lang w:val="en-US" w:eastAsia="en-US" w:bidi="ar-SA"/>
              </w:rPr>
              <w:t xml:space="preserve"> </w:t>
            </w:r>
            <w:r>
              <w:rPr>
                <w:rFonts w:ascii="宋体" w:hAnsi="宋体" w:eastAsia="宋体" w:cs="宋体"/>
                <w:snapToGrid w:val="0"/>
                <w:color w:val="000000"/>
                <w:spacing w:val="1"/>
                <w:kern w:val="0"/>
                <w:sz w:val="20"/>
                <w:szCs w:val="20"/>
                <w:lang w:val="en-US" w:eastAsia="en-US" w:bidi="ar-SA"/>
              </w:rPr>
              <w:t>液体</w:t>
            </w:r>
            <w:r>
              <w:rPr>
                <w:rFonts w:ascii="宋体" w:hAnsi="宋体" w:eastAsia="宋体" w:cs="宋体"/>
                <w:snapToGrid w:val="0"/>
                <w:color w:val="000000"/>
                <w:spacing w:val="-32"/>
                <w:kern w:val="0"/>
                <w:sz w:val="20"/>
                <w:szCs w:val="20"/>
                <w:lang w:val="en-US" w:eastAsia="en-US" w:bidi="ar-SA"/>
              </w:rPr>
              <w:t xml:space="preserve"> </w:t>
            </w:r>
            <w:r>
              <w:rPr>
                <w:rFonts w:ascii="Times New Roman" w:hAnsi="Times New Roman" w:eastAsia="Times New Roman" w:cs="Times New Roman"/>
                <w:snapToGrid w:val="0"/>
                <w:color w:val="000000"/>
                <w:spacing w:val="1"/>
                <w:kern w:val="0"/>
                <w:sz w:val="20"/>
                <w:szCs w:val="20"/>
                <w:lang w:val="en-US" w:eastAsia="en-US" w:bidi="ar-SA"/>
              </w:rPr>
              <w:t>50~</w:t>
            </w:r>
            <w:r>
              <w:rPr>
                <w:rFonts w:ascii="Times New Roman" w:hAnsi="Times New Roman" w:eastAsia="Times New Roman" w:cs="Times New Roman"/>
                <w:snapToGrid w:val="0"/>
                <w:color w:val="000000"/>
                <w:spacing w:val="-26"/>
                <w:kern w:val="0"/>
                <w:sz w:val="20"/>
                <w:szCs w:val="20"/>
                <w:lang w:val="en-US" w:eastAsia="en-US" w:bidi="ar-SA"/>
              </w:rPr>
              <w:t xml:space="preserve"> </w:t>
            </w:r>
            <w:r>
              <w:rPr>
                <w:rFonts w:ascii="Times New Roman" w:hAnsi="Times New Roman" w:eastAsia="Times New Roman" w:cs="Times New Roman"/>
                <w:snapToGrid w:val="0"/>
                <w:color w:val="000000"/>
                <w:spacing w:val="1"/>
                <w:kern w:val="0"/>
                <w:sz w:val="20"/>
                <w:szCs w:val="20"/>
                <w:lang w:val="en-US" w:eastAsia="en-US" w:bidi="ar-SA"/>
              </w:rPr>
              <w:t>100 m</w:t>
            </w:r>
            <w:r>
              <w:rPr>
                <w:rFonts w:ascii="Times New Roman" w:hAnsi="Times New Roman" w:eastAsia="Times New Roman" w:cs="Times New Roman"/>
                <w:snapToGrid w:val="0"/>
                <w:color w:val="000000"/>
                <w:spacing w:val="1"/>
                <w:kern w:val="0"/>
                <w:position w:val="6"/>
                <w:sz w:val="13"/>
                <w:szCs w:val="13"/>
                <w:lang w:val="en-US" w:eastAsia="en-US" w:bidi="ar-SA"/>
              </w:rPr>
              <w:t>3</w:t>
            </w:r>
          </w:p>
        </w:tc>
        <w:tc>
          <w:tcPr>
            <w:tcW w:w="2266" w:type="dxa"/>
            <w:vAlign w:val="top"/>
          </w:tcPr>
          <w:p w14:paraId="0249EB83">
            <w:pPr>
              <w:kinsoku w:val="0"/>
              <w:autoSpaceDE w:val="0"/>
              <w:autoSpaceDN w:val="0"/>
              <w:adjustRightInd w:val="0"/>
              <w:snapToGrid w:val="0"/>
              <w:spacing w:before="182" w:line="225" w:lineRule="auto"/>
              <w:ind w:left="114" w:right="656"/>
              <w:jc w:val="left"/>
              <w:textAlignment w:val="baseline"/>
              <w:rPr>
                <w:rFonts w:ascii="Times New Roman" w:hAnsi="Times New Roman" w:eastAsia="Times New Roman" w:cs="Times New Roman"/>
                <w:snapToGrid w:val="0"/>
                <w:color w:val="000000"/>
                <w:kern w:val="0"/>
                <w:sz w:val="13"/>
                <w:szCs w:val="13"/>
                <w:lang w:val="en-US" w:eastAsia="en-US" w:bidi="ar-SA"/>
              </w:rPr>
            </w:pPr>
            <w:r>
              <w:rPr>
                <w:rFonts w:ascii="宋体" w:hAnsi="宋体" w:eastAsia="宋体" w:cs="宋体"/>
                <w:snapToGrid w:val="0"/>
                <w:color w:val="000000"/>
                <w:spacing w:val="2"/>
                <w:kern w:val="0"/>
                <w:sz w:val="20"/>
                <w:szCs w:val="20"/>
                <w:lang w:val="en-US" w:eastAsia="en-US" w:bidi="ar-SA"/>
              </w:rPr>
              <w:t>气体</w:t>
            </w:r>
            <w:r>
              <w:rPr>
                <w:rFonts w:ascii="宋体" w:hAnsi="宋体" w:eastAsia="宋体" w:cs="宋体"/>
                <w:snapToGrid w:val="0"/>
                <w:color w:val="000000"/>
                <w:spacing w:val="-14"/>
                <w:kern w:val="0"/>
                <w:sz w:val="20"/>
                <w:szCs w:val="20"/>
                <w:lang w:val="en-US" w:eastAsia="en-US" w:bidi="ar-SA"/>
              </w:rPr>
              <w:t xml:space="preserve"> </w:t>
            </w:r>
            <w:r>
              <w:rPr>
                <w:rFonts w:ascii="Times New Roman" w:hAnsi="Times New Roman" w:eastAsia="Times New Roman" w:cs="Times New Roman"/>
                <w:snapToGrid w:val="0"/>
                <w:color w:val="000000"/>
                <w:spacing w:val="2"/>
                <w:kern w:val="0"/>
                <w:sz w:val="20"/>
                <w:szCs w:val="20"/>
                <w:lang w:val="en-US" w:eastAsia="en-US" w:bidi="ar-SA"/>
              </w:rPr>
              <w:t>100~500 m</w:t>
            </w:r>
            <w:r>
              <w:rPr>
                <w:rFonts w:ascii="Times New Roman" w:hAnsi="Times New Roman" w:eastAsia="Times New Roman" w:cs="Times New Roman"/>
                <w:snapToGrid w:val="0"/>
                <w:color w:val="000000"/>
                <w:spacing w:val="2"/>
                <w:kern w:val="0"/>
                <w:position w:val="6"/>
                <w:sz w:val="13"/>
                <w:szCs w:val="13"/>
                <w:lang w:val="en-US" w:eastAsia="en-US" w:bidi="ar-SA"/>
              </w:rPr>
              <w:t>3</w:t>
            </w:r>
            <w:r>
              <w:rPr>
                <w:rFonts w:ascii="Times New Roman" w:hAnsi="Times New Roman" w:eastAsia="Times New Roman" w:cs="Times New Roman"/>
                <w:snapToGrid w:val="0"/>
                <w:color w:val="000000"/>
                <w:kern w:val="0"/>
                <w:position w:val="6"/>
                <w:sz w:val="13"/>
                <w:szCs w:val="13"/>
                <w:lang w:val="en-US" w:eastAsia="en-US" w:bidi="ar-SA"/>
              </w:rPr>
              <w:t xml:space="preserve"> </w:t>
            </w:r>
            <w:r>
              <w:rPr>
                <w:rFonts w:ascii="宋体" w:hAnsi="宋体" w:eastAsia="宋体" w:cs="宋体"/>
                <w:snapToGrid w:val="0"/>
                <w:color w:val="000000"/>
                <w:spacing w:val="2"/>
                <w:kern w:val="0"/>
                <w:sz w:val="20"/>
                <w:szCs w:val="20"/>
                <w:lang w:val="en-US" w:eastAsia="en-US" w:bidi="ar-SA"/>
              </w:rPr>
              <w:t>液体</w:t>
            </w:r>
            <w:r>
              <w:rPr>
                <w:rFonts w:ascii="宋体" w:hAnsi="宋体" w:eastAsia="宋体" w:cs="宋体"/>
                <w:snapToGrid w:val="0"/>
                <w:color w:val="000000"/>
                <w:spacing w:val="-20"/>
                <w:kern w:val="0"/>
                <w:sz w:val="20"/>
                <w:szCs w:val="20"/>
                <w:lang w:val="en-US" w:eastAsia="en-US" w:bidi="ar-SA"/>
              </w:rPr>
              <w:t xml:space="preserve"> </w:t>
            </w:r>
            <w:r>
              <w:rPr>
                <w:rFonts w:ascii="Times New Roman" w:hAnsi="Times New Roman" w:eastAsia="Times New Roman" w:cs="Times New Roman"/>
                <w:snapToGrid w:val="0"/>
                <w:color w:val="000000"/>
                <w:spacing w:val="2"/>
                <w:kern w:val="0"/>
                <w:sz w:val="20"/>
                <w:szCs w:val="20"/>
                <w:lang w:val="en-US" w:eastAsia="en-US" w:bidi="ar-SA"/>
              </w:rPr>
              <w:t>10~50 m</w:t>
            </w:r>
            <w:r>
              <w:rPr>
                <w:rFonts w:ascii="Times New Roman" w:hAnsi="Times New Roman" w:eastAsia="Times New Roman" w:cs="Times New Roman"/>
                <w:snapToGrid w:val="0"/>
                <w:color w:val="000000"/>
                <w:spacing w:val="2"/>
                <w:kern w:val="0"/>
                <w:position w:val="6"/>
                <w:sz w:val="13"/>
                <w:szCs w:val="13"/>
                <w:lang w:val="en-US" w:eastAsia="en-US" w:bidi="ar-SA"/>
              </w:rPr>
              <w:t>3</w:t>
            </w:r>
          </w:p>
        </w:tc>
        <w:tc>
          <w:tcPr>
            <w:tcW w:w="1633" w:type="dxa"/>
            <w:vAlign w:val="top"/>
          </w:tcPr>
          <w:p w14:paraId="4C255964">
            <w:pPr>
              <w:kinsoku w:val="0"/>
              <w:autoSpaceDE w:val="0"/>
              <w:autoSpaceDN w:val="0"/>
              <w:adjustRightInd w:val="0"/>
              <w:snapToGrid w:val="0"/>
              <w:spacing w:before="182" w:line="225" w:lineRule="auto"/>
              <w:ind w:left="116" w:right="292"/>
              <w:jc w:val="left"/>
              <w:textAlignment w:val="baseline"/>
              <w:rPr>
                <w:rFonts w:ascii="Times New Roman" w:hAnsi="Times New Roman" w:eastAsia="Times New Roman" w:cs="Times New Roman"/>
                <w:snapToGrid w:val="0"/>
                <w:color w:val="000000"/>
                <w:kern w:val="0"/>
                <w:sz w:val="13"/>
                <w:szCs w:val="13"/>
                <w:lang w:val="en-US" w:eastAsia="en-US" w:bidi="ar-SA"/>
              </w:rPr>
            </w:pPr>
            <w:r>
              <w:rPr>
                <w:rFonts w:ascii="宋体" w:hAnsi="宋体" w:eastAsia="宋体" w:cs="宋体"/>
                <w:snapToGrid w:val="0"/>
                <w:color w:val="000000"/>
                <w:spacing w:val="5"/>
                <w:kern w:val="0"/>
                <w:sz w:val="20"/>
                <w:szCs w:val="20"/>
                <w:lang w:val="en-US" w:eastAsia="en-US" w:bidi="ar-SA"/>
              </w:rPr>
              <w:t>气体＜</w:t>
            </w:r>
            <w:r>
              <w:rPr>
                <w:rFonts w:ascii="Times New Roman" w:hAnsi="Times New Roman" w:eastAsia="Times New Roman" w:cs="Times New Roman"/>
                <w:snapToGrid w:val="0"/>
                <w:color w:val="000000"/>
                <w:spacing w:val="5"/>
                <w:kern w:val="0"/>
                <w:sz w:val="20"/>
                <w:szCs w:val="20"/>
                <w:lang w:val="en-US" w:eastAsia="en-US" w:bidi="ar-SA"/>
              </w:rPr>
              <w:t>100 m</w:t>
            </w:r>
            <w:r>
              <w:rPr>
                <w:rFonts w:ascii="Times New Roman" w:hAnsi="Times New Roman" w:eastAsia="Times New Roman" w:cs="Times New Roman"/>
                <w:snapToGrid w:val="0"/>
                <w:color w:val="000000"/>
                <w:spacing w:val="5"/>
                <w:kern w:val="0"/>
                <w:position w:val="6"/>
                <w:sz w:val="13"/>
                <w:szCs w:val="13"/>
                <w:lang w:val="en-US" w:eastAsia="en-US" w:bidi="ar-SA"/>
              </w:rPr>
              <w:t>3</w:t>
            </w:r>
            <w:r>
              <w:rPr>
                <w:rFonts w:ascii="Times New Roman" w:hAnsi="Times New Roman" w:eastAsia="Times New Roman" w:cs="Times New Roman"/>
                <w:snapToGrid w:val="0"/>
                <w:color w:val="000000"/>
                <w:spacing w:val="2"/>
                <w:kern w:val="0"/>
                <w:position w:val="6"/>
                <w:sz w:val="13"/>
                <w:szCs w:val="13"/>
                <w:lang w:val="en-US" w:eastAsia="en-US" w:bidi="ar-SA"/>
              </w:rPr>
              <w:t xml:space="preserve"> </w:t>
            </w:r>
            <w:r>
              <w:rPr>
                <w:rFonts w:ascii="宋体" w:hAnsi="宋体" w:eastAsia="宋体" w:cs="宋体"/>
                <w:snapToGrid w:val="0"/>
                <w:color w:val="000000"/>
                <w:spacing w:val="5"/>
                <w:kern w:val="0"/>
                <w:sz w:val="20"/>
                <w:szCs w:val="20"/>
                <w:lang w:val="en-US" w:eastAsia="en-US" w:bidi="ar-SA"/>
              </w:rPr>
              <w:t>液体＜</w:t>
            </w:r>
            <w:r>
              <w:rPr>
                <w:rFonts w:ascii="Times New Roman" w:hAnsi="Times New Roman" w:eastAsia="Times New Roman" w:cs="Times New Roman"/>
                <w:snapToGrid w:val="0"/>
                <w:color w:val="000000"/>
                <w:spacing w:val="5"/>
                <w:kern w:val="0"/>
                <w:sz w:val="20"/>
                <w:szCs w:val="20"/>
                <w:lang w:val="en-US" w:eastAsia="en-US" w:bidi="ar-SA"/>
              </w:rPr>
              <w:t>10 m</w:t>
            </w:r>
            <w:r>
              <w:rPr>
                <w:rFonts w:ascii="Times New Roman" w:hAnsi="Times New Roman" w:eastAsia="Times New Roman" w:cs="Times New Roman"/>
                <w:snapToGrid w:val="0"/>
                <w:color w:val="000000"/>
                <w:spacing w:val="5"/>
                <w:kern w:val="0"/>
                <w:position w:val="6"/>
                <w:sz w:val="13"/>
                <w:szCs w:val="13"/>
                <w:lang w:val="en-US" w:eastAsia="en-US" w:bidi="ar-SA"/>
              </w:rPr>
              <w:t>3</w:t>
            </w:r>
          </w:p>
        </w:tc>
      </w:tr>
      <w:tr w14:paraId="70C211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97" w:hRule="atLeast"/>
        </w:trPr>
        <w:tc>
          <w:tcPr>
            <w:tcW w:w="877" w:type="dxa"/>
            <w:vAlign w:val="top"/>
          </w:tcPr>
          <w:p w14:paraId="7888901D">
            <w:pPr>
              <w:widowControl/>
              <w:kinsoku w:val="0"/>
              <w:autoSpaceDE w:val="0"/>
              <w:autoSpaceDN w:val="0"/>
              <w:adjustRightInd w:val="0"/>
              <w:snapToGrid w:val="0"/>
              <w:spacing w:line="310" w:lineRule="auto"/>
              <w:jc w:val="left"/>
              <w:textAlignment w:val="baseline"/>
              <w:rPr>
                <w:rFonts w:ascii="Arial" w:hAnsi="Arial" w:eastAsia="Arial" w:cs="Arial"/>
                <w:snapToGrid w:val="0"/>
                <w:color w:val="000000"/>
                <w:kern w:val="0"/>
                <w:sz w:val="21"/>
                <w:lang w:eastAsia="en-US"/>
              </w:rPr>
            </w:pPr>
          </w:p>
          <w:p w14:paraId="114AFB28">
            <w:pPr>
              <w:widowControl/>
              <w:kinsoku w:val="0"/>
              <w:autoSpaceDE w:val="0"/>
              <w:autoSpaceDN w:val="0"/>
              <w:adjustRightInd w:val="0"/>
              <w:snapToGrid w:val="0"/>
              <w:spacing w:line="311" w:lineRule="auto"/>
              <w:jc w:val="left"/>
              <w:textAlignment w:val="baseline"/>
              <w:rPr>
                <w:rFonts w:ascii="Arial" w:hAnsi="Arial" w:eastAsia="Arial" w:cs="Arial"/>
                <w:snapToGrid w:val="0"/>
                <w:color w:val="000000"/>
                <w:kern w:val="0"/>
                <w:sz w:val="21"/>
                <w:lang w:eastAsia="en-US"/>
              </w:rPr>
            </w:pPr>
          </w:p>
          <w:p w14:paraId="068E8826">
            <w:pPr>
              <w:kinsoku w:val="0"/>
              <w:autoSpaceDE w:val="0"/>
              <w:autoSpaceDN w:val="0"/>
              <w:adjustRightInd w:val="0"/>
              <w:snapToGrid w:val="0"/>
              <w:spacing w:before="65" w:line="229" w:lineRule="auto"/>
              <w:ind w:left="23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温度</w:t>
            </w:r>
          </w:p>
        </w:tc>
        <w:tc>
          <w:tcPr>
            <w:tcW w:w="2006" w:type="dxa"/>
            <w:vAlign w:val="top"/>
          </w:tcPr>
          <w:p w14:paraId="1E76BB3B">
            <w:pPr>
              <w:widowControl/>
              <w:kinsoku w:val="0"/>
              <w:autoSpaceDE w:val="0"/>
              <w:autoSpaceDN w:val="0"/>
              <w:adjustRightInd w:val="0"/>
              <w:snapToGrid w:val="0"/>
              <w:spacing w:line="383" w:lineRule="auto"/>
              <w:jc w:val="left"/>
              <w:textAlignment w:val="baseline"/>
              <w:rPr>
                <w:rFonts w:ascii="Arial" w:hAnsi="Arial" w:eastAsia="Arial" w:cs="Arial"/>
                <w:snapToGrid w:val="0"/>
                <w:color w:val="000000"/>
                <w:kern w:val="0"/>
                <w:sz w:val="21"/>
                <w:lang w:eastAsia="en-US"/>
              </w:rPr>
            </w:pPr>
          </w:p>
          <w:p w14:paraId="503FA9DC">
            <w:pPr>
              <w:kinsoku w:val="0"/>
              <w:autoSpaceDE w:val="0"/>
              <w:autoSpaceDN w:val="0"/>
              <w:adjustRightInd w:val="0"/>
              <w:snapToGrid w:val="0"/>
              <w:spacing w:before="65" w:line="228" w:lineRule="auto"/>
              <w:ind w:left="112" w:right="105" w:firstLine="17"/>
              <w:jc w:val="both"/>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1000</w:t>
            </w:r>
            <w:r>
              <w:rPr>
                <w:rFonts w:ascii="宋体" w:hAnsi="宋体" w:eastAsia="宋体" w:cs="宋体"/>
                <w:snapToGrid w:val="0"/>
                <w:color w:val="000000"/>
                <w:spacing w:val="-4"/>
                <w:kern w:val="0"/>
                <w:sz w:val="20"/>
                <w:szCs w:val="20"/>
                <w:lang w:val="en-US" w:eastAsia="en-US" w:bidi="ar-SA"/>
              </w:rPr>
              <w:t>℃以上使用，其</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22"/>
                <w:kern w:val="0"/>
                <w:sz w:val="20"/>
                <w:szCs w:val="20"/>
                <w:lang w:val="en-US" w:eastAsia="en-US" w:bidi="ar-SA"/>
              </w:rPr>
              <w:t>操作温度在燃点以</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上</w:t>
            </w:r>
          </w:p>
        </w:tc>
        <w:tc>
          <w:tcPr>
            <w:tcW w:w="2222" w:type="dxa"/>
            <w:vAlign w:val="top"/>
          </w:tcPr>
          <w:p w14:paraId="0D04B6E7">
            <w:pPr>
              <w:kinsoku w:val="0"/>
              <w:autoSpaceDE w:val="0"/>
              <w:autoSpaceDN w:val="0"/>
              <w:adjustRightInd w:val="0"/>
              <w:snapToGrid w:val="0"/>
              <w:spacing w:before="209" w:line="222" w:lineRule="auto"/>
              <w:ind w:left="114" w:right="107" w:firstLine="15"/>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2"/>
                <w:kern w:val="0"/>
                <w:sz w:val="20"/>
                <w:szCs w:val="20"/>
                <w:lang w:val="en-US" w:eastAsia="en-US" w:bidi="ar-SA"/>
              </w:rPr>
              <w:t>1000</w:t>
            </w:r>
            <w:r>
              <w:rPr>
                <w:rFonts w:ascii="宋体" w:hAnsi="宋体" w:eastAsia="宋体" w:cs="宋体"/>
                <w:snapToGrid w:val="0"/>
                <w:color w:val="000000"/>
                <w:spacing w:val="-2"/>
                <w:kern w:val="0"/>
                <w:sz w:val="20"/>
                <w:szCs w:val="20"/>
                <w:lang w:val="en-US" w:eastAsia="en-US" w:bidi="ar-SA"/>
              </w:rPr>
              <w:t>℃以上使用，但操</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作温度在燃点以下；</w:t>
            </w:r>
          </w:p>
          <w:p w14:paraId="1FA7E228">
            <w:pPr>
              <w:kinsoku w:val="0"/>
              <w:autoSpaceDE w:val="0"/>
              <w:autoSpaceDN w:val="0"/>
              <w:adjustRightInd w:val="0"/>
              <w:snapToGrid w:val="0"/>
              <w:spacing w:line="228" w:lineRule="auto"/>
              <w:ind w:left="113" w:right="105" w:hanging="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在</w:t>
            </w:r>
            <w:r>
              <w:rPr>
                <w:rFonts w:ascii="宋体" w:hAnsi="宋体" w:eastAsia="宋体" w:cs="宋体"/>
                <w:snapToGrid w:val="0"/>
                <w:color w:val="000000"/>
                <w:spacing w:val="-26"/>
                <w:kern w:val="0"/>
                <w:sz w:val="20"/>
                <w:szCs w:val="20"/>
                <w:lang w:val="en-US" w:eastAsia="en-US" w:bidi="ar-SA"/>
              </w:rPr>
              <w:t xml:space="preserve"> </w:t>
            </w:r>
            <w:r>
              <w:rPr>
                <w:rFonts w:ascii="Times New Roman" w:hAnsi="Times New Roman" w:eastAsia="Times New Roman" w:cs="Times New Roman"/>
                <w:snapToGrid w:val="0"/>
                <w:color w:val="000000"/>
                <w:spacing w:val="7"/>
                <w:kern w:val="0"/>
                <w:sz w:val="20"/>
                <w:szCs w:val="20"/>
                <w:lang w:val="en-US" w:eastAsia="en-US" w:bidi="ar-SA"/>
              </w:rPr>
              <w:t>250~</w:t>
            </w:r>
            <w:r>
              <w:rPr>
                <w:rFonts w:ascii="Times New Roman" w:hAnsi="Times New Roman" w:eastAsia="Times New Roman" w:cs="Times New Roman"/>
                <w:snapToGrid w:val="0"/>
                <w:color w:val="000000"/>
                <w:spacing w:val="-25"/>
                <w:kern w:val="0"/>
                <w:sz w:val="20"/>
                <w:szCs w:val="20"/>
                <w:lang w:val="en-US" w:eastAsia="en-US" w:bidi="ar-SA"/>
              </w:rPr>
              <w:t xml:space="preserve"> </w:t>
            </w:r>
            <w:r>
              <w:rPr>
                <w:rFonts w:ascii="Times New Roman" w:hAnsi="Times New Roman" w:eastAsia="Times New Roman" w:cs="Times New Roman"/>
                <w:snapToGrid w:val="0"/>
                <w:color w:val="000000"/>
                <w:spacing w:val="7"/>
                <w:kern w:val="0"/>
                <w:sz w:val="20"/>
                <w:szCs w:val="20"/>
                <w:lang w:val="en-US" w:eastAsia="en-US" w:bidi="ar-SA"/>
              </w:rPr>
              <w:t>1000</w:t>
            </w:r>
            <w:r>
              <w:rPr>
                <w:rFonts w:ascii="宋体" w:hAnsi="宋体" w:eastAsia="宋体" w:cs="宋体"/>
                <w:snapToGrid w:val="0"/>
                <w:color w:val="000000"/>
                <w:spacing w:val="7"/>
                <w:kern w:val="0"/>
                <w:sz w:val="20"/>
                <w:szCs w:val="20"/>
                <w:lang w:val="en-US" w:eastAsia="en-US" w:bidi="ar-SA"/>
              </w:rPr>
              <w:t>℃使用，</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1"/>
                <w:kern w:val="0"/>
                <w:sz w:val="20"/>
                <w:szCs w:val="20"/>
                <w:lang w:val="en-US" w:eastAsia="en-US" w:bidi="ar-SA"/>
              </w:rPr>
              <w:t>其操作温度在燃点以</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上</w:t>
            </w:r>
          </w:p>
        </w:tc>
        <w:tc>
          <w:tcPr>
            <w:tcW w:w="2266" w:type="dxa"/>
            <w:vAlign w:val="top"/>
          </w:tcPr>
          <w:p w14:paraId="58181411">
            <w:pPr>
              <w:kinsoku w:val="0"/>
              <w:autoSpaceDE w:val="0"/>
              <w:autoSpaceDN w:val="0"/>
              <w:adjustRightInd w:val="0"/>
              <w:snapToGrid w:val="0"/>
              <w:spacing w:before="88" w:line="222" w:lineRule="auto"/>
              <w:ind w:left="112" w:right="10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在</w:t>
            </w:r>
            <w:r>
              <w:rPr>
                <w:rFonts w:ascii="宋体" w:hAnsi="宋体" w:eastAsia="宋体" w:cs="宋体"/>
                <w:snapToGrid w:val="0"/>
                <w:color w:val="000000"/>
                <w:spacing w:val="-14"/>
                <w:kern w:val="0"/>
                <w:sz w:val="20"/>
                <w:szCs w:val="20"/>
                <w:lang w:val="en-US" w:eastAsia="en-US" w:bidi="ar-SA"/>
              </w:rPr>
              <w:t xml:space="preserve"> </w:t>
            </w:r>
            <w:r>
              <w:rPr>
                <w:rFonts w:ascii="Times New Roman" w:hAnsi="Times New Roman" w:eastAsia="Times New Roman" w:cs="Times New Roman"/>
                <w:snapToGrid w:val="0"/>
                <w:color w:val="000000"/>
                <w:spacing w:val="6"/>
                <w:kern w:val="0"/>
                <w:sz w:val="20"/>
                <w:szCs w:val="20"/>
                <w:lang w:val="en-US" w:eastAsia="en-US" w:bidi="ar-SA"/>
              </w:rPr>
              <w:t>250~</w:t>
            </w:r>
            <w:r>
              <w:rPr>
                <w:rFonts w:ascii="Times New Roman" w:hAnsi="Times New Roman" w:eastAsia="Times New Roman" w:cs="Times New Roman"/>
                <w:snapToGrid w:val="0"/>
                <w:color w:val="000000"/>
                <w:spacing w:val="-25"/>
                <w:kern w:val="0"/>
                <w:sz w:val="20"/>
                <w:szCs w:val="20"/>
                <w:lang w:val="en-US" w:eastAsia="en-US" w:bidi="ar-SA"/>
              </w:rPr>
              <w:t xml:space="preserve"> </w:t>
            </w:r>
            <w:r>
              <w:rPr>
                <w:rFonts w:ascii="Times New Roman" w:hAnsi="Times New Roman" w:eastAsia="Times New Roman" w:cs="Times New Roman"/>
                <w:snapToGrid w:val="0"/>
                <w:color w:val="000000"/>
                <w:spacing w:val="6"/>
                <w:kern w:val="0"/>
                <w:sz w:val="20"/>
                <w:szCs w:val="20"/>
                <w:lang w:val="en-US" w:eastAsia="en-US" w:bidi="ar-SA"/>
              </w:rPr>
              <w:t>1000</w:t>
            </w:r>
            <w:r>
              <w:rPr>
                <w:rFonts w:ascii="宋体" w:hAnsi="宋体" w:eastAsia="宋体" w:cs="宋体"/>
                <w:snapToGrid w:val="0"/>
                <w:color w:val="000000"/>
                <w:spacing w:val="6"/>
                <w:kern w:val="0"/>
                <w:sz w:val="20"/>
                <w:szCs w:val="20"/>
                <w:lang w:val="en-US" w:eastAsia="en-US" w:bidi="ar-SA"/>
              </w:rPr>
              <w:t>℃使用</w:t>
            </w:r>
            <w:r>
              <w:rPr>
                <w:rFonts w:ascii="宋体" w:hAnsi="宋体" w:eastAsia="宋体" w:cs="宋体"/>
                <w:snapToGrid w:val="0"/>
                <w:color w:val="000000"/>
                <w:spacing w:val="-56"/>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7"/>
                <w:kern w:val="0"/>
                <w:sz w:val="20"/>
                <w:szCs w:val="20"/>
                <w:lang w:val="en-US" w:eastAsia="en-US" w:bidi="ar-SA"/>
              </w:rPr>
              <w:t>但操作温度在燃点以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下；</w:t>
            </w:r>
          </w:p>
          <w:p w14:paraId="076CD3AA">
            <w:pPr>
              <w:kinsoku w:val="0"/>
              <w:autoSpaceDE w:val="0"/>
              <w:autoSpaceDN w:val="0"/>
              <w:adjustRightInd w:val="0"/>
              <w:snapToGrid w:val="0"/>
              <w:spacing w:line="228" w:lineRule="auto"/>
              <w:ind w:left="113" w:right="105" w:hanging="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在低于在</w:t>
            </w:r>
            <w:r>
              <w:rPr>
                <w:rFonts w:ascii="宋体" w:hAnsi="宋体" w:eastAsia="宋体" w:cs="宋体"/>
                <w:snapToGrid w:val="0"/>
                <w:color w:val="000000"/>
                <w:spacing w:val="-36"/>
                <w:kern w:val="0"/>
                <w:sz w:val="20"/>
                <w:szCs w:val="20"/>
                <w:lang w:val="en-US" w:eastAsia="en-US" w:bidi="ar-SA"/>
              </w:rPr>
              <w:t xml:space="preserve"> </w:t>
            </w:r>
            <w:r>
              <w:rPr>
                <w:rFonts w:ascii="Times New Roman" w:hAnsi="Times New Roman" w:eastAsia="Times New Roman" w:cs="Times New Roman"/>
                <w:snapToGrid w:val="0"/>
                <w:color w:val="000000"/>
                <w:spacing w:val="7"/>
                <w:kern w:val="0"/>
                <w:sz w:val="20"/>
                <w:szCs w:val="20"/>
                <w:lang w:val="en-US" w:eastAsia="en-US" w:bidi="ar-SA"/>
              </w:rPr>
              <w:t>250</w:t>
            </w:r>
            <w:r>
              <w:rPr>
                <w:rFonts w:ascii="宋体" w:hAnsi="宋体" w:eastAsia="宋体" w:cs="宋体"/>
                <w:snapToGrid w:val="0"/>
                <w:color w:val="000000"/>
                <w:spacing w:val="7"/>
                <w:kern w:val="0"/>
                <w:sz w:val="20"/>
                <w:szCs w:val="20"/>
                <w:lang w:val="en-US" w:eastAsia="en-US" w:bidi="ar-SA"/>
              </w:rPr>
              <w:t>℃使用，</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6"/>
                <w:kern w:val="0"/>
                <w:sz w:val="20"/>
                <w:szCs w:val="20"/>
                <w:lang w:val="en-US" w:eastAsia="en-US" w:bidi="ar-SA"/>
              </w:rPr>
              <w:t>其操作温度在燃点以</w:t>
            </w:r>
            <w:r>
              <w:rPr>
                <w:rFonts w:ascii="宋体" w:hAnsi="宋体" w:eastAsia="宋体" w:cs="宋体"/>
                <w:snapToGrid w:val="0"/>
                <w:color w:val="000000"/>
                <w:spacing w:val="5"/>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上</w:t>
            </w:r>
          </w:p>
        </w:tc>
        <w:tc>
          <w:tcPr>
            <w:tcW w:w="1633" w:type="dxa"/>
            <w:vAlign w:val="top"/>
          </w:tcPr>
          <w:p w14:paraId="131AFC19">
            <w:pPr>
              <w:widowControl/>
              <w:kinsoku w:val="0"/>
              <w:autoSpaceDE w:val="0"/>
              <w:autoSpaceDN w:val="0"/>
              <w:adjustRightInd w:val="0"/>
              <w:snapToGrid w:val="0"/>
              <w:spacing w:line="383" w:lineRule="auto"/>
              <w:jc w:val="left"/>
              <w:textAlignment w:val="baseline"/>
              <w:rPr>
                <w:rFonts w:ascii="Arial" w:hAnsi="Arial" w:eastAsia="Arial" w:cs="Arial"/>
                <w:snapToGrid w:val="0"/>
                <w:color w:val="000000"/>
                <w:kern w:val="0"/>
                <w:sz w:val="21"/>
                <w:lang w:eastAsia="en-US"/>
              </w:rPr>
            </w:pPr>
          </w:p>
          <w:p w14:paraId="63065458">
            <w:pPr>
              <w:kinsoku w:val="0"/>
              <w:autoSpaceDE w:val="0"/>
              <w:autoSpaceDN w:val="0"/>
              <w:adjustRightInd w:val="0"/>
              <w:snapToGrid w:val="0"/>
              <w:spacing w:before="65" w:line="224" w:lineRule="auto"/>
              <w:ind w:left="114" w:right="109"/>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3"/>
                <w:kern w:val="0"/>
                <w:sz w:val="20"/>
                <w:szCs w:val="20"/>
                <w:lang w:val="en-US" w:eastAsia="en-US" w:bidi="ar-SA"/>
              </w:rPr>
              <w:t>在低于在</w:t>
            </w:r>
            <w:r>
              <w:rPr>
                <w:rFonts w:ascii="Times New Roman" w:hAnsi="Times New Roman" w:eastAsia="Times New Roman" w:cs="Times New Roman"/>
                <w:snapToGrid w:val="0"/>
                <w:color w:val="000000"/>
                <w:spacing w:val="13"/>
                <w:kern w:val="0"/>
                <w:sz w:val="20"/>
                <w:szCs w:val="20"/>
                <w:lang w:val="en-US" w:eastAsia="en-US" w:bidi="ar-SA"/>
              </w:rPr>
              <w:t>250</w:t>
            </w:r>
            <w:r>
              <w:rPr>
                <w:rFonts w:ascii="宋体" w:hAnsi="宋体" w:eastAsia="宋体" w:cs="宋体"/>
                <w:snapToGrid w:val="0"/>
                <w:color w:val="000000"/>
                <w:spacing w:val="13"/>
                <w:kern w:val="0"/>
                <w:sz w:val="20"/>
                <w:szCs w:val="20"/>
                <w:lang w:val="en-US" w:eastAsia="en-US" w:bidi="ar-SA"/>
              </w:rPr>
              <w:t>℃</w:t>
            </w:r>
            <w:r>
              <w:rPr>
                <w:rFonts w:ascii="宋体" w:hAnsi="宋体" w:eastAsia="宋体" w:cs="宋体"/>
                <w:snapToGrid w:val="0"/>
                <w:color w:val="000000"/>
                <w:kern w:val="0"/>
                <w:sz w:val="20"/>
                <w:szCs w:val="20"/>
                <w:lang w:val="en-US" w:eastAsia="en-US" w:bidi="ar-SA"/>
              </w:rPr>
              <w:t xml:space="preserve"> 使用，其操作温</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度在燃点以下</w:t>
            </w:r>
          </w:p>
        </w:tc>
      </w:tr>
      <w:tr w14:paraId="0257D4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877" w:type="dxa"/>
            <w:vAlign w:val="top"/>
          </w:tcPr>
          <w:p w14:paraId="35DD4BF8">
            <w:pPr>
              <w:kinsoku w:val="0"/>
              <w:autoSpaceDE w:val="0"/>
              <w:autoSpaceDN w:val="0"/>
              <w:adjustRightInd w:val="0"/>
              <w:snapToGrid w:val="0"/>
              <w:spacing w:before="168" w:line="228" w:lineRule="auto"/>
              <w:ind w:left="23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压力</w:t>
            </w:r>
          </w:p>
        </w:tc>
        <w:tc>
          <w:tcPr>
            <w:tcW w:w="2006" w:type="dxa"/>
            <w:vAlign w:val="top"/>
          </w:tcPr>
          <w:p w14:paraId="3BBBFFAC">
            <w:pPr>
              <w:widowControl/>
              <w:kinsoku w:val="0"/>
              <w:autoSpaceDE w:val="0"/>
              <w:autoSpaceDN w:val="0"/>
              <w:adjustRightInd w:val="0"/>
              <w:snapToGrid w:val="0"/>
              <w:spacing w:before="204" w:line="195" w:lineRule="auto"/>
              <w:ind w:left="66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2"/>
                <w:kern w:val="0"/>
                <w:sz w:val="20"/>
                <w:szCs w:val="20"/>
                <w:lang w:eastAsia="en-US"/>
              </w:rPr>
              <w:t>100</w:t>
            </w:r>
            <w:r>
              <w:rPr>
                <w:rFonts w:ascii="Times New Roman" w:hAnsi="Times New Roman" w:eastAsia="Times New Roman" w:cs="Times New Roman"/>
                <w:snapToGrid w:val="0"/>
                <w:color w:val="000000"/>
                <w:kern w:val="0"/>
                <w:sz w:val="20"/>
                <w:szCs w:val="20"/>
                <w:lang w:eastAsia="en-US"/>
              </w:rPr>
              <w:t>MPa</w:t>
            </w:r>
          </w:p>
        </w:tc>
        <w:tc>
          <w:tcPr>
            <w:tcW w:w="2222" w:type="dxa"/>
            <w:vAlign w:val="top"/>
          </w:tcPr>
          <w:p w14:paraId="63D62A96">
            <w:pPr>
              <w:widowControl/>
              <w:kinsoku w:val="0"/>
              <w:autoSpaceDE w:val="0"/>
              <w:autoSpaceDN w:val="0"/>
              <w:adjustRightInd w:val="0"/>
              <w:snapToGrid w:val="0"/>
              <w:spacing w:before="204" w:line="195" w:lineRule="auto"/>
              <w:ind w:left="56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3"/>
                <w:kern w:val="0"/>
                <w:sz w:val="20"/>
                <w:szCs w:val="20"/>
                <w:lang w:eastAsia="en-US"/>
              </w:rPr>
              <w:t>20~</w:t>
            </w:r>
            <w:r>
              <w:rPr>
                <w:rFonts w:ascii="Times New Roman" w:hAnsi="Times New Roman" w:eastAsia="Times New Roman" w:cs="Times New Roman"/>
                <w:snapToGrid w:val="0"/>
                <w:color w:val="000000"/>
                <w:spacing w:val="-26"/>
                <w:kern w:val="0"/>
                <w:sz w:val="20"/>
                <w:szCs w:val="20"/>
                <w:lang w:eastAsia="en-US"/>
              </w:rPr>
              <w:t xml:space="preserve"> </w:t>
            </w:r>
            <w:r>
              <w:rPr>
                <w:rFonts w:ascii="Times New Roman" w:hAnsi="Times New Roman" w:eastAsia="Times New Roman" w:cs="Times New Roman"/>
                <w:snapToGrid w:val="0"/>
                <w:color w:val="000000"/>
                <w:spacing w:val="3"/>
                <w:kern w:val="0"/>
                <w:sz w:val="20"/>
                <w:szCs w:val="20"/>
                <w:lang w:eastAsia="en-US"/>
              </w:rPr>
              <w:t xml:space="preserve">100 </w:t>
            </w:r>
            <w:r>
              <w:rPr>
                <w:rFonts w:ascii="Times New Roman" w:hAnsi="Times New Roman" w:eastAsia="Times New Roman" w:cs="Times New Roman"/>
                <w:snapToGrid w:val="0"/>
                <w:color w:val="000000"/>
                <w:kern w:val="0"/>
                <w:sz w:val="20"/>
                <w:szCs w:val="20"/>
                <w:lang w:eastAsia="en-US"/>
              </w:rPr>
              <w:t>MPa</w:t>
            </w:r>
          </w:p>
        </w:tc>
        <w:tc>
          <w:tcPr>
            <w:tcW w:w="2266" w:type="dxa"/>
            <w:vAlign w:val="top"/>
          </w:tcPr>
          <w:p w14:paraId="6EDAD34F">
            <w:pPr>
              <w:widowControl/>
              <w:kinsoku w:val="0"/>
              <w:autoSpaceDE w:val="0"/>
              <w:autoSpaceDN w:val="0"/>
              <w:adjustRightInd w:val="0"/>
              <w:snapToGrid w:val="0"/>
              <w:spacing w:before="204" w:line="195" w:lineRule="auto"/>
              <w:ind w:left="71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2"/>
                <w:kern w:val="0"/>
                <w:sz w:val="20"/>
                <w:szCs w:val="20"/>
                <w:lang w:eastAsia="en-US"/>
              </w:rPr>
              <w:t xml:space="preserve">1~20 </w:t>
            </w:r>
            <w:r>
              <w:rPr>
                <w:rFonts w:ascii="Times New Roman" w:hAnsi="Times New Roman" w:eastAsia="Times New Roman" w:cs="Times New Roman"/>
                <w:snapToGrid w:val="0"/>
                <w:color w:val="000000"/>
                <w:kern w:val="0"/>
                <w:sz w:val="20"/>
                <w:szCs w:val="20"/>
                <w:lang w:eastAsia="en-US"/>
              </w:rPr>
              <w:t>MPa</w:t>
            </w:r>
          </w:p>
        </w:tc>
        <w:tc>
          <w:tcPr>
            <w:tcW w:w="1633" w:type="dxa"/>
            <w:vAlign w:val="top"/>
          </w:tcPr>
          <w:p w14:paraId="18899A18">
            <w:pPr>
              <w:kinsoku w:val="0"/>
              <w:autoSpaceDE w:val="0"/>
              <w:autoSpaceDN w:val="0"/>
              <w:adjustRightInd w:val="0"/>
              <w:snapToGrid w:val="0"/>
              <w:spacing w:before="168" w:line="221" w:lineRule="auto"/>
              <w:ind w:left="331"/>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3"/>
                <w:kern w:val="0"/>
                <w:sz w:val="20"/>
                <w:szCs w:val="20"/>
                <w:lang w:val="en-US" w:eastAsia="en-US" w:bidi="ar-SA"/>
              </w:rPr>
              <w:t>1 Mpa</w:t>
            </w:r>
            <w:r>
              <w:rPr>
                <w:rFonts w:ascii="Times New Roman" w:hAnsi="Times New Roman" w:eastAsia="Times New Roman" w:cs="Times New Roman"/>
                <w:snapToGrid w:val="0"/>
                <w:color w:val="000000"/>
                <w:spacing w:val="39"/>
                <w:w w:val="101"/>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以下</w:t>
            </w:r>
          </w:p>
        </w:tc>
      </w:tr>
      <w:tr w14:paraId="00AAC5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877" w:type="dxa"/>
            <w:vAlign w:val="top"/>
          </w:tcPr>
          <w:p w14:paraId="17954824">
            <w:pPr>
              <w:widowControl/>
              <w:kinsoku w:val="0"/>
              <w:autoSpaceDE w:val="0"/>
              <w:autoSpaceDN w:val="0"/>
              <w:adjustRightInd w:val="0"/>
              <w:snapToGrid w:val="0"/>
              <w:spacing w:line="309" w:lineRule="auto"/>
              <w:jc w:val="left"/>
              <w:textAlignment w:val="baseline"/>
              <w:rPr>
                <w:rFonts w:ascii="Arial" w:hAnsi="Arial" w:eastAsia="Arial" w:cs="Arial"/>
                <w:snapToGrid w:val="0"/>
                <w:color w:val="000000"/>
                <w:kern w:val="0"/>
                <w:sz w:val="21"/>
                <w:lang w:eastAsia="en-US"/>
              </w:rPr>
            </w:pPr>
          </w:p>
          <w:p w14:paraId="0FFAE7BF">
            <w:pPr>
              <w:widowControl/>
              <w:kinsoku w:val="0"/>
              <w:autoSpaceDE w:val="0"/>
              <w:autoSpaceDN w:val="0"/>
              <w:adjustRightInd w:val="0"/>
              <w:snapToGrid w:val="0"/>
              <w:spacing w:line="309" w:lineRule="auto"/>
              <w:jc w:val="left"/>
              <w:textAlignment w:val="baseline"/>
              <w:rPr>
                <w:rFonts w:ascii="Arial" w:hAnsi="Arial" w:eastAsia="Arial" w:cs="Arial"/>
                <w:snapToGrid w:val="0"/>
                <w:color w:val="000000"/>
                <w:kern w:val="0"/>
                <w:sz w:val="21"/>
                <w:lang w:eastAsia="en-US"/>
              </w:rPr>
            </w:pPr>
          </w:p>
          <w:p w14:paraId="640429D3">
            <w:pPr>
              <w:widowControl/>
              <w:kinsoku w:val="0"/>
              <w:autoSpaceDE w:val="0"/>
              <w:autoSpaceDN w:val="0"/>
              <w:adjustRightInd w:val="0"/>
              <w:snapToGrid w:val="0"/>
              <w:spacing w:line="310" w:lineRule="auto"/>
              <w:jc w:val="left"/>
              <w:textAlignment w:val="baseline"/>
              <w:rPr>
                <w:rFonts w:ascii="Arial" w:hAnsi="Arial" w:eastAsia="Arial" w:cs="Arial"/>
                <w:snapToGrid w:val="0"/>
                <w:color w:val="000000"/>
                <w:kern w:val="0"/>
                <w:sz w:val="21"/>
                <w:lang w:eastAsia="en-US"/>
              </w:rPr>
            </w:pPr>
          </w:p>
          <w:p w14:paraId="105D1D66">
            <w:pPr>
              <w:kinsoku w:val="0"/>
              <w:autoSpaceDE w:val="0"/>
              <w:autoSpaceDN w:val="0"/>
              <w:adjustRightInd w:val="0"/>
              <w:snapToGrid w:val="0"/>
              <w:spacing w:before="65" w:line="228" w:lineRule="auto"/>
              <w:ind w:left="23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操作</w:t>
            </w:r>
          </w:p>
        </w:tc>
        <w:tc>
          <w:tcPr>
            <w:tcW w:w="2006" w:type="dxa"/>
            <w:vAlign w:val="top"/>
          </w:tcPr>
          <w:p w14:paraId="1B1BB0B0">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14032CCA">
            <w:pPr>
              <w:widowControl/>
              <w:kinsoku w:val="0"/>
              <w:autoSpaceDE w:val="0"/>
              <w:autoSpaceDN w:val="0"/>
              <w:adjustRightInd w:val="0"/>
              <w:snapToGrid w:val="0"/>
              <w:spacing w:line="285" w:lineRule="auto"/>
              <w:jc w:val="left"/>
              <w:textAlignment w:val="baseline"/>
              <w:rPr>
                <w:rFonts w:ascii="Arial" w:hAnsi="Arial" w:eastAsia="Arial" w:cs="Arial"/>
                <w:snapToGrid w:val="0"/>
                <w:color w:val="000000"/>
                <w:kern w:val="0"/>
                <w:sz w:val="21"/>
                <w:lang w:eastAsia="en-US"/>
              </w:rPr>
            </w:pPr>
          </w:p>
          <w:p w14:paraId="410539F9">
            <w:pPr>
              <w:kinsoku w:val="0"/>
              <w:autoSpaceDE w:val="0"/>
              <w:autoSpaceDN w:val="0"/>
              <w:adjustRightInd w:val="0"/>
              <w:snapToGrid w:val="0"/>
              <w:spacing w:before="65" w:line="222" w:lineRule="auto"/>
              <w:ind w:left="116" w:right="105"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1"/>
                <w:kern w:val="0"/>
                <w:sz w:val="20"/>
                <w:szCs w:val="20"/>
                <w:lang w:val="en-US" w:eastAsia="en-US" w:bidi="ar-SA"/>
              </w:rPr>
              <w:t>临界放热和特别剧</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烈的反应操作</w:t>
            </w:r>
          </w:p>
          <w:p w14:paraId="40AC335B">
            <w:pPr>
              <w:kinsoku w:val="0"/>
              <w:autoSpaceDE w:val="0"/>
              <w:autoSpaceDN w:val="0"/>
              <w:adjustRightInd w:val="0"/>
              <w:snapToGrid w:val="0"/>
              <w:spacing w:before="1" w:line="224" w:lineRule="auto"/>
              <w:ind w:left="115" w:right="105" w:hanging="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2"/>
                <w:kern w:val="0"/>
                <w:sz w:val="20"/>
                <w:szCs w:val="20"/>
                <w:lang w:val="en-US" w:eastAsia="en-US" w:bidi="ar-SA"/>
              </w:rPr>
              <w:t>在爆炸极限范围内</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或其附近操作</w:t>
            </w:r>
          </w:p>
        </w:tc>
        <w:tc>
          <w:tcPr>
            <w:tcW w:w="2222" w:type="dxa"/>
            <w:vAlign w:val="top"/>
          </w:tcPr>
          <w:p w14:paraId="1E685157">
            <w:pPr>
              <w:kinsoku w:val="0"/>
              <w:autoSpaceDE w:val="0"/>
              <w:autoSpaceDN w:val="0"/>
              <w:adjustRightInd w:val="0"/>
              <w:snapToGrid w:val="0"/>
              <w:spacing w:before="158" w:line="222" w:lineRule="auto"/>
              <w:ind w:left="13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中等放热反应；</w:t>
            </w:r>
          </w:p>
          <w:p w14:paraId="0EEE7010">
            <w:pPr>
              <w:kinsoku w:val="0"/>
              <w:autoSpaceDE w:val="0"/>
              <w:autoSpaceDN w:val="0"/>
              <w:adjustRightInd w:val="0"/>
              <w:snapToGrid w:val="0"/>
              <w:spacing w:before="1" w:line="221" w:lineRule="auto"/>
              <w:ind w:left="112" w:right="105" w:firstLine="5"/>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1"/>
                <w:kern w:val="0"/>
                <w:sz w:val="20"/>
                <w:szCs w:val="20"/>
                <w:lang w:val="en-US" w:eastAsia="en-US" w:bidi="ar-SA"/>
              </w:rPr>
              <w:t>系统进入空气或不纯</w:t>
            </w:r>
            <w:r>
              <w:rPr>
                <w:rFonts w:ascii="宋体" w:hAnsi="宋体" w:eastAsia="宋体" w:cs="宋体"/>
                <w:snapToGrid w:val="0"/>
                <w:color w:val="000000"/>
                <w:spacing w:val="4"/>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物质，可能发生危险的</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操作；</w:t>
            </w:r>
          </w:p>
          <w:p w14:paraId="2C0361F6">
            <w:pPr>
              <w:kinsoku w:val="0"/>
              <w:autoSpaceDE w:val="0"/>
              <w:autoSpaceDN w:val="0"/>
              <w:adjustRightInd w:val="0"/>
              <w:snapToGrid w:val="0"/>
              <w:spacing w:before="1" w:line="221" w:lineRule="auto"/>
              <w:ind w:left="114" w:right="63"/>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使用粉状或雾状物质，</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21"/>
                <w:kern w:val="0"/>
                <w:sz w:val="20"/>
                <w:szCs w:val="20"/>
                <w:lang w:val="en-US" w:eastAsia="en-US" w:bidi="ar-SA"/>
              </w:rPr>
              <w:t>有可能发生粉尘爆炸</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的操作</w:t>
            </w:r>
          </w:p>
          <w:p w14:paraId="0F8379BD">
            <w:pPr>
              <w:kinsoku w:val="0"/>
              <w:autoSpaceDE w:val="0"/>
              <w:autoSpaceDN w:val="0"/>
              <w:adjustRightInd w:val="0"/>
              <w:snapToGrid w:val="0"/>
              <w:spacing w:line="228" w:lineRule="auto"/>
              <w:ind w:left="11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单批式操作</w:t>
            </w:r>
          </w:p>
        </w:tc>
        <w:tc>
          <w:tcPr>
            <w:tcW w:w="2266" w:type="dxa"/>
            <w:vAlign w:val="top"/>
          </w:tcPr>
          <w:p w14:paraId="1C2C4175">
            <w:pPr>
              <w:widowControl/>
              <w:kinsoku w:val="0"/>
              <w:autoSpaceDE w:val="0"/>
              <w:autoSpaceDN w:val="0"/>
              <w:adjustRightInd w:val="0"/>
              <w:snapToGrid w:val="0"/>
              <w:spacing w:line="331" w:lineRule="auto"/>
              <w:jc w:val="left"/>
              <w:textAlignment w:val="baseline"/>
              <w:rPr>
                <w:rFonts w:ascii="Arial" w:hAnsi="Arial" w:eastAsia="Arial" w:cs="Arial"/>
                <w:snapToGrid w:val="0"/>
                <w:color w:val="000000"/>
                <w:kern w:val="0"/>
                <w:sz w:val="21"/>
                <w:lang w:eastAsia="en-US"/>
              </w:rPr>
            </w:pPr>
          </w:p>
          <w:p w14:paraId="71F030EF">
            <w:pPr>
              <w:kinsoku w:val="0"/>
              <w:autoSpaceDE w:val="0"/>
              <w:autoSpaceDN w:val="0"/>
              <w:adjustRightInd w:val="0"/>
              <w:snapToGrid w:val="0"/>
              <w:spacing w:before="65" w:line="222"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轻微放热反应；</w:t>
            </w:r>
          </w:p>
          <w:p w14:paraId="4BEDDB90">
            <w:pPr>
              <w:kinsoku w:val="0"/>
              <w:autoSpaceDE w:val="0"/>
              <w:autoSpaceDN w:val="0"/>
              <w:adjustRightInd w:val="0"/>
              <w:snapToGrid w:val="0"/>
              <w:spacing w:before="1" w:line="221" w:lineRule="auto"/>
              <w:ind w:left="117" w:right="105" w:hanging="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6"/>
                <w:kern w:val="0"/>
                <w:sz w:val="20"/>
                <w:szCs w:val="20"/>
                <w:lang w:val="en-US" w:eastAsia="en-US" w:bidi="ar-SA"/>
              </w:rPr>
              <w:t>在精制过程中伴有化</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学反应；</w:t>
            </w:r>
          </w:p>
          <w:p w14:paraId="6F753473">
            <w:pPr>
              <w:kinsoku w:val="0"/>
              <w:autoSpaceDE w:val="0"/>
              <w:autoSpaceDN w:val="0"/>
              <w:adjustRightInd w:val="0"/>
              <w:snapToGrid w:val="0"/>
              <w:spacing w:before="2" w:line="223" w:lineRule="auto"/>
              <w:ind w:left="114" w:right="105"/>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单批式操作，但开始使</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用机械进行程序操作；</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有一定危险的操作</w:t>
            </w:r>
          </w:p>
        </w:tc>
        <w:tc>
          <w:tcPr>
            <w:tcW w:w="1633" w:type="dxa"/>
            <w:vAlign w:val="top"/>
          </w:tcPr>
          <w:p w14:paraId="11F4ACA6">
            <w:pPr>
              <w:widowControl/>
              <w:kinsoku w:val="0"/>
              <w:autoSpaceDE w:val="0"/>
              <w:autoSpaceDN w:val="0"/>
              <w:adjustRightInd w:val="0"/>
              <w:snapToGrid w:val="0"/>
              <w:spacing w:line="309" w:lineRule="auto"/>
              <w:jc w:val="left"/>
              <w:textAlignment w:val="baseline"/>
              <w:rPr>
                <w:rFonts w:ascii="Arial" w:hAnsi="Arial" w:eastAsia="Arial" w:cs="Arial"/>
                <w:snapToGrid w:val="0"/>
                <w:color w:val="000000"/>
                <w:kern w:val="0"/>
                <w:sz w:val="21"/>
                <w:lang w:eastAsia="en-US"/>
              </w:rPr>
            </w:pPr>
          </w:p>
          <w:p w14:paraId="5B57298B">
            <w:pPr>
              <w:widowControl/>
              <w:kinsoku w:val="0"/>
              <w:autoSpaceDE w:val="0"/>
              <w:autoSpaceDN w:val="0"/>
              <w:adjustRightInd w:val="0"/>
              <w:snapToGrid w:val="0"/>
              <w:spacing w:line="309" w:lineRule="auto"/>
              <w:jc w:val="left"/>
              <w:textAlignment w:val="baseline"/>
              <w:rPr>
                <w:rFonts w:ascii="Arial" w:hAnsi="Arial" w:eastAsia="Arial" w:cs="Arial"/>
                <w:snapToGrid w:val="0"/>
                <w:color w:val="000000"/>
                <w:kern w:val="0"/>
                <w:sz w:val="21"/>
                <w:lang w:eastAsia="en-US"/>
              </w:rPr>
            </w:pPr>
          </w:p>
          <w:p w14:paraId="04FC7B00">
            <w:pPr>
              <w:widowControl/>
              <w:kinsoku w:val="0"/>
              <w:autoSpaceDE w:val="0"/>
              <w:autoSpaceDN w:val="0"/>
              <w:adjustRightInd w:val="0"/>
              <w:snapToGrid w:val="0"/>
              <w:spacing w:line="310" w:lineRule="auto"/>
              <w:jc w:val="left"/>
              <w:textAlignment w:val="baseline"/>
              <w:rPr>
                <w:rFonts w:ascii="Arial" w:hAnsi="Arial" w:eastAsia="Arial" w:cs="Arial"/>
                <w:snapToGrid w:val="0"/>
                <w:color w:val="000000"/>
                <w:kern w:val="0"/>
                <w:sz w:val="21"/>
                <w:lang w:eastAsia="en-US"/>
              </w:rPr>
            </w:pPr>
          </w:p>
          <w:p w14:paraId="2531F3A3">
            <w:pPr>
              <w:kinsoku w:val="0"/>
              <w:autoSpaceDE w:val="0"/>
              <w:autoSpaceDN w:val="0"/>
              <w:adjustRightInd w:val="0"/>
              <w:snapToGrid w:val="0"/>
              <w:spacing w:before="65" w:line="228" w:lineRule="auto"/>
              <w:ind w:left="11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无危险的操作</w:t>
            </w:r>
          </w:p>
        </w:tc>
      </w:tr>
    </w:tbl>
    <w:p w14:paraId="1F761EBA">
      <w:pPr>
        <w:widowControl/>
        <w:kinsoku w:val="0"/>
        <w:autoSpaceDE w:val="0"/>
        <w:autoSpaceDN w:val="0"/>
        <w:adjustRightInd w:val="0"/>
        <w:snapToGrid w:val="0"/>
        <w:spacing w:before="78" w:line="220" w:lineRule="auto"/>
        <w:ind w:left="581"/>
        <w:jc w:val="left"/>
        <w:textAlignment w:val="baseline"/>
        <w:rPr>
          <w:rFonts w:ascii="宋体" w:hAnsi="宋体" w:eastAsia="宋体" w:cs="宋体"/>
          <w:snapToGrid w:val="0"/>
          <w:color w:val="000000"/>
          <w:spacing w:val="-2"/>
          <w:kern w:val="0"/>
          <w:sz w:val="24"/>
          <w:szCs w:val="24"/>
          <w:lang w:eastAsia="en-US"/>
        </w:rPr>
      </w:pPr>
    </w:p>
    <w:p w14:paraId="66EA8A31">
      <w:pPr>
        <w:widowControl/>
        <w:kinsoku w:val="0"/>
        <w:autoSpaceDE w:val="0"/>
        <w:autoSpaceDN w:val="0"/>
        <w:adjustRightInd w:val="0"/>
        <w:snapToGrid w:val="0"/>
        <w:spacing w:before="78" w:line="220" w:lineRule="auto"/>
        <w:ind w:left="581"/>
        <w:jc w:val="left"/>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2"/>
          <w:kern w:val="0"/>
          <w:sz w:val="24"/>
          <w:szCs w:val="24"/>
          <w:lang w:eastAsia="en-US"/>
        </w:rPr>
        <w:t>危险度分级见表</w:t>
      </w:r>
      <w:r>
        <w:rPr>
          <w:rFonts w:ascii="宋体" w:hAnsi="宋体" w:eastAsia="宋体" w:cs="宋体"/>
          <w:snapToGrid w:val="0"/>
          <w:color w:val="000000"/>
          <w:spacing w:val="-48"/>
          <w:kern w:val="0"/>
          <w:sz w:val="24"/>
          <w:szCs w:val="24"/>
          <w:lang w:eastAsia="en-US"/>
        </w:rPr>
        <w:t xml:space="preserve"> </w:t>
      </w:r>
      <w:r>
        <w:rPr>
          <w:rFonts w:ascii="Times New Roman" w:hAnsi="Times New Roman" w:eastAsia="Times New Roman" w:cs="Times New Roman"/>
          <w:snapToGrid w:val="0"/>
          <w:color w:val="000000"/>
          <w:spacing w:val="-2"/>
          <w:kern w:val="0"/>
          <w:sz w:val="24"/>
          <w:szCs w:val="24"/>
          <w:lang w:eastAsia="en-US"/>
        </w:rPr>
        <w:t>4</w:t>
      </w:r>
      <w:r>
        <w:rPr>
          <w:rFonts w:hint="eastAsia" w:ascii="Times New Roman" w:hAnsi="Times New Roman" w:eastAsia="宋体" w:cs="Times New Roman"/>
          <w:snapToGrid w:val="0"/>
          <w:color w:val="000000"/>
          <w:spacing w:val="-2"/>
          <w:kern w:val="0"/>
          <w:sz w:val="24"/>
          <w:szCs w:val="24"/>
          <w:lang w:val="en-US" w:eastAsia="zh-CN"/>
        </w:rPr>
        <w:t>-3</w:t>
      </w:r>
      <w:r>
        <w:rPr>
          <w:rFonts w:ascii="宋体" w:hAnsi="宋体" w:eastAsia="宋体" w:cs="宋体"/>
          <w:snapToGrid w:val="0"/>
          <w:color w:val="000000"/>
          <w:spacing w:val="-2"/>
          <w:kern w:val="0"/>
          <w:sz w:val="24"/>
          <w:szCs w:val="24"/>
          <w:lang w:eastAsia="en-US"/>
        </w:rPr>
        <w:t>。</w:t>
      </w:r>
    </w:p>
    <w:p w14:paraId="233D741C">
      <w:pPr>
        <w:widowControl/>
        <w:kinsoku w:val="0"/>
        <w:autoSpaceDE w:val="0"/>
        <w:autoSpaceDN w:val="0"/>
        <w:adjustRightInd w:val="0"/>
        <w:snapToGrid w:val="0"/>
        <w:spacing w:before="263" w:line="221" w:lineRule="auto"/>
        <w:ind w:left="3599"/>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53"/>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4</w:t>
      </w:r>
      <w:r>
        <w:rPr>
          <w:rFonts w:hint="eastAsia" w:ascii="Times New Roman" w:hAnsi="Times New Roman" w:eastAsia="宋体" w:cs="Times New Roman"/>
          <w:b/>
          <w:bCs/>
          <w:snapToGrid w:val="0"/>
          <w:color w:val="000000"/>
          <w:spacing w:val="-2"/>
          <w:kern w:val="0"/>
          <w:sz w:val="24"/>
          <w:szCs w:val="24"/>
          <w:lang w:val="en-US" w:eastAsia="zh-CN"/>
        </w:rPr>
        <w:t>-3</w:t>
      </w:r>
      <w:r>
        <w:rPr>
          <w:rFonts w:ascii="宋体" w:hAnsi="宋体" w:eastAsia="宋体" w:cs="宋体"/>
          <w:b/>
          <w:bCs/>
          <w:snapToGrid w:val="0"/>
          <w:color w:val="000000"/>
          <w:spacing w:val="-2"/>
          <w:kern w:val="0"/>
          <w:sz w:val="24"/>
          <w:szCs w:val="24"/>
          <w:lang w:eastAsia="en-US"/>
        </w:rPr>
        <w:t>危险度分级表</w:t>
      </w:r>
    </w:p>
    <w:p w14:paraId="4D4C5789">
      <w:pPr>
        <w:widowControl/>
        <w:kinsoku w:val="0"/>
        <w:autoSpaceDE w:val="0"/>
        <w:autoSpaceDN w:val="0"/>
        <w:adjustRightInd w:val="0"/>
        <w:snapToGrid w:val="0"/>
        <w:spacing w:line="37" w:lineRule="exact"/>
        <w:jc w:val="left"/>
        <w:textAlignment w:val="baseline"/>
        <w:rPr>
          <w:rFonts w:ascii="Arial" w:hAnsi="Arial" w:eastAsia="Arial" w:cs="Arial"/>
          <w:snapToGrid w:val="0"/>
          <w:color w:val="000000"/>
          <w:kern w:val="0"/>
          <w:lang w:eastAsia="en-US"/>
        </w:rPr>
      </w:pPr>
    </w:p>
    <w:tbl>
      <w:tblPr>
        <w:tblStyle w:val="47"/>
        <w:tblW w:w="8644" w:type="dxa"/>
        <w:tblInd w:w="17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63"/>
        <w:gridCol w:w="2159"/>
        <w:gridCol w:w="2159"/>
        <w:gridCol w:w="2163"/>
      </w:tblGrid>
      <w:tr w14:paraId="3A7064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2163" w:type="dxa"/>
            <w:vAlign w:val="top"/>
          </w:tcPr>
          <w:p w14:paraId="6DECE32E">
            <w:pPr>
              <w:kinsoku w:val="0"/>
              <w:autoSpaceDE w:val="0"/>
              <w:autoSpaceDN w:val="0"/>
              <w:adjustRightInd w:val="0"/>
              <w:snapToGrid w:val="0"/>
              <w:spacing w:before="119" w:line="228" w:lineRule="auto"/>
              <w:ind w:left="77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总分值</w:t>
            </w:r>
          </w:p>
        </w:tc>
        <w:tc>
          <w:tcPr>
            <w:tcW w:w="2159" w:type="dxa"/>
            <w:vAlign w:val="top"/>
          </w:tcPr>
          <w:p w14:paraId="52B5D0D5">
            <w:pPr>
              <w:kinsoku w:val="0"/>
              <w:autoSpaceDE w:val="0"/>
              <w:autoSpaceDN w:val="0"/>
              <w:adjustRightInd w:val="0"/>
              <w:snapToGrid w:val="0"/>
              <w:spacing w:before="119" w:line="229" w:lineRule="auto"/>
              <w:ind w:left="76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w:t>
            </w:r>
            <w:r>
              <w:rPr>
                <w:rFonts w:ascii="Times New Roman" w:hAnsi="Times New Roman" w:eastAsia="Times New Roman" w:cs="Times New Roman"/>
                <w:snapToGrid w:val="0"/>
                <w:color w:val="000000"/>
                <w:spacing w:val="-2"/>
                <w:kern w:val="0"/>
                <w:sz w:val="20"/>
                <w:szCs w:val="20"/>
                <w:lang w:val="en-US" w:eastAsia="en-US" w:bidi="ar-SA"/>
              </w:rPr>
              <w:t>16</w:t>
            </w:r>
            <w:r>
              <w:rPr>
                <w:rFonts w:ascii="Times New Roman" w:hAnsi="Times New Roman" w:eastAsia="Times New Roman" w:cs="Times New Roman"/>
                <w:snapToGrid w:val="0"/>
                <w:color w:val="000000"/>
                <w:spacing w:val="12"/>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分</w:t>
            </w:r>
          </w:p>
        </w:tc>
        <w:tc>
          <w:tcPr>
            <w:tcW w:w="2159" w:type="dxa"/>
            <w:vAlign w:val="top"/>
          </w:tcPr>
          <w:p w14:paraId="36FF1208">
            <w:pPr>
              <w:kinsoku w:val="0"/>
              <w:autoSpaceDE w:val="0"/>
              <w:autoSpaceDN w:val="0"/>
              <w:adjustRightInd w:val="0"/>
              <w:snapToGrid w:val="0"/>
              <w:spacing w:before="119" w:line="229" w:lineRule="auto"/>
              <w:ind w:left="709"/>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5"/>
                <w:kern w:val="0"/>
                <w:sz w:val="20"/>
                <w:szCs w:val="20"/>
                <w:lang w:val="en-US" w:eastAsia="en-US" w:bidi="ar-SA"/>
              </w:rPr>
              <w:t>11~</w:t>
            </w:r>
            <w:r>
              <w:rPr>
                <w:rFonts w:ascii="Times New Roman" w:hAnsi="Times New Roman" w:eastAsia="Times New Roman" w:cs="Times New Roman"/>
                <w:snapToGrid w:val="0"/>
                <w:color w:val="000000"/>
                <w:spacing w:val="-26"/>
                <w:kern w:val="0"/>
                <w:sz w:val="20"/>
                <w:szCs w:val="20"/>
                <w:lang w:val="en-US" w:eastAsia="en-US" w:bidi="ar-SA"/>
              </w:rPr>
              <w:t xml:space="preserve"> </w:t>
            </w:r>
            <w:r>
              <w:rPr>
                <w:rFonts w:ascii="Times New Roman" w:hAnsi="Times New Roman" w:eastAsia="Times New Roman" w:cs="Times New Roman"/>
                <w:snapToGrid w:val="0"/>
                <w:color w:val="000000"/>
                <w:spacing w:val="-5"/>
                <w:kern w:val="0"/>
                <w:sz w:val="20"/>
                <w:szCs w:val="20"/>
                <w:lang w:val="en-US" w:eastAsia="en-US" w:bidi="ar-SA"/>
              </w:rPr>
              <w:t>15</w:t>
            </w:r>
            <w:r>
              <w:rPr>
                <w:rFonts w:ascii="Times New Roman" w:hAnsi="Times New Roman" w:eastAsia="Times New Roman" w:cs="Times New Roman"/>
                <w:snapToGrid w:val="0"/>
                <w:color w:val="000000"/>
                <w:spacing w:val="9"/>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分</w:t>
            </w:r>
          </w:p>
        </w:tc>
        <w:tc>
          <w:tcPr>
            <w:tcW w:w="2163" w:type="dxa"/>
            <w:vAlign w:val="top"/>
          </w:tcPr>
          <w:p w14:paraId="5C1E26F2">
            <w:pPr>
              <w:kinsoku w:val="0"/>
              <w:autoSpaceDE w:val="0"/>
              <w:autoSpaceDN w:val="0"/>
              <w:adjustRightInd w:val="0"/>
              <w:snapToGrid w:val="0"/>
              <w:spacing w:before="119" w:line="229" w:lineRule="auto"/>
              <w:ind w:left="75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w:t>
            </w:r>
            <w:r>
              <w:rPr>
                <w:rFonts w:ascii="Times New Roman" w:hAnsi="Times New Roman" w:eastAsia="Times New Roman" w:cs="Times New Roman"/>
                <w:snapToGrid w:val="0"/>
                <w:color w:val="000000"/>
                <w:spacing w:val="-1"/>
                <w:kern w:val="0"/>
                <w:sz w:val="20"/>
                <w:szCs w:val="20"/>
                <w:lang w:val="en-US" w:eastAsia="en-US" w:bidi="ar-SA"/>
              </w:rPr>
              <w:t>10</w:t>
            </w:r>
            <w:r>
              <w:rPr>
                <w:rFonts w:ascii="Times New Roman" w:hAnsi="Times New Roman" w:eastAsia="Times New Roman" w:cs="Times New Roman"/>
                <w:snapToGrid w:val="0"/>
                <w:color w:val="000000"/>
                <w:spacing w:val="13"/>
                <w:w w:val="101"/>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分</w:t>
            </w:r>
          </w:p>
        </w:tc>
      </w:tr>
      <w:tr w14:paraId="0FD684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2163" w:type="dxa"/>
            <w:vAlign w:val="top"/>
          </w:tcPr>
          <w:p w14:paraId="4FE54E0C">
            <w:pPr>
              <w:kinsoku w:val="0"/>
              <w:autoSpaceDE w:val="0"/>
              <w:autoSpaceDN w:val="0"/>
              <w:adjustRightInd w:val="0"/>
              <w:snapToGrid w:val="0"/>
              <w:spacing w:before="116" w:line="228" w:lineRule="auto"/>
              <w:ind w:left="8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等级</w:t>
            </w:r>
          </w:p>
        </w:tc>
        <w:tc>
          <w:tcPr>
            <w:tcW w:w="2159" w:type="dxa"/>
            <w:vAlign w:val="top"/>
          </w:tcPr>
          <w:p w14:paraId="11BCD9A3">
            <w:pPr>
              <w:kinsoku w:val="0"/>
              <w:autoSpaceDE w:val="0"/>
              <w:autoSpaceDN w:val="0"/>
              <w:adjustRightInd w:val="0"/>
              <w:snapToGrid w:val="0"/>
              <w:spacing w:before="115" w:line="264" w:lineRule="exact"/>
              <w:ind w:left="104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position w:val="1"/>
                <w:sz w:val="20"/>
                <w:szCs w:val="20"/>
                <w:lang w:val="en-US" w:eastAsia="en-US" w:bidi="ar-SA"/>
              </w:rPr>
              <w:t>Ⅰ</w:t>
            </w:r>
          </w:p>
        </w:tc>
        <w:tc>
          <w:tcPr>
            <w:tcW w:w="2159" w:type="dxa"/>
            <w:vAlign w:val="top"/>
          </w:tcPr>
          <w:p w14:paraId="175EA398">
            <w:pPr>
              <w:kinsoku w:val="0"/>
              <w:autoSpaceDE w:val="0"/>
              <w:autoSpaceDN w:val="0"/>
              <w:adjustRightInd w:val="0"/>
              <w:snapToGrid w:val="0"/>
              <w:spacing w:before="115" w:line="265" w:lineRule="exact"/>
              <w:ind w:left="101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position w:val="1"/>
                <w:sz w:val="20"/>
                <w:szCs w:val="20"/>
                <w:lang w:val="en-US" w:eastAsia="en-US" w:bidi="ar-SA"/>
              </w:rPr>
              <w:t>Ⅱ</w:t>
            </w:r>
          </w:p>
        </w:tc>
        <w:tc>
          <w:tcPr>
            <w:tcW w:w="2163" w:type="dxa"/>
            <w:vAlign w:val="top"/>
          </w:tcPr>
          <w:p w14:paraId="2844371F">
            <w:pPr>
              <w:kinsoku w:val="0"/>
              <w:autoSpaceDE w:val="0"/>
              <w:autoSpaceDN w:val="0"/>
              <w:adjustRightInd w:val="0"/>
              <w:snapToGrid w:val="0"/>
              <w:spacing w:before="115" w:line="265" w:lineRule="exact"/>
              <w:ind w:left="98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position w:val="1"/>
                <w:sz w:val="20"/>
                <w:szCs w:val="20"/>
                <w:lang w:val="en-US" w:eastAsia="en-US" w:bidi="ar-SA"/>
              </w:rPr>
              <w:t>Ⅲ</w:t>
            </w:r>
          </w:p>
        </w:tc>
      </w:tr>
      <w:tr w14:paraId="649279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2" w:hRule="atLeast"/>
        </w:trPr>
        <w:tc>
          <w:tcPr>
            <w:tcW w:w="2163" w:type="dxa"/>
            <w:vAlign w:val="top"/>
          </w:tcPr>
          <w:p w14:paraId="1E4590CB">
            <w:pPr>
              <w:kinsoku w:val="0"/>
              <w:autoSpaceDE w:val="0"/>
              <w:autoSpaceDN w:val="0"/>
              <w:adjustRightInd w:val="0"/>
              <w:snapToGrid w:val="0"/>
              <w:spacing w:before="117" w:line="229" w:lineRule="auto"/>
              <w:ind w:left="67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危险程度</w:t>
            </w:r>
          </w:p>
        </w:tc>
        <w:tc>
          <w:tcPr>
            <w:tcW w:w="2159" w:type="dxa"/>
            <w:vAlign w:val="top"/>
          </w:tcPr>
          <w:p w14:paraId="3F150AF5">
            <w:pPr>
              <w:kinsoku w:val="0"/>
              <w:autoSpaceDE w:val="0"/>
              <w:autoSpaceDN w:val="0"/>
              <w:adjustRightInd w:val="0"/>
              <w:snapToGrid w:val="0"/>
              <w:spacing w:before="117" w:line="228" w:lineRule="auto"/>
              <w:ind w:left="67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高度危险</w:t>
            </w:r>
          </w:p>
        </w:tc>
        <w:tc>
          <w:tcPr>
            <w:tcW w:w="2159" w:type="dxa"/>
            <w:vAlign w:val="top"/>
          </w:tcPr>
          <w:p w14:paraId="747C3851">
            <w:pPr>
              <w:kinsoku w:val="0"/>
              <w:autoSpaceDE w:val="0"/>
              <w:autoSpaceDN w:val="0"/>
              <w:adjustRightInd w:val="0"/>
              <w:snapToGrid w:val="0"/>
              <w:spacing w:before="117" w:line="229" w:lineRule="auto"/>
              <w:ind w:left="68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中度危险</w:t>
            </w:r>
          </w:p>
        </w:tc>
        <w:tc>
          <w:tcPr>
            <w:tcW w:w="2163" w:type="dxa"/>
            <w:vAlign w:val="top"/>
          </w:tcPr>
          <w:p w14:paraId="13DC7ABC">
            <w:pPr>
              <w:kinsoku w:val="0"/>
              <w:autoSpaceDE w:val="0"/>
              <w:autoSpaceDN w:val="0"/>
              <w:adjustRightInd w:val="0"/>
              <w:snapToGrid w:val="0"/>
              <w:spacing w:before="117" w:line="229" w:lineRule="auto"/>
              <w:ind w:left="66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低度危险</w:t>
            </w:r>
          </w:p>
        </w:tc>
      </w:tr>
    </w:tbl>
    <w:p w14:paraId="65A5B222">
      <w:pPr>
        <w:rPr>
          <w:rFonts w:hint="eastAsia"/>
          <w:lang w:val="en-US" w:eastAsia="zh-CN"/>
        </w:rPr>
      </w:pPr>
    </w:p>
    <w:p w14:paraId="11469D66">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val="en-US" w:eastAsia="zh-CN"/>
        </w:rPr>
      </w:pPr>
      <w:bookmarkStart w:id="211" w:name="_Toc5639"/>
      <w:r>
        <w:rPr>
          <w:rFonts w:hint="eastAsia" w:ascii="楷体" w:hAnsi="楷体" w:eastAsia="楷体" w:cs="楷体"/>
          <w:sz w:val="32"/>
          <w:szCs w:val="32"/>
          <w:lang w:val="en-US" w:eastAsia="zh-CN"/>
        </w:rPr>
        <w:t>4.3.2安全检查表法</w:t>
      </w:r>
      <w:bookmarkEnd w:id="211"/>
    </w:p>
    <w:p w14:paraId="3B9A968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sz w:val="28"/>
          <w:szCs w:val="28"/>
          <w:lang w:val="en-US" w:eastAsia="zh-CN"/>
        </w:rPr>
      </w:pPr>
      <w:r>
        <w:rPr>
          <w:rFonts w:hint="eastAsia"/>
          <w:sz w:val="28"/>
          <w:szCs w:val="28"/>
          <w:lang w:val="en-US" w:eastAsia="zh-CN"/>
        </w:rPr>
        <w:t>安全检查表法是系统安全工程的一种最基础、最简便、广泛应用的系统危险性评价方法，是一种定性分析方法。同时通过安全检查表检查，便于发现潜在危险及时制定措施加以整改，可以有效控制事故的发生。</w:t>
      </w:r>
    </w:p>
    <w:p w14:paraId="2A35AAC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sz w:val="28"/>
          <w:szCs w:val="28"/>
          <w:lang w:val="en-US" w:eastAsia="zh-CN"/>
        </w:rPr>
      </w:pPr>
      <w:r>
        <w:rPr>
          <w:rFonts w:hint="eastAsia"/>
          <w:sz w:val="28"/>
          <w:szCs w:val="28"/>
          <w:lang w:val="en-US" w:eastAsia="zh-CN"/>
        </w:rPr>
        <w:t>该评价方法以国家安全卫生法律法规、标准规范和企业内部安全卫生管理制度、操作规程等为依据，参考国内外的事故案例、本单位的经验教训以及利用其他安全分析方法分析获得的结果，在熟悉系统及系统各单元、收集各方面资料的基础上，编制符合客观实际、尽可能全面识别分析系统危险性的安全检查表。</w:t>
      </w:r>
    </w:p>
    <w:p w14:paraId="7FBAEE80">
      <w:pPr>
        <w:pStyle w:val="6"/>
        <w:bidi w:val="0"/>
        <w:rPr>
          <w:rFonts w:hint="eastAsia" w:ascii="楷体" w:hAnsi="楷体" w:eastAsia="楷体" w:cs="楷体"/>
          <w:sz w:val="32"/>
          <w:szCs w:val="32"/>
          <w:lang w:val="en-US" w:eastAsia="zh-CN"/>
        </w:rPr>
      </w:pPr>
      <w:bookmarkStart w:id="212" w:name="_Toc8825"/>
      <w:bookmarkStart w:id="213" w:name="_Toc20468420"/>
      <w:bookmarkStart w:id="214" w:name="_Toc28161"/>
      <w:bookmarkStart w:id="215" w:name="_Toc31854"/>
      <w:bookmarkStart w:id="216" w:name="_Toc25391"/>
      <w:r>
        <w:rPr>
          <w:rFonts w:hint="eastAsia" w:ascii="楷体" w:hAnsi="楷体" w:eastAsia="楷体" w:cs="楷体"/>
          <w:sz w:val="32"/>
          <w:szCs w:val="32"/>
          <w:lang w:val="en-US" w:eastAsia="zh-CN"/>
        </w:rPr>
        <w:t>4.3.3作业条件危险性评价法</w:t>
      </w:r>
      <w:bookmarkEnd w:id="212"/>
      <w:bookmarkEnd w:id="213"/>
      <w:bookmarkEnd w:id="214"/>
      <w:bookmarkEnd w:id="215"/>
      <w:bookmarkEnd w:id="216"/>
    </w:p>
    <w:p w14:paraId="3110C740">
      <w:pPr>
        <w:keepNext w:val="0"/>
        <w:keepLines w:val="0"/>
        <w:pageBreakBefore w:val="0"/>
        <w:widowControl w:val="0"/>
        <w:kinsoku/>
        <w:wordWrap/>
        <w:overflowPunct/>
        <w:topLinePunct w:val="0"/>
        <w:autoSpaceDE/>
        <w:autoSpaceDN/>
        <w:bidi w:val="0"/>
        <w:adjustRightInd/>
        <w:snapToGrid/>
        <w:spacing w:line="600" w:lineRule="exact"/>
        <w:ind w:firstLine="562" w:firstLineChars="200"/>
        <w:textAlignment w:val="auto"/>
        <w:rPr>
          <w:rFonts w:hint="eastAsia" w:ascii="楷体" w:hAnsi="楷体" w:eastAsia="楷体" w:cs="楷体"/>
          <w:b/>
          <w:bCs/>
          <w:sz w:val="28"/>
          <w:szCs w:val="28"/>
        </w:rPr>
      </w:pPr>
      <w:r>
        <w:rPr>
          <w:rFonts w:hint="eastAsia" w:ascii="楷体" w:hAnsi="楷体" w:eastAsia="楷体" w:cs="楷体"/>
          <w:b/>
          <w:bCs/>
          <w:sz w:val="28"/>
          <w:szCs w:val="28"/>
        </w:rPr>
        <w:t>4.</w:t>
      </w:r>
      <w:r>
        <w:rPr>
          <w:rFonts w:hint="eastAsia" w:ascii="楷体" w:hAnsi="楷体" w:eastAsia="楷体" w:cs="楷体"/>
          <w:b/>
          <w:bCs/>
          <w:sz w:val="28"/>
          <w:szCs w:val="28"/>
          <w:lang w:val="en-US" w:eastAsia="zh-CN"/>
        </w:rPr>
        <w:t>3</w:t>
      </w:r>
      <w:r>
        <w:rPr>
          <w:rFonts w:hint="eastAsia" w:ascii="楷体" w:hAnsi="楷体" w:eastAsia="楷体" w:cs="楷体"/>
          <w:b/>
          <w:bCs/>
          <w:sz w:val="28"/>
          <w:szCs w:val="28"/>
        </w:rPr>
        <w:t>.</w:t>
      </w:r>
      <w:r>
        <w:rPr>
          <w:rFonts w:hint="eastAsia" w:ascii="楷体" w:hAnsi="楷体" w:eastAsia="楷体" w:cs="楷体"/>
          <w:b/>
          <w:bCs/>
          <w:sz w:val="28"/>
          <w:szCs w:val="28"/>
          <w:lang w:val="en-US" w:eastAsia="zh-CN"/>
        </w:rPr>
        <w:t>3</w:t>
      </w:r>
      <w:r>
        <w:rPr>
          <w:rFonts w:hint="eastAsia" w:ascii="楷体" w:hAnsi="楷体" w:eastAsia="楷体" w:cs="楷体"/>
          <w:b/>
          <w:bCs/>
          <w:sz w:val="28"/>
          <w:szCs w:val="28"/>
        </w:rPr>
        <w:t>.1评价方法简介</w:t>
      </w:r>
    </w:p>
    <w:p w14:paraId="0F496351">
      <w:pPr>
        <w:spacing w:line="600" w:lineRule="exact"/>
        <w:ind w:firstLine="560" w:firstLineChars="200"/>
        <w:rPr>
          <w:rFonts w:cs="Times New Roman"/>
          <w:sz w:val="28"/>
          <w:szCs w:val="28"/>
        </w:rPr>
      </w:pPr>
      <w:r>
        <w:rPr>
          <w:rFonts w:hint="eastAsia" w:cs="宋体"/>
          <w:sz w:val="28"/>
          <w:szCs w:val="28"/>
        </w:rPr>
        <w:t>作业条件危险性评价法是一种简单易行的评价操作人员在具有潜在危险性环境中作业时的危险性的半定量评价方法。</w:t>
      </w:r>
    </w:p>
    <w:p w14:paraId="46F85839">
      <w:pPr>
        <w:spacing w:line="600" w:lineRule="exact"/>
        <w:ind w:firstLine="560" w:firstLineChars="200"/>
        <w:rPr>
          <w:rFonts w:hint="eastAsia" w:ascii="宋体" w:hAnsi="宋体" w:eastAsia="宋体" w:cs="宋体"/>
          <w:sz w:val="28"/>
          <w:szCs w:val="28"/>
        </w:rPr>
      </w:pPr>
      <w:r>
        <w:rPr>
          <w:rFonts w:hint="eastAsia" w:cs="宋体"/>
          <w:sz w:val="28"/>
          <w:szCs w:val="28"/>
        </w:rPr>
        <w:t>作业条件危险性评价法</w:t>
      </w:r>
      <w:r>
        <w:rPr>
          <w:rFonts w:hint="eastAsia" w:ascii="宋体" w:hAnsi="宋体" w:eastAsia="宋体" w:cs="宋体"/>
          <w:sz w:val="28"/>
          <w:szCs w:val="28"/>
        </w:rPr>
        <w:t>用与系统风险有关的三种因素指标值之积来评价操作人员伤亡风险大小，这三种因素是L：事故发生的可能性；E：人员暴露于危险环境中的频繁程度；C：一旦发生事故可能造成的后果。给三种因素的不同等级分别确定不同的分值，再以三个分值的乘积D来评价作业条件危险性的大小。即：D＝L×E×C。</w:t>
      </w:r>
    </w:p>
    <w:p w14:paraId="78ECB061">
      <w:pPr>
        <w:keepNext w:val="0"/>
        <w:keepLines w:val="0"/>
        <w:pageBreakBefore w:val="0"/>
        <w:widowControl w:val="0"/>
        <w:kinsoku/>
        <w:wordWrap/>
        <w:overflowPunct/>
        <w:topLinePunct w:val="0"/>
        <w:autoSpaceDE/>
        <w:autoSpaceDN/>
        <w:bidi w:val="0"/>
        <w:adjustRightInd/>
        <w:snapToGrid/>
        <w:spacing w:line="600" w:lineRule="exact"/>
        <w:ind w:firstLine="562" w:firstLineChars="200"/>
        <w:textAlignment w:val="auto"/>
        <w:rPr>
          <w:rFonts w:ascii="宋体" w:cs="Times New Roman"/>
          <w:b/>
          <w:bCs/>
          <w:sz w:val="28"/>
          <w:szCs w:val="28"/>
        </w:rPr>
      </w:pPr>
      <w:r>
        <w:rPr>
          <w:rFonts w:ascii="宋体" w:hAnsi="宋体" w:cs="宋体"/>
          <w:b/>
          <w:bCs/>
          <w:sz w:val="28"/>
          <w:szCs w:val="28"/>
        </w:rPr>
        <w:t>4.</w:t>
      </w:r>
      <w:r>
        <w:rPr>
          <w:rFonts w:hint="eastAsia" w:ascii="宋体" w:hAnsi="宋体" w:cs="宋体"/>
          <w:b/>
          <w:bCs/>
          <w:sz w:val="28"/>
          <w:szCs w:val="28"/>
          <w:lang w:val="en-US" w:eastAsia="zh-CN"/>
        </w:rPr>
        <w:t>3</w:t>
      </w:r>
      <w:r>
        <w:rPr>
          <w:rFonts w:ascii="宋体" w:hAnsi="宋体" w:cs="宋体"/>
          <w:b/>
          <w:bCs/>
          <w:sz w:val="28"/>
          <w:szCs w:val="28"/>
        </w:rPr>
        <w:t>.</w:t>
      </w:r>
      <w:r>
        <w:rPr>
          <w:rFonts w:hint="eastAsia" w:ascii="宋体" w:hAnsi="宋体" w:cs="宋体"/>
          <w:b/>
          <w:bCs/>
          <w:sz w:val="28"/>
          <w:szCs w:val="28"/>
          <w:lang w:val="en-US" w:eastAsia="zh-CN"/>
        </w:rPr>
        <w:t>3</w:t>
      </w:r>
      <w:r>
        <w:rPr>
          <w:rFonts w:ascii="宋体" w:hAnsi="宋体" w:cs="宋体"/>
          <w:b/>
          <w:bCs/>
          <w:sz w:val="28"/>
          <w:szCs w:val="28"/>
        </w:rPr>
        <w:t>.2</w:t>
      </w:r>
      <w:r>
        <w:rPr>
          <w:rFonts w:hint="eastAsia" w:ascii="宋体" w:hAnsi="宋体" w:cs="宋体"/>
          <w:b/>
          <w:bCs/>
          <w:sz w:val="28"/>
          <w:szCs w:val="28"/>
        </w:rPr>
        <w:t>评价步骤</w:t>
      </w:r>
    </w:p>
    <w:p w14:paraId="2041FCDE">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评价步骤为：</w:t>
      </w:r>
    </w:p>
    <w:p w14:paraId="156AC9E3">
      <w:pPr>
        <w:spacing w:line="600" w:lineRule="exact"/>
        <w:ind w:firstLine="560" w:firstLineChars="200"/>
        <w:rPr>
          <w:rFonts w:cs="Times New Roman"/>
          <w:sz w:val="28"/>
          <w:szCs w:val="28"/>
        </w:rPr>
      </w:pPr>
      <w:r>
        <w:rPr>
          <w:rFonts w:hint="eastAsia" w:ascii="宋体" w:hAnsi="宋体" w:eastAsia="宋体" w:cs="宋体"/>
          <w:sz w:val="28"/>
          <w:szCs w:val="28"/>
        </w:rPr>
        <w:t>1、以类比作业条件</w:t>
      </w:r>
      <w:r>
        <w:rPr>
          <w:rFonts w:hint="eastAsia" w:cs="宋体"/>
          <w:sz w:val="28"/>
          <w:szCs w:val="28"/>
        </w:rPr>
        <w:t>比较为基础，由熟悉作业条件的人员组成评价小组；</w:t>
      </w:r>
    </w:p>
    <w:p w14:paraId="6E7440A5">
      <w:pPr>
        <w:spacing w:line="600" w:lineRule="exact"/>
        <w:ind w:firstLine="528" w:firstLineChars="200"/>
        <w:rPr>
          <w:rFonts w:cs="Times New Roman"/>
          <w:spacing w:val="-8"/>
          <w:sz w:val="28"/>
          <w:szCs w:val="28"/>
        </w:rPr>
      </w:pPr>
      <w:r>
        <w:rPr>
          <w:rFonts w:hint="eastAsia" w:ascii="宋体" w:hAnsi="宋体" w:eastAsia="宋体" w:cs="宋体"/>
          <w:spacing w:val="-8"/>
          <w:sz w:val="28"/>
          <w:szCs w:val="28"/>
        </w:rPr>
        <w:t>2</w:t>
      </w:r>
      <w:r>
        <w:rPr>
          <w:rFonts w:hint="eastAsia" w:cs="宋体"/>
          <w:spacing w:val="-8"/>
          <w:sz w:val="28"/>
          <w:szCs w:val="28"/>
        </w:rPr>
        <w:t>、由评价小组成</w:t>
      </w:r>
      <w:r>
        <w:rPr>
          <w:rFonts w:hint="eastAsia" w:ascii="宋体" w:hAnsi="宋体" w:eastAsia="宋体" w:cs="宋体"/>
          <w:spacing w:val="-8"/>
          <w:sz w:val="28"/>
          <w:szCs w:val="28"/>
        </w:rPr>
        <w:t>员按照标准给L、E、C分别打分，取各组的平均值作为L、E、C的计算分值，用计算的危险性分值D来评价作业条件的危险性等级。</w:t>
      </w:r>
    </w:p>
    <w:p w14:paraId="7D7E8F2E">
      <w:pPr>
        <w:keepNext w:val="0"/>
        <w:keepLines w:val="0"/>
        <w:pageBreakBefore w:val="0"/>
        <w:widowControl w:val="0"/>
        <w:kinsoku/>
        <w:wordWrap/>
        <w:overflowPunct/>
        <w:topLinePunct w:val="0"/>
        <w:autoSpaceDE/>
        <w:autoSpaceDN/>
        <w:bidi w:val="0"/>
        <w:adjustRightInd/>
        <w:snapToGrid/>
        <w:spacing w:line="600" w:lineRule="exact"/>
        <w:ind w:firstLine="562" w:firstLineChars="200"/>
        <w:textAlignment w:val="auto"/>
        <w:rPr>
          <w:rFonts w:ascii="宋体" w:cs="Times New Roman"/>
          <w:b/>
          <w:bCs/>
          <w:sz w:val="28"/>
          <w:szCs w:val="28"/>
        </w:rPr>
      </w:pPr>
      <w:r>
        <w:rPr>
          <w:rFonts w:ascii="宋体" w:hAnsi="宋体" w:cs="宋体"/>
          <w:b/>
          <w:bCs/>
          <w:sz w:val="28"/>
          <w:szCs w:val="28"/>
        </w:rPr>
        <w:t>4.</w:t>
      </w:r>
      <w:r>
        <w:rPr>
          <w:rFonts w:hint="eastAsia" w:ascii="宋体" w:hAnsi="宋体" w:cs="宋体"/>
          <w:b/>
          <w:bCs/>
          <w:sz w:val="28"/>
          <w:szCs w:val="28"/>
          <w:lang w:val="en-US" w:eastAsia="zh-CN"/>
        </w:rPr>
        <w:t>3</w:t>
      </w:r>
      <w:r>
        <w:rPr>
          <w:rFonts w:ascii="宋体" w:hAnsi="宋体" w:cs="宋体"/>
          <w:b/>
          <w:bCs/>
          <w:sz w:val="28"/>
          <w:szCs w:val="28"/>
        </w:rPr>
        <w:t>.</w:t>
      </w:r>
      <w:r>
        <w:rPr>
          <w:rFonts w:hint="eastAsia" w:ascii="宋体" w:hAnsi="宋体" w:cs="宋体"/>
          <w:b/>
          <w:bCs/>
          <w:sz w:val="28"/>
          <w:szCs w:val="28"/>
          <w:lang w:val="en-US" w:eastAsia="zh-CN"/>
        </w:rPr>
        <w:t>3</w:t>
      </w:r>
      <w:r>
        <w:rPr>
          <w:rFonts w:ascii="宋体" w:hAnsi="宋体" w:cs="宋体"/>
          <w:b/>
          <w:bCs/>
          <w:sz w:val="28"/>
          <w:szCs w:val="28"/>
        </w:rPr>
        <w:t>.3</w:t>
      </w:r>
      <w:r>
        <w:rPr>
          <w:rFonts w:hint="eastAsia" w:ascii="宋体" w:hAnsi="宋体" w:cs="宋体"/>
          <w:b/>
          <w:bCs/>
          <w:sz w:val="28"/>
          <w:szCs w:val="28"/>
        </w:rPr>
        <w:t>赋分标准</w:t>
      </w:r>
    </w:p>
    <w:p w14:paraId="12838C42">
      <w:pPr>
        <w:keepNext w:val="0"/>
        <w:keepLines w:val="0"/>
        <w:pageBreakBefore w:val="0"/>
        <w:widowControl w:val="0"/>
        <w:kinsoku/>
        <w:wordWrap/>
        <w:overflowPunct/>
        <w:topLinePunct w:val="0"/>
        <w:autoSpaceDE/>
        <w:autoSpaceDN/>
        <w:bidi w:val="0"/>
        <w:adjustRightInd/>
        <w:snapToGrid/>
        <w:spacing w:line="600" w:lineRule="exact"/>
        <w:ind w:firstLine="528" w:firstLineChars="200"/>
        <w:textAlignment w:val="auto"/>
        <w:outlineLvl w:val="9"/>
        <w:rPr>
          <w:rFonts w:hint="eastAsia" w:ascii="宋体" w:hAnsi="宋体" w:eastAsia="宋体" w:cs="宋体"/>
          <w:spacing w:val="-8"/>
          <w:sz w:val="28"/>
          <w:szCs w:val="28"/>
        </w:rPr>
      </w:pPr>
      <w:r>
        <w:rPr>
          <w:rFonts w:hint="eastAsia" w:ascii="宋体" w:hAnsi="宋体" w:eastAsia="宋体" w:cs="宋体"/>
          <w:spacing w:val="-8"/>
          <w:sz w:val="28"/>
          <w:szCs w:val="28"/>
        </w:rPr>
        <w:t>1、事故发生的可能性（L）</w:t>
      </w:r>
    </w:p>
    <w:p w14:paraId="78BA042E">
      <w:pPr>
        <w:spacing w:line="600" w:lineRule="exact"/>
        <w:ind w:firstLine="528" w:firstLineChars="200"/>
        <w:rPr>
          <w:rFonts w:hint="eastAsia" w:ascii="宋体" w:hAnsi="宋体" w:eastAsia="宋体" w:cs="宋体"/>
          <w:spacing w:val="-8"/>
          <w:sz w:val="28"/>
          <w:szCs w:val="28"/>
        </w:rPr>
      </w:pPr>
      <w:r>
        <w:rPr>
          <w:rFonts w:hint="eastAsia" w:ascii="宋体" w:hAnsi="宋体" w:eastAsia="宋体" w:cs="宋体"/>
          <w:spacing w:val="-8"/>
          <w:sz w:val="28"/>
          <w:szCs w:val="28"/>
        </w:rPr>
        <w:t>事故发生的可能性用概率来表示时，绝对不可能发生的事故频率为0，而必然发生的事故概率为1。然而，从系统安全的角度考虑，绝对不发生的事故是不可能的，所以人为地将发生事故的可能性极小的分值定为0.1，而必然要发生的事故的分值定为10，以此为基础介于这两者之间的指定为若干中间值。见表4-</w:t>
      </w:r>
      <w:r>
        <w:rPr>
          <w:rFonts w:hint="eastAsia" w:ascii="宋体" w:hAnsi="宋体" w:cs="宋体"/>
          <w:spacing w:val="-8"/>
          <w:sz w:val="28"/>
          <w:szCs w:val="28"/>
          <w:lang w:val="en-US" w:eastAsia="zh-CN"/>
        </w:rPr>
        <w:t>4</w:t>
      </w:r>
      <w:r>
        <w:rPr>
          <w:rFonts w:hint="eastAsia" w:ascii="宋体" w:hAnsi="宋体" w:eastAsia="宋体" w:cs="宋体"/>
          <w:spacing w:val="-8"/>
          <w:sz w:val="28"/>
          <w:szCs w:val="28"/>
        </w:rPr>
        <w:t>。</w:t>
      </w:r>
    </w:p>
    <w:p w14:paraId="5582852F">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ascii="宋体" w:cs="Times New Roman"/>
          <w:b/>
          <w:bCs/>
          <w:sz w:val="24"/>
          <w:szCs w:val="24"/>
        </w:rPr>
      </w:pPr>
      <w:r>
        <w:rPr>
          <w:rFonts w:hint="eastAsia" w:ascii="宋体" w:hAnsi="宋体" w:cs="宋体"/>
          <w:b/>
          <w:bCs/>
          <w:sz w:val="24"/>
          <w:szCs w:val="24"/>
        </w:rPr>
        <w:t>表</w:t>
      </w:r>
      <w:r>
        <w:rPr>
          <w:rFonts w:ascii="宋体" w:hAnsi="宋体" w:cs="宋体"/>
          <w:b/>
          <w:bCs/>
          <w:sz w:val="24"/>
          <w:szCs w:val="24"/>
        </w:rPr>
        <w:t>4-</w:t>
      </w:r>
      <w:r>
        <w:rPr>
          <w:rFonts w:hint="eastAsia" w:ascii="宋体" w:hAnsi="宋体" w:cs="宋体"/>
          <w:b/>
          <w:bCs/>
          <w:sz w:val="24"/>
          <w:szCs w:val="24"/>
          <w:lang w:val="en-US" w:eastAsia="zh-CN"/>
        </w:rPr>
        <w:t>4</w:t>
      </w:r>
      <w:r>
        <w:rPr>
          <w:rFonts w:hint="eastAsia" w:ascii="宋体" w:hAnsi="宋体" w:cs="宋体"/>
          <w:b/>
          <w:bCs/>
          <w:sz w:val="24"/>
          <w:szCs w:val="24"/>
        </w:rPr>
        <w:t>事故发生的可能性（</w:t>
      </w:r>
      <w:r>
        <w:rPr>
          <w:rFonts w:ascii="宋体" w:hAnsi="宋体" w:cs="宋体"/>
          <w:b/>
          <w:bCs/>
          <w:sz w:val="24"/>
          <w:szCs w:val="24"/>
        </w:rPr>
        <w:t>L</w:t>
      </w:r>
      <w:r>
        <w:rPr>
          <w:rFonts w:hint="eastAsia" w:ascii="宋体" w:hAnsi="宋体" w:cs="宋体"/>
          <w:b/>
          <w:bCs/>
          <w:sz w:val="24"/>
          <w:szCs w:val="24"/>
        </w:rPr>
        <w:t>）</w:t>
      </w:r>
    </w:p>
    <w:tbl>
      <w:tblPr>
        <w:tblStyle w:val="19"/>
        <w:tblW w:w="9198"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6"/>
        <w:gridCol w:w="3373"/>
        <w:gridCol w:w="1124"/>
        <w:gridCol w:w="3475"/>
      </w:tblGrid>
      <w:tr w14:paraId="73418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exact"/>
        </w:trPr>
        <w:tc>
          <w:tcPr>
            <w:tcW w:w="1226" w:type="dxa"/>
            <w:vAlign w:val="center"/>
          </w:tcPr>
          <w:p w14:paraId="5B166B1E">
            <w:pPr>
              <w:spacing w:line="240" w:lineRule="atLeast"/>
              <w:jc w:val="center"/>
              <w:rPr>
                <w:rFonts w:hint="eastAsia" w:ascii="宋体" w:hAnsi="宋体" w:eastAsia="宋体" w:cs="宋体"/>
              </w:rPr>
            </w:pPr>
            <w:r>
              <w:rPr>
                <w:rFonts w:hint="eastAsia" w:ascii="宋体" w:hAnsi="宋体" w:eastAsia="宋体" w:cs="宋体"/>
              </w:rPr>
              <w:t>分数值</w:t>
            </w:r>
          </w:p>
        </w:tc>
        <w:tc>
          <w:tcPr>
            <w:tcW w:w="3373" w:type="dxa"/>
            <w:vAlign w:val="center"/>
          </w:tcPr>
          <w:p w14:paraId="52082406">
            <w:pPr>
              <w:spacing w:line="240" w:lineRule="atLeast"/>
              <w:jc w:val="center"/>
              <w:rPr>
                <w:rFonts w:hint="eastAsia" w:ascii="宋体" w:hAnsi="宋体" w:eastAsia="宋体" w:cs="宋体"/>
              </w:rPr>
            </w:pPr>
            <w:r>
              <w:rPr>
                <w:rFonts w:hint="eastAsia" w:ascii="宋体" w:hAnsi="宋体" w:eastAsia="宋体" w:cs="宋体"/>
              </w:rPr>
              <w:t>事故发生的可能性</w:t>
            </w:r>
          </w:p>
        </w:tc>
        <w:tc>
          <w:tcPr>
            <w:tcW w:w="1124" w:type="dxa"/>
            <w:vAlign w:val="center"/>
          </w:tcPr>
          <w:p w14:paraId="0D7BF8F4">
            <w:pPr>
              <w:spacing w:line="240" w:lineRule="atLeast"/>
              <w:jc w:val="center"/>
              <w:rPr>
                <w:rFonts w:hint="eastAsia" w:ascii="宋体" w:hAnsi="宋体" w:eastAsia="宋体" w:cs="宋体"/>
              </w:rPr>
            </w:pPr>
            <w:r>
              <w:rPr>
                <w:rFonts w:hint="eastAsia" w:ascii="宋体" w:hAnsi="宋体" w:eastAsia="宋体" w:cs="宋体"/>
              </w:rPr>
              <w:t>分数值</w:t>
            </w:r>
          </w:p>
        </w:tc>
        <w:tc>
          <w:tcPr>
            <w:tcW w:w="3475" w:type="dxa"/>
            <w:vAlign w:val="center"/>
          </w:tcPr>
          <w:p w14:paraId="44CF4D57">
            <w:pPr>
              <w:spacing w:line="240" w:lineRule="atLeast"/>
              <w:jc w:val="center"/>
              <w:rPr>
                <w:rFonts w:hint="eastAsia" w:ascii="宋体" w:hAnsi="宋体" w:eastAsia="宋体" w:cs="宋体"/>
              </w:rPr>
            </w:pPr>
            <w:r>
              <w:rPr>
                <w:rFonts w:hint="eastAsia" w:ascii="宋体" w:hAnsi="宋体" w:eastAsia="宋体" w:cs="宋体"/>
              </w:rPr>
              <w:t>事故发生的可能性</w:t>
            </w:r>
          </w:p>
        </w:tc>
      </w:tr>
      <w:tr w14:paraId="17B58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exact"/>
        </w:trPr>
        <w:tc>
          <w:tcPr>
            <w:tcW w:w="1226" w:type="dxa"/>
            <w:vAlign w:val="center"/>
          </w:tcPr>
          <w:p w14:paraId="642F3A39">
            <w:pPr>
              <w:spacing w:line="240" w:lineRule="atLeast"/>
              <w:jc w:val="center"/>
              <w:rPr>
                <w:rFonts w:hint="eastAsia" w:ascii="宋体" w:hAnsi="宋体" w:eastAsia="宋体" w:cs="宋体"/>
              </w:rPr>
            </w:pPr>
            <w:r>
              <w:rPr>
                <w:rFonts w:hint="eastAsia" w:ascii="宋体" w:hAnsi="宋体" w:eastAsia="宋体" w:cs="宋体"/>
              </w:rPr>
              <w:t>10</w:t>
            </w:r>
          </w:p>
        </w:tc>
        <w:tc>
          <w:tcPr>
            <w:tcW w:w="3373" w:type="dxa"/>
            <w:vAlign w:val="center"/>
          </w:tcPr>
          <w:p w14:paraId="40365D7B">
            <w:pPr>
              <w:spacing w:line="240" w:lineRule="atLeast"/>
              <w:jc w:val="center"/>
              <w:rPr>
                <w:rFonts w:hint="eastAsia" w:ascii="宋体" w:hAnsi="宋体" w:eastAsia="宋体" w:cs="宋体"/>
              </w:rPr>
            </w:pPr>
            <w:r>
              <w:rPr>
                <w:rFonts w:hint="eastAsia" w:ascii="宋体" w:hAnsi="宋体" w:eastAsia="宋体" w:cs="宋体"/>
              </w:rPr>
              <w:t>完全可以预料到</w:t>
            </w:r>
          </w:p>
        </w:tc>
        <w:tc>
          <w:tcPr>
            <w:tcW w:w="1124" w:type="dxa"/>
            <w:vAlign w:val="center"/>
          </w:tcPr>
          <w:p w14:paraId="35CD57F6">
            <w:pPr>
              <w:spacing w:line="240" w:lineRule="atLeast"/>
              <w:jc w:val="center"/>
              <w:rPr>
                <w:rFonts w:hint="eastAsia" w:ascii="宋体" w:hAnsi="宋体" w:eastAsia="宋体" w:cs="宋体"/>
              </w:rPr>
            </w:pPr>
            <w:r>
              <w:rPr>
                <w:rFonts w:hint="eastAsia" w:ascii="宋体" w:hAnsi="宋体" w:eastAsia="宋体" w:cs="宋体"/>
              </w:rPr>
              <w:t>0.5</w:t>
            </w:r>
          </w:p>
        </w:tc>
        <w:tc>
          <w:tcPr>
            <w:tcW w:w="3475" w:type="dxa"/>
            <w:vAlign w:val="center"/>
          </w:tcPr>
          <w:p w14:paraId="118A6512">
            <w:pPr>
              <w:spacing w:line="240" w:lineRule="atLeast"/>
              <w:jc w:val="center"/>
              <w:rPr>
                <w:rFonts w:hint="eastAsia" w:ascii="宋体" w:hAnsi="宋体" w:eastAsia="宋体" w:cs="宋体"/>
              </w:rPr>
            </w:pPr>
            <w:r>
              <w:rPr>
                <w:rFonts w:hint="eastAsia" w:ascii="宋体" w:hAnsi="宋体" w:eastAsia="宋体" w:cs="宋体"/>
              </w:rPr>
              <w:t>极不可能，可以设想</w:t>
            </w:r>
          </w:p>
        </w:tc>
      </w:tr>
      <w:tr w14:paraId="2CE48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exact"/>
        </w:trPr>
        <w:tc>
          <w:tcPr>
            <w:tcW w:w="1226" w:type="dxa"/>
            <w:vAlign w:val="center"/>
          </w:tcPr>
          <w:p w14:paraId="0F9CF3F9">
            <w:pPr>
              <w:spacing w:line="240" w:lineRule="atLeast"/>
              <w:jc w:val="center"/>
              <w:rPr>
                <w:rFonts w:hint="eastAsia" w:ascii="宋体" w:hAnsi="宋体" w:eastAsia="宋体" w:cs="宋体"/>
              </w:rPr>
            </w:pPr>
            <w:r>
              <w:rPr>
                <w:rFonts w:hint="eastAsia" w:ascii="宋体" w:hAnsi="宋体" w:eastAsia="宋体" w:cs="宋体"/>
              </w:rPr>
              <w:t>5</w:t>
            </w:r>
          </w:p>
        </w:tc>
        <w:tc>
          <w:tcPr>
            <w:tcW w:w="3373" w:type="dxa"/>
            <w:vAlign w:val="center"/>
          </w:tcPr>
          <w:p w14:paraId="74F82359">
            <w:pPr>
              <w:spacing w:line="240" w:lineRule="atLeast"/>
              <w:jc w:val="center"/>
              <w:rPr>
                <w:rFonts w:hint="eastAsia" w:ascii="宋体" w:hAnsi="宋体" w:eastAsia="宋体" w:cs="宋体"/>
              </w:rPr>
            </w:pPr>
            <w:r>
              <w:rPr>
                <w:rFonts w:hint="eastAsia" w:ascii="宋体" w:hAnsi="宋体" w:eastAsia="宋体" w:cs="宋体"/>
              </w:rPr>
              <w:t>相当可能</w:t>
            </w:r>
          </w:p>
        </w:tc>
        <w:tc>
          <w:tcPr>
            <w:tcW w:w="1124" w:type="dxa"/>
            <w:vAlign w:val="center"/>
          </w:tcPr>
          <w:p w14:paraId="2BAEA009">
            <w:pPr>
              <w:spacing w:line="240" w:lineRule="atLeast"/>
              <w:jc w:val="center"/>
              <w:rPr>
                <w:rFonts w:hint="eastAsia" w:ascii="宋体" w:hAnsi="宋体" w:eastAsia="宋体" w:cs="宋体"/>
              </w:rPr>
            </w:pPr>
            <w:r>
              <w:rPr>
                <w:rFonts w:hint="eastAsia" w:ascii="宋体" w:hAnsi="宋体" w:eastAsia="宋体" w:cs="宋体"/>
              </w:rPr>
              <w:t>0.2</w:t>
            </w:r>
          </w:p>
        </w:tc>
        <w:tc>
          <w:tcPr>
            <w:tcW w:w="3475" w:type="dxa"/>
            <w:vAlign w:val="center"/>
          </w:tcPr>
          <w:p w14:paraId="58553A9F">
            <w:pPr>
              <w:spacing w:line="240" w:lineRule="atLeast"/>
              <w:jc w:val="center"/>
              <w:rPr>
                <w:rFonts w:hint="eastAsia" w:ascii="宋体" w:hAnsi="宋体" w:eastAsia="宋体" w:cs="宋体"/>
              </w:rPr>
            </w:pPr>
            <w:r>
              <w:rPr>
                <w:rFonts w:hint="eastAsia" w:ascii="宋体" w:hAnsi="宋体" w:eastAsia="宋体" w:cs="宋体"/>
              </w:rPr>
              <w:t>极不可能</w:t>
            </w:r>
          </w:p>
        </w:tc>
      </w:tr>
      <w:tr w14:paraId="2C15F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exact"/>
        </w:trPr>
        <w:tc>
          <w:tcPr>
            <w:tcW w:w="1226" w:type="dxa"/>
            <w:vAlign w:val="center"/>
          </w:tcPr>
          <w:p w14:paraId="245EA3B8">
            <w:pPr>
              <w:spacing w:line="240" w:lineRule="atLeast"/>
              <w:jc w:val="center"/>
              <w:rPr>
                <w:rFonts w:hint="eastAsia" w:ascii="宋体" w:hAnsi="宋体" w:eastAsia="宋体" w:cs="宋体"/>
              </w:rPr>
            </w:pPr>
            <w:r>
              <w:rPr>
                <w:rFonts w:hint="eastAsia" w:ascii="宋体" w:hAnsi="宋体" w:eastAsia="宋体" w:cs="宋体"/>
              </w:rPr>
              <w:t>3</w:t>
            </w:r>
          </w:p>
        </w:tc>
        <w:tc>
          <w:tcPr>
            <w:tcW w:w="3373" w:type="dxa"/>
            <w:vAlign w:val="center"/>
          </w:tcPr>
          <w:p w14:paraId="4B75AA5D">
            <w:pPr>
              <w:spacing w:line="240" w:lineRule="atLeast"/>
              <w:jc w:val="center"/>
              <w:rPr>
                <w:rFonts w:hint="eastAsia" w:ascii="宋体" w:hAnsi="宋体" w:eastAsia="宋体" w:cs="宋体"/>
              </w:rPr>
            </w:pPr>
            <w:r>
              <w:rPr>
                <w:rFonts w:hint="eastAsia" w:ascii="宋体" w:hAnsi="宋体" w:eastAsia="宋体" w:cs="宋体"/>
              </w:rPr>
              <w:t>可能，但不经常</w:t>
            </w:r>
          </w:p>
        </w:tc>
        <w:tc>
          <w:tcPr>
            <w:tcW w:w="1124" w:type="dxa"/>
            <w:vAlign w:val="center"/>
          </w:tcPr>
          <w:p w14:paraId="78008369">
            <w:pPr>
              <w:spacing w:line="240" w:lineRule="atLeast"/>
              <w:jc w:val="center"/>
              <w:rPr>
                <w:rFonts w:hint="eastAsia" w:ascii="宋体" w:hAnsi="宋体" w:eastAsia="宋体" w:cs="宋体"/>
              </w:rPr>
            </w:pPr>
            <w:r>
              <w:rPr>
                <w:rFonts w:hint="eastAsia" w:ascii="宋体" w:hAnsi="宋体" w:eastAsia="宋体" w:cs="宋体"/>
              </w:rPr>
              <w:t>0.1</w:t>
            </w:r>
          </w:p>
        </w:tc>
        <w:tc>
          <w:tcPr>
            <w:tcW w:w="3475" w:type="dxa"/>
            <w:vAlign w:val="center"/>
          </w:tcPr>
          <w:p w14:paraId="798A1918">
            <w:pPr>
              <w:spacing w:line="240" w:lineRule="atLeast"/>
              <w:jc w:val="center"/>
              <w:rPr>
                <w:rFonts w:hint="eastAsia" w:ascii="宋体" w:hAnsi="宋体" w:eastAsia="宋体" w:cs="宋体"/>
              </w:rPr>
            </w:pPr>
            <w:r>
              <w:rPr>
                <w:rFonts w:hint="eastAsia" w:ascii="宋体" w:hAnsi="宋体" w:eastAsia="宋体" w:cs="宋体"/>
              </w:rPr>
              <w:t>实际不可能</w:t>
            </w:r>
          </w:p>
        </w:tc>
      </w:tr>
      <w:tr w14:paraId="0029B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exact"/>
        </w:trPr>
        <w:tc>
          <w:tcPr>
            <w:tcW w:w="1226" w:type="dxa"/>
            <w:vAlign w:val="center"/>
          </w:tcPr>
          <w:p w14:paraId="1CD851ED">
            <w:pPr>
              <w:spacing w:line="240" w:lineRule="atLeast"/>
              <w:jc w:val="center"/>
              <w:rPr>
                <w:rFonts w:hint="eastAsia" w:ascii="宋体" w:hAnsi="宋体" w:eastAsia="宋体" w:cs="宋体"/>
              </w:rPr>
            </w:pPr>
            <w:r>
              <w:rPr>
                <w:rFonts w:hint="eastAsia" w:ascii="宋体" w:hAnsi="宋体" w:eastAsia="宋体" w:cs="宋体"/>
              </w:rPr>
              <w:t>1</w:t>
            </w:r>
          </w:p>
        </w:tc>
        <w:tc>
          <w:tcPr>
            <w:tcW w:w="3373" w:type="dxa"/>
            <w:vAlign w:val="center"/>
          </w:tcPr>
          <w:p w14:paraId="6C7E1C0D">
            <w:pPr>
              <w:spacing w:line="240" w:lineRule="atLeast"/>
              <w:jc w:val="center"/>
              <w:rPr>
                <w:rFonts w:hint="eastAsia" w:ascii="宋体" w:hAnsi="宋体" w:eastAsia="宋体" w:cs="宋体"/>
              </w:rPr>
            </w:pPr>
            <w:r>
              <w:rPr>
                <w:rFonts w:hint="eastAsia" w:ascii="宋体" w:hAnsi="宋体" w:eastAsia="宋体" w:cs="宋体"/>
              </w:rPr>
              <w:t>可能性小，完全意外</w:t>
            </w:r>
          </w:p>
        </w:tc>
        <w:tc>
          <w:tcPr>
            <w:tcW w:w="1124" w:type="dxa"/>
            <w:vAlign w:val="center"/>
          </w:tcPr>
          <w:p w14:paraId="43245C1E">
            <w:pPr>
              <w:spacing w:line="240" w:lineRule="atLeast"/>
              <w:jc w:val="center"/>
              <w:rPr>
                <w:rFonts w:hint="eastAsia" w:ascii="宋体" w:hAnsi="宋体" w:eastAsia="宋体" w:cs="宋体"/>
              </w:rPr>
            </w:pPr>
            <w:r>
              <w:rPr>
                <w:rFonts w:hint="eastAsia" w:ascii="宋体" w:hAnsi="宋体" w:eastAsia="宋体" w:cs="宋体"/>
              </w:rPr>
              <w:t>--</w:t>
            </w:r>
          </w:p>
        </w:tc>
        <w:tc>
          <w:tcPr>
            <w:tcW w:w="3475" w:type="dxa"/>
            <w:vAlign w:val="center"/>
          </w:tcPr>
          <w:p w14:paraId="108C5A6C">
            <w:pPr>
              <w:spacing w:line="240" w:lineRule="atLeast"/>
              <w:jc w:val="center"/>
              <w:rPr>
                <w:rFonts w:hint="eastAsia" w:ascii="宋体" w:hAnsi="宋体" w:eastAsia="宋体" w:cs="宋体"/>
              </w:rPr>
            </w:pPr>
            <w:r>
              <w:rPr>
                <w:rFonts w:hint="eastAsia" w:ascii="宋体" w:hAnsi="宋体" w:eastAsia="宋体" w:cs="宋体"/>
              </w:rPr>
              <w:t>--</w:t>
            </w:r>
          </w:p>
        </w:tc>
      </w:tr>
    </w:tbl>
    <w:p w14:paraId="4489298F">
      <w:pPr>
        <w:keepNext w:val="0"/>
        <w:keepLines w:val="0"/>
        <w:pageBreakBefore w:val="0"/>
        <w:widowControl w:val="0"/>
        <w:kinsoku/>
        <w:wordWrap/>
        <w:overflowPunct/>
        <w:topLinePunct w:val="0"/>
        <w:autoSpaceDE/>
        <w:autoSpaceDN/>
        <w:bidi w:val="0"/>
        <w:adjustRightInd/>
        <w:snapToGrid/>
        <w:spacing w:line="600" w:lineRule="exact"/>
        <w:ind w:firstLine="528" w:firstLineChars="200"/>
        <w:textAlignment w:val="auto"/>
        <w:outlineLvl w:val="9"/>
        <w:rPr>
          <w:rFonts w:hint="eastAsia" w:ascii="宋体" w:hAnsi="宋体" w:eastAsia="宋体" w:cs="宋体"/>
          <w:spacing w:val="-8"/>
          <w:sz w:val="28"/>
          <w:szCs w:val="28"/>
        </w:rPr>
      </w:pPr>
      <w:r>
        <w:rPr>
          <w:rFonts w:hint="eastAsia" w:ascii="宋体" w:hAnsi="宋体" w:eastAsia="宋体" w:cs="宋体"/>
          <w:spacing w:val="-8"/>
          <w:sz w:val="28"/>
          <w:szCs w:val="28"/>
        </w:rPr>
        <w:t>2、人员暴露于危险环境的频繁程度（E）</w:t>
      </w:r>
    </w:p>
    <w:p w14:paraId="3A12A9B7">
      <w:pPr>
        <w:spacing w:line="600" w:lineRule="exact"/>
        <w:ind w:firstLine="528" w:firstLineChars="200"/>
        <w:rPr>
          <w:rFonts w:hint="eastAsia" w:ascii="宋体" w:hAnsi="宋体" w:eastAsia="宋体" w:cs="宋体"/>
          <w:spacing w:val="-8"/>
          <w:sz w:val="28"/>
          <w:szCs w:val="28"/>
        </w:rPr>
      </w:pPr>
      <w:r>
        <w:rPr>
          <w:rFonts w:hint="eastAsia" w:ascii="宋体" w:hAnsi="宋体" w:eastAsia="宋体" w:cs="宋体"/>
          <w:spacing w:val="-8"/>
          <w:sz w:val="28"/>
          <w:szCs w:val="28"/>
        </w:rPr>
        <w:t>人员暴露于危险环境中的时间越多，受到伤害的可能性越大，相应的危险性也越大。规定人员连续出现在危险环境的情况分值为10，而非常罕见地出现在危险环境中的情况分值为0.5，介于两者之间的各种情况规定若干个中间值。见表4-</w:t>
      </w:r>
      <w:r>
        <w:rPr>
          <w:rFonts w:hint="eastAsia" w:ascii="宋体" w:hAnsi="宋体" w:cs="宋体"/>
          <w:spacing w:val="-8"/>
          <w:sz w:val="28"/>
          <w:szCs w:val="28"/>
          <w:lang w:val="en-US" w:eastAsia="zh-CN"/>
        </w:rPr>
        <w:t>5</w:t>
      </w:r>
      <w:r>
        <w:rPr>
          <w:rFonts w:hint="eastAsia" w:ascii="宋体" w:hAnsi="宋体" w:eastAsia="宋体" w:cs="宋体"/>
          <w:spacing w:val="-8"/>
          <w:sz w:val="28"/>
          <w:szCs w:val="28"/>
        </w:rPr>
        <w:t>。</w:t>
      </w:r>
    </w:p>
    <w:p w14:paraId="2B770E25">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ascii="宋体" w:cs="Times New Roman"/>
          <w:b/>
          <w:bCs/>
          <w:sz w:val="24"/>
          <w:szCs w:val="24"/>
        </w:rPr>
      </w:pPr>
      <w:r>
        <w:rPr>
          <w:rFonts w:hint="eastAsia" w:ascii="宋体" w:hAnsi="宋体" w:cs="宋体"/>
          <w:b/>
          <w:bCs/>
          <w:sz w:val="24"/>
          <w:szCs w:val="24"/>
        </w:rPr>
        <w:t>表</w:t>
      </w:r>
      <w:r>
        <w:rPr>
          <w:rFonts w:ascii="宋体" w:hAnsi="宋体" w:cs="宋体"/>
          <w:b/>
          <w:bCs/>
          <w:sz w:val="24"/>
          <w:szCs w:val="24"/>
        </w:rPr>
        <w:t>4-</w:t>
      </w:r>
      <w:r>
        <w:rPr>
          <w:rFonts w:hint="eastAsia" w:ascii="宋体" w:hAnsi="宋体" w:cs="宋体"/>
          <w:b/>
          <w:bCs/>
          <w:sz w:val="24"/>
          <w:szCs w:val="24"/>
          <w:lang w:val="en-US" w:eastAsia="zh-CN"/>
        </w:rPr>
        <w:t>5</w:t>
      </w:r>
      <w:r>
        <w:rPr>
          <w:rFonts w:hint="eastAsia" w:ascii="宋体" w:hAnsi="宋体" w:cs="宋体"/>
          <w:b/>
          <w:bCs/>
          <w:sz w:val="24"/>
          <w:szCs w:val="24"/>
        </w:rPr>
        <w:t>人员暴露于危险环境的频繁程度（</w:t>
      </w:r>
      <w:r>
        <w:rPr>
          <w:rFonts w:ascii="宋体" w:hAnsi="宋体" w:cs="宋体"/>
          <w:b/>
          <w:bCs/>
          <w:sz w:val="24"/>
          <w:szCs w:val="24"/>
        </w:rPr>
        <w:t>E</w:t>
      </w:r>
      <w:r>
        <w:rPr>
          <w:rFonts w:hint="eastAsia" w:ascii="宋体" w:hAnsi="宋体" w:cs="宋体"/>
          <w:b/>
          <w:bCs/>
          <w:sz w:val="24"/>
          <w:szCs w:val="24"/>
        </w:rPr>
        <w:t>）</w:t>
      </w:r>
    </w:p>
    <w:tbl>
      <w:tblPr>
        <w:tblStyle w:val="19"/>
        <w:tblW w:w="9137"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3038"/>
        <w:gridCol w:w="1211"/>
        <w:gridCol w:w="3520"/>
      </w:tblGrid>
      <w:tr w14:paraId="23588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6" w:hRule="atLeast"/>
        </w:trPr>
        <w:tc>
          <w:tcPr>
            <w:tcW w:w="1368" w:type="dxa"/>
            <w:vAlign w:val="center"/>
          </w:tcPr>
          <w:p w14:paraId="2A2685CE">
            <w:pPr>
              <w:spacing w:line="260" w:lineRule="exact"/>
              <w:jc w:val="center"/>
              <w:rPr>
                <w:rFonts w:hint="eastAsia" w:ascii="宋体" w:hAnsi="宋体" w:eastAsia="宋体" w:cs="宋体"/>
              </w:rPr>
            </w:pPr>
            <w:r>
              <w:rPr>
                <w:rFonts w:hint="eastAsia" w:ascii="宋体" w:hAnsi="宋体" w:eastAsia="宋体" w:cs="宋体"/>
              </w:rPr>
              <w:t>分数值</w:t>
            </w:r>
          </w:p>
        </w:tc>
        <w:tc>
          <w:tcPr>
            <w:tcW w:w="3038" w:type="dxa"/>
            <w:vAlign w:val="center"/>
          </w:tcPr>
          <w:p w14:paraId="6C7624C8">
            <w:pPr>
              <w:spacing w:line="260" w:lineRule="exact"/>
              <w:jc w:val="center"/>
              <w:rPr>
                <w:rFonts w:hint="eastAsia" w:ascii="宋体" w:hAnsi="宋体" w:eastAsia="宋体" w:cs="宋体"/>
              </w:rPr>
            </w:pPr>
            <w:r>
              <w:rPr>
                <w:rFonts w:hint="eastAsia" w:ascii="宋体" w:hAnsi="宋体" w:eastAsia="宋体" w:cs="宋体"/>
              </w:rPr>
              <w:t>人员暴露于危险</w:t>
            </w:r>
          </w:p>
          <w:p w14:paraId="23E5C057">
            <w:pPr>
              <w:spacing w:line="260" w:lineRule="exact"/>
              <w:jc w:val="center"/>
              <w:rPr>
                <w:rFonts w:hint="eastAsia" w:ascii="宋体" w:hAnsi="宋体" w:eastAsia="宋体" w:cs="宋体"/>
              </w:rPr>
            </w:pPr>
            <w:r>
              <w:rPr>
                <w:rFonts w:hint="eastAsia" w:ascii="宋体" w:hAnsi="宋体" w:eastAsia="宋体" w:cs="宋体"/>
              </w:rPr>
              <w:t>环境的频繁程度</w:t>
            </w:r>
          </w:p>
        </w:tc>
        <w:tc>
          <w:tcPr>
            <w:tcW w:w="1211" w:type="dxa"/>
            <w:vAlign w:val="center"/>
          </w:tcPr>
          <w:p w14:paraId="472A6519">
            <w:pPr>
              <w:spacing w:line="260" w:lineRule="exact"/>
              <w:jc w:val="center"/>
              <w:rPr>
                <w:rFonts w:hint="eastAsia" w:ascii="宋体" w:hAnsi="宋体" w:eastAsia="宋体" w:cs="宋体"/>
              </w:rPr>
            </w:pPr>
            <w:r>
              <w:rPr>
                <w:rFonts w:hint="eastAsia" w:ascii="宋体" w:hAnsi="宋体" w:eastAsia="宋体" w:cs="宋体"/>
              </w:rPr>
              <w:t>分数值</w:t>
            </w:r>
          </w:p>
        </w:tc>
        <w:tc>
          <w:tcPr>
            <w:tcW w:w="3520" w:type="dxa"/>
            <w:vAlign w:val="center"/>
          </w:tcPr>
          <w:p w14:paraId="557E17DE">
            <w:pPr>
              <w:spacing w:line="260" w:lineRule="exact"/>
              <w:jc w:val="center"/>
              <w:rPr>
                <w:rFonts w:hint="eastAsia" w:ascii="宋体" w:hAnsi="宋体" w:eastAsia="宋体" w:cs="宋体"/>
              </w:rPr>
            </w:pPr>
            <w:r>
              <w:rPr>
                <w:rFonts w:hint="eastAsia" w:ascii="宋体" w:hAnsi="宋体" w:eastAsia="宋体" w:cs="宋体"/>
              </w:rPr>
              <w:t>人员暴露于危险</w:t>
            </w:r>
          </w:p>
          <w:p w14:paraId="60A0FE1B">
            <w:pPr>
              <w:spacing w:line="260" w:lineRule="exact"/>
              <w:jc w:val="center"/>
              <w:rPr>
                <w:rFonts w:hint="eastAsia" w:ascii="宋体" w:hAnsi="宋体" w:eastAsia="宋体" w:cs="宋体"/>
              </w:rPr>
            </w:pPr>
            <w:r>
              <w:rPr>
                <w:rFonts w:hint="eastAsia" w:ascii="宋体" w:hAnsi="宋体" w:eastAsia="宋体" w:cs="宋体"/>
              </w:rPr>
              <w:t>环境的频繁程度</w:t>
            </w:r>
          </w:p>
        </w:tc>
      </w:tr>
      <w:tr w14:paraId="76A92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exact"/>
        </w:trPr>
        <w:tc>
          <w:tcPr>
            <w:tcW w:w="1368" w:type="dxa"/>
            <w:vAlign w:val="center"/>
          </w:tcPr>
          <w:p w14:paraId="58F194AF">
            <w:pPr>
              <w:jc w:val="center"/>
              <w:rPr>
                <w:rFonts w:hint="eastAsia" w:ascii="宋体" w:hAnsi="宋体" w:eastAsia="宋体" w:cs="宋体"/>
              </w:rPr>
            </w:pPr>
            <w:r>
              <w:rPr>
                <w:rFonts w:hint="eastAsia" w:ascii="宋体" w:hAnsi="宋体" w:eastAsia="宋体" w:cs="宋体"/>
              </w:rPr>
              <w:t>10</w:t>
            </w:r>
          </w:p>
        </w:tc>
        <w:tc>
          <w:tcPr>
            <w:tcW w:w="3038" w:type="dxa"/>
            <w:vAlign w:val="center"/>
          </w:tcPr>
          <w:p w14:paraId="31267656">
            <w:pPr>
              <w:jc w:val="center"/>
              <w:rPr>
                <w:rFonts w:hint="eastAsia" w:ascii="宋体" w:hAnsi="宋体" w:eastAsia="宋体" w:cs="宋体"/>
              </w:rPr>
            </w:pPr>
            <w:r>
              <w:rPr>
                <w:rFonts w:hint="eastAsia" w:ascii="宋体" w:hAnsi="宋体" w:eastAsia="宋体" w:cs="宋体"/>
              </w:rPr>
              <w:t>连续暴露</w:t>
            </w:r>
          </w:p>
        </w:tc>
        <w:tc>
          <w:tcPr>
            <w:tcW w:w="1211" w:type="dxa"/>
            <w:vAlign w:val="center"/>
          </w:tcPr>
          <w:p w14:paraId="2A3A1546">
            <w:pPr>
              <w:jc w:val="center"/>
              <w:rPr>
                <w:rFonts w:hint="eastAsia" w:ascii="宋体" w:hAnsi="宋体" w:eastAsia="宋体" w:cs="宋体"/>
              </w:rPr>
            </w:pPr>
            <w:r>
              <w:rPr>
                <w:rFonts w:hint="eastAsia" w:ascii="宋体" w:hAnsi="宋体" w:eastAsia="宋体" w:cs="宋体"/>
              </w:rPr>
              <w:t>2</w:t>
            </w:r>
          </w:p>
        </w:tc>
        <w:tc>
          <w:tcPr>
            <w:tcW w:w="3520" w:type="dxa"/>
            <w:vAlign w:val="center"/>
          </w:tcPr>
          <w:p w14:paraId="4E673E7F">
            <w:pPr>
              <w:jc w:val="center"/>
              <w:rPr>
                <w:rFonts w:hint="eastAsia" w:ascii="宋体" w:hAnsi="宋体" w:eastAsia="宋体" w:cs="宋体"/>
              </w:rPr>
            </w:pPr>
            <w:r>
              <w:rPr>
                <w:rFonts w:hint="eastAsia" w:ascii="宋体" w:hAnsi="宋体" w:eastAsia="宋体" w:cs="宋体"/>
              </w:rPr>
              <w:t>每月一次暴露</w:t>
            </w:r>
          </w:p>
        </w:tc>
      </w:tr>
      <w:tr w14:paraId="041F1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exact"/>
        </w:trPr>
        <w:tc>
          <w:tcPr>
            <w:tcW w:w="1368" w:type="dxa"/>
            <w:vAlign w:val="center"/>
          </w:tcPr>
          <w:p w14:paraId="12EF4B28">
            <w:pPr>
              <w:jc w:val="center"/>
              <w:rPr>
                <w:rFonts w:hint="eastAsia" w:ascii="宋体" w:hAnsi="宋体" w:eastAsia="宋体" w:cs="宋体"/>
              </w:rPr>
            </w:pPr>
            <w:r>
              <w:rPr>
                <w:rFonts w:hint="eastAsia" w:ascii="宋体" w:hAnsi="宋体" w:eastAsia="宋体" w:cs="宋体"/>
              </w:rPr>
              <w:t>6</w:t>
            </w:r>
          </w:p>
        </w:tc>
        <w:tc>
          <w:tcPr>
            <w:tcW w:w="3038" w:type="dxa"/>
            <w:vAlign w:val="center"/>
          </w:tcPr>
          <w:p w14:paraId="5A0FE9DE">
            <w:pPr>
              <w:jc w:val="center"/>
              <w:rPr>
                <w:rFonts w:hint="eastAsia" w:ascii="宋体" w:hAnsi="宋体" w:eastAsia="宋体" w:cs="宋体"/>
              </w:rPr>
            </w:pPr>
            <w:r>
              <w:rPr>
                <w:rFonts w:hint="eastAsia" w:ascii="宋体" w:hAnsi="宋体" w:eastAsia="宋体" w:cs="宋体"/>
              </w:rPr>
              <w:t>每天工作时间暴露</w:t>
            </w:r>
          </w:p>
        </w:tc>
        <w:tc>
          <w:tcPr>
            <w:tcW w:w="1211" w:type="dxa"/>
            <w:vAlign w:val="center"/>
          </w:tcPr>
          <w:p w14:paraId="68B92E38">
            <w:pPr>
              <w:jc w:val="center"/>
              <w:rPr>
                <w:rFonts w:hint="eastAsia" w:ascii="宋体" w:hAnsi="宋体" w:eastAsia="宋体" w:cs="宋体"/>
              </w:rPr>
            </w:pPr>
            <w:r>
              <w:rPr>
                <w:rFonts w:hint="eastAsia" w:ascii="宋体" w:hAnsi="宋体" w:eastAsia="宋体" w:cs="宋体"/>
              </w:rPr>
              <w:t>1</w:t>
            </w:r>
          </w:p>
        </w:tc>
        <w:tc>
          <w:tcPr>
            <w:tcW w:w="3520" w:type="dxa"/>
            <w:vAlign w:val="center"/>
          </w:tcPr>
          <w:p w14:paraId="386A4CAE">
            <w:pPr>
              <w:jc w:val="center"/>
              <w:rPr>
                <w:rFonts w:hint="eastAsia" w:ascii="宋体" w:hAnsi="宋体" w:eastAsia="宋体" w:cs="宋体"/>
              </w:rPr>
            </w:pPr>
            <w:r>
              <w:rPr>
                <w:rFonts w:hint="eastAsia" w:ascii="宋体" w:hAnsi="宋体" w:eastAsia="宋体" w:cs="宋体"/>
              </w:rPr>
              <w:t>每年几次暴露</w:t>
            </w:r>
          </w:p>
        </w:tc>
      </w:tr>
      <w:tr w14:paraId="7A519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exact"/>
        </w:trPr>
        <w:tc>
          <w:tcPr>
            <w:tcW w:w="1368" w:type="dxa"/>
            <w:vAlign w:val="center"/>
          </w:tcPr>
          <w:p w14:paraId="7A2FEDFA">
            <w:pPr>
              <w:jc w:val="center"/>
              <w:rPr>
                <w:rFonts w:hint="eastAsia" w:ascii="宋体" w:hAnsi="宋体" w:eastAsia="宋体" w:cs="宋体"/>
              </w:rPr>
            </w:pPr>
            <w:r>
              <w:rPr>
                <w:rFonts w:hint="eastAsia" w:ascii="宋体" w:hAnsi="宋体" w:eastAsia="宋体" w:cs="宋体"/>
              </w:rPr>
              <w:t>3</w:t>
            </w:r>
          </w:p>
        </w:tc>
        <w:tc>
          <w:tcPr>
            <w:tcW w:w="3038" w:type="dxa"/>
            <w:vAlign w:val="center"/>
          </w:tcPr>
          <w:p w14:paraId="12569E2F">
            <w:pPr>
              <w:jc w:val="center"/>
              <w:rPr>
                <w:rFonts w:hint="eastAsia" w:ascii="宋体" w:hAnsi="宋体" w:eastAsia="宋体" w:cs="宋体"/>
              </w:rPr>
            </w:pPr>
            <w:r>
              <w:rPr>
                <w:rFonts w:hint="eastAsia" w:ascii="宋体" w:hAnsi="宋体" w:eastAsia="宋体" w:cs="宋体"/>
              </w:rPr>
              <w:t>每周一次，或偶然暴露</w:t>
            </w:r>
          </w:p>
        </w:tc>
        <w:tc>
          <w:tcPr>
            <w:tcW w:w="1211" w:type="dxa"/>
            <w:vAlign w:val="center"/>
          </w:tcPr>
          <w:p w14:paraId="33F48DA6">
            <w:pPr>
              <w:jc w:val="center"/>
              <w:rPr>
                <w:rFonts w:hint="eastAsia" w:ascii="宋体" w:hAnsi="宋体" w:eastAsia="宋体" w:cs="宋体"/>
              </w:rPr>
            </w:pPr>
            <w:r>
              <w:rPr>
                <w:rFonts w:hint="eastAsia" w:ascii="宋体" w:hAnsi="宋体" w:eastAsia="宋体" w:cs="宋体"/>
              </w:rPr>
              <w:t>0.5</w:t>
            </w:r>
          </w:p>
        </w:tc>
        <w:tc>
          <w:tcPr>
            <w:tcW w:w="3520" w:type="dxa"/>
            <w:vAlign w:val="center"/>
          </w:tcPr>
          <w:p w14:paraId="2EC49A0C">
            <w:pPr>
              <w:jc w:val="center"/>
              <w:rPr>
                <w:rFonts w:hint="eastAsia" w:ascii="宋体" w:hAnsi="宋体" w:eastAsia="宋体" w:cs="宋体"/>
              </w:rPr>
            </w:pPr>
            <w:r>
              <w:rPr>
                <w:rFonts w:hint="eastAsia" w:ascii="宋体" w:hAnsi="宋体" w:eastAsia="宋体" w:cs="宋体"/>
              </w:rPr>
              <w:t>非常罕见的暴露</w:t>
            </w:r>
          </w:p>
        </w:tc>
      </w:tr>
    </w:tbl>
    <w:p w14:paraId="50EECA4E">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outlineLvl w:val="9"/>
        <w:rPr>
          <w:rFonts w:hint="eastAsia" w:ascii="宋体" w:hAnsi="宋体" w:eastAsia="宋体" w:cs="宋体"/>
          <w:sz w:val="28"/>
          <w:szCs w:val="28"/>
        </w:rPr>
      </w:pPr>
      <w:r>
        <w:rPr>
          <w:rFonts w:hint="eastAsia" w:ascii="宋体" w:hAnsi="宋体" w:eastAsia="宋体" w:cs="宋体"/>
          <w:sz w:val="28"/>
          <w:szCs w:val="28"/>
        </w:rPr>
        <w:t>3、发生事故可能造成的后果（C）</w:t>
      </w:r>
    </w:p>
    <w:p w14:paraId="0E426E0B">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事故造成的人员伤亡和财产损失的范围变化很大，所以规定分数值为1－100。把需要治疗的轻微伤害或较小财产损失的分数值规定为1，造成多人死亡或重大财产损失的分数值规定为100，介于两者之间的情况规定若干个中间值。见表4-</w:t>
      </w:r>
      <w:r>
        <w:rPr>
          <w:rFonts w:hint="eastAsia" w:ascii="宋体" w:hAnsi="宋体" w:cs="宋体"/>
          <w:sz w:val="28"/>
          <w:szCs w:val="28"/>
          <w:lang w:val="en-US" w:eastAsia="zh-CN"/>
        </w:rPr>
        <w:t>6</w:t>
      </w:r>
      <w:r>
        <w:rPr>
          <w:rFonts w:hint="eastAsia" w:ascii="宋体" w:hAnsi="宋体" w:eastAsia="宋体" w:cs="宋体"/>
          <w:sz w:val="28"/>
          <w:szCs w:val="28"/>
        </w:rPr>
        <w:t>。</w:t>
      </w:r>
    </w:p>
    <w:p w14:paraId="4DC8B4AF">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ascii="宋体" w:cs="Times New Roman"/>
          <w:b/>
          <w:bCs/>
          <w:sz w:val="24"/>
          <w:szCs w:val="24"/>
        </w:rPr>
      </w:pPr>
      <w:r>
        <w:rPr>
          <w:rFonts w:hint="eastAsia" w:ascii="宋体" w:hAnsi="宋体" w:cs="宋体"/>
          <w:b/>
          <w:bCs/>
          <w:sz w:val="24"/>
          <w:szCs w:val="24"/>
        </w:rPr>
        <w:t>表</w:t>
      </w:r>
      <w:r>
        <w:rPr>
          <w:rFonts w:ascii="宋体" w:hAnsi="宋体" w:cs="宋体"/>
          <w:b/>
          <w:bCs/>
          <w:sz w:val="24"/>
          <w:szCs w:val="24"/>
        </w:rPr>
        <w:t>4-</w:t>
      </w:r>
      <w:r>
        <w:rPr>
          <w:rFonts w:hint="eastAsia" w:ascii="宋体" w:hAnsi="宋体" w:cs="宋体"/>
          <w:b/>
          <w:bCs/>
          <w:sz w:val="24"/>
          <w:szCs w:val="24"/>
          <w:lang w:val="en-US" w:eastAsia="zh-CN"/>
        </w:rPr>
        <w:t>6</w:t>
      </w:r>
      <w:r>
        <w:rPr>
          <w:rFonts w:hint="eastAsia" w:ascii="宋体" w:hAnsi="宋体" w:cs="宋体"/>
          <w:b/>
          <w:bCs/>
          <w:sz w:val="24"/>
          <w:szCs w:val="24"/>
        </w:rPr>
        <w:t>发生事故可能造成的后果（</w:t>
      </w:r>
      <w:r>
        <w:rPr>
          <w:rFonts w:ascii="宋体" w:hAnsi="宋体" w:cs="宋体"/>
          <w:b/>
          <w:bCs/>
          <w:sz w:val="24"/>
          <w:szCs w:val="24"/>
        </w:rPr>
        <w:t>C</w:t>
      </w:r>
      <w:r>
        <w:rPr>
          <w:rFonts w:hint="eastAsia" w:ascii="宋体" w:hAnsi="宋体" w:cs="宋体"/>
          <w:b/>
          <w:bCs/>
          <w:sz w:val="24"/>
          <w:szCs w:val="24"/>
        </w:rPr>
        <w:t>）</w:t>
      </w:r>
    </w:p>
    <w:tbl>
      <w:tblPr>
        <w:tblStyle w:val="19"/>
        <w:tblW w:w="488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3340"/>
        <w:gridCol w:w="1048"/>
        <w:gridCol w:w="3653"/>
      </w:tblGrid>
      <w:tr w14:paraId="62240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571" w:type="pct"/>
            <w:vAlign w:val="center"/>
          </w:tcPr>
          <w:p w14:paraId="2FF8494F">
            <w:pPr>
              <w:jc w:val="center"/>
              <w:rPr>
                <w:rFonts w:cs="Times New Roman"/>
              </w:rPr>
            </w:pPr>
            <w:r>
              <w:rPr>
                <w:rFonts w:hint="eastAsia" w:cs="宋体"/>
              </w:rPr>
              <w:t>分数值</w:t>
            </w:r>
          </w:p>
        </w:tc>
        <w:tc>
          <w:tcPr>
            <w:tcW w:w="1839" w:type="pct"/>
            <w:vAlign w:val="center"/>
          </w:tcPr>
          <w:p w14:paraId="443906A7">
            <w:pPr>
              <w:jc w:val="center"/>
              <w:rPr>
                <w:rFonts w:cs="Times New Roman"/>
              </w:rPr>
            </w:pPr>
            <w:r>
              <w:rPr>
                <w:rFonts w:hint="eastAsia" w:cs="宋体"/>
              </w:rPr>
              <w:t>发生事故可能造成的后果</w:t>
            </w:r>
          </w:p>
        </w:tc>
        <w:tc>
          <w:tcPr>
            <w:tcW w:w="577" w:type="pct"/>
            <w:vAlign w:val="center"/>
          </w:tcPr>
          <w:p w14:paraId="1C36B5CC">
            <w:pPr>
              <w:jc w:val="center"/>
              <w:rPr>
                <w:rFonts w:cs="Times New Roman"/>
              </w:rPr>
            </w:pPr>
            <w:r>
              <w:rPr>
                <w:rFonts w:hint="eastAsia" w:cs="宋体"/>
              </w:rPr>
              <w:t>分数值</w:t>
            </w:r>
          </w:p>
        </w:tc>
        <w:tc>
          <w:tcPr>
            <w:tcW w:w="2011" w:type="pct"/>
            <w:vAlign w:val="center"/>
          </w:tcPr>
          <w:p w14:paraId="5A203556">
            <w:pPr>
              <w:jc w:val="center"/>
              <w:rPr>
                <w:rFonts w:cs="Times New Roman"/>
              </w:rPr>
            </w:pPr>
            <w:r>
              <w:rPr>
                <w:rFonts w:hint="eastAsia" w:cs="宋体"/>
              </w:rPr>
              <w:t>发生事故可能造成的后果</w:t>
            </w:r>
          </w:p>
        </w:tc>
      </w:tr>
      <w:tr w14:paraId="77728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571" w:type="pct"/>
            <w:vAlign w:val="center"/>
          </w:tcPr>
          <w:p w14:paraId="40F6C5A4">
            <w:pPr>
              <w:jc w:val="center"/>
              <w:rPr>
                <w:rFonts w:hint="eastAsia" w:ascii="宋体" w:hAnsi="宋体" w:eastAsia="宋体" w:cs="宋体"/>
                <w:b w:val="0"/>
                <w:bCs w:val="0"/>
              </w:rPr>
            </w:pPr>
            <w:r>
              <w:rPr>
                <w:rFonts w:hint="eastAsia" w:ascii="宋体" w:hAnsi="宋体" w:eastAsia="宋体" w:cs="宋体"/>
                <w:b w:val="0"/>
                <w:bCs w:val="0"/>
              </w:rPr>
              <w:t>100</w:t>
            </w:r>
          </w:p>
        </w:tc>
        <w:tc>
          <w:tcPr>
            <w:tcW w:w="1839" w:type="pct"/>
            <w:vAlign w:val="center"/>
          </w:tcPr>
          <w:p w14:paraId="2BAE0CA9">
            <w:pPr>
              <w:jc w:val="center"/>
              <w:rPr>
                <w:rFonts w:hint="eastAsia" w:ascii="宋体" w:hAnsi="宋体" w:eastAsia="宋体" w:cs="宋体"/>
                <w:b w:val="0"/>
                <w:bCs w:val="0"/>
              </w:rPr>
            </w:pPr>
            <w:r>
              <w:rPr>
                <w:rFonts w:hint="eastAsia" w:ascii="宋体" w:hAnsi="宋体" w:eastAsia="宋体" w:cs="宋体"/>
                <w:b w:val="0"/>
                <w:bCs w:val="0"/>
              </w:rPr>
              <w:t>大灾难，多人死亡或重大财产损失</w:t>
            </w:r>
          </w:p>
        </w:tc>
        <w:tc>
          <w:tcPr>
            <w:tcW w:w="577" w:type="pct"/>
            <w:vAlign w:val="center"/>
          </w:tcPr>
          <w:p w14:paraId="137F42EF">
            <w:pPr>
              <w:jc w:val="center"/>
              <w:rPr>
                <w:rFonts w:hint="eastAsia" w:ascii="宋体" w:hAnsi="宋体" w:eastAsia="宋体" w:cs="宋体"/>
                <w:b w:val="0"/>
                <w:bCs w:val="0"/>
              </w:rPr>
            </w:pPr>
            <w:r>
              <w:rPr>
                <w:rFonts w:hint="eastAsia" w:ascii="宋体" w:hAnsi="宋体" w:eastAsia="宋体" w:cs="宋体"/>
                <w:b w:val="0"/>
                <w:bCs w:val="0"/>
              </w:rPr>
              <w:t>7</w:t>
            </w:r>
          </w:p>
        </w:tc>
        <w:tc>
          <w:tcPr>
            <w:tcW w:w="2011" w:type="pct"/>
            <w:vAlign w:val="center"/>
          </w:tcPr>
          <w:p w14:paraId="06FAB15D">
            <w:pPr>
              <w:jc w:val="center"/>
              <w:rPr>
                <w:rFonts w:cs="Times New Roman"/>
              </w:rPr>
            </w:pPr>
            <w:r>
              <w:rPr>
                <w:rFonts w:hint="eastAsia" w:cs="宋体"/>
              </w:rPr>
              <w:t>严重，重伤或较小的财产损失</w:t>
            </w:r>
          </w:p>
        </w:tc>
      </w:tr>
      <w:tr w14:paraId="0609B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571" w:type="pct"/>
            <w:vAlign w:val="center"/>
          </w:tcPr>
          <w:p w14:paraId="7FEC4643">
            <w:pPr>
              <w:jc w:val="center"/>
              <w:rPr>
                <w:rFonts w:hint="eastAsia" w:ascii="宋体" w:hAnsi="宋体" w:eastAsia="宋体" w:cs="宋体"/>
                <w:b w:val="0"/>
                <w:bCs w:val="0"/>
              </w:rPr>
            </w:pPr>
            <w:r>
              <w:rPr>
                <w:rFonts w:hint="eastAsia" w:ascii="宋体" w:hAnsi="宋体" w:eastAsia="宋体" w:cs="宋体"/>
                <w:b w:val="0"/>
                <w:bCs w:val="0"/>
              </w:rPr>
              <w:t>40</w:t>
            </w:r>
          </w:p>
        </w:tc>
        <w:tc>
          <w:tcPr>
            <w:tcW w:w="1839" w:type="pct"/>
            <w:vAlign w:val="center"/>
          </w:tcPr>
          <w:p w14:paraId="000D638C">
            <w:pPr>
              <w:jc w:val="center"/>
              <w:rPr>
                <w:rFonts w:hint="eastAsia" w:ascii="宋体" w:hAnsi="宋体" w:eastAsia="宋体" w:cs="宋体"/>
                <w:b w:val="0"/>
                <w:bCs w:val="0"/>
              </w:rPr>
            </w:pPr>
            <w:r>
              <w:rPr>
                <w:rFonts w:hint="eastAsia" w:ascii="宋体" w:hAnsi="宋体" w:eastAsia="宋体" w:cs="宋体"/>
                <w:b w:val="0"/>
                <w:bCs w:val="0"/>
              </w:rPr>
              <w:t>灾难，数人死亡或很大财产损失</w:t>
            </w:r>
          </w:p>
        </w:tc>
        <w:tc>
          <w:tcPr>
            <w:tcW w:w="577" w:type="pct"/>
            <w:vAlign w:val="center"/>
          </w:tcPr>
          <w:p w14:paraId="3E6A4EE0">
            <w:pPr>
              <w:jc w:val="center"/>
              <w:rPr>
                <w:rFonts w:hint="eastAsia" w:ascii="宋体" w:hAnsi="宋体" w:eastAsia="宋体" w:cs="宋体"/>
                <w:b w:val="0"/>
                <w:bCs w:val="0"/>
              </w:rPr>
            </w:pPr>
            <w:r>
              <w:rPr>
                <w:rFonts w:hint="eastAsia" w:ascii="宋体" w:hAnsi="宋体" w:eastAsia="宋体" w:cs="宋体"/>
                <w:b w:val="0"/>
                <w:bCs w:val="0"/>
              </w:rPr>
              <w:t>3</w:t>
            </w:r>
          </w:p>
        </w:tc>
        <w:tc>
          <w:tcPr>
            <w:tcW w:w="2011" w:type="pct"/>
            <w:vAlign w:val="center"/>
          </w:tcPr>
          <w:p w14:paraId="15D62621">
            <w:pPr>
              <w:jc w:val="center"/>
              <w:rPr>
                <w:rFonts w:cs="Times New Roman"/>
              </w:rPr>
            </w:pPr>
            <w:r>
              <w:rPr>
                <w:rFonts w:hint="eastAsia" w:cs="宋体"/>
              </w:rPr>
              <w:t>重大，致残或很小的财产损失</w:t>
            </w:r>
          </w:p>
        </w:tc>
      </w:tr>
      <w:tr w14:paraId="34977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571" w:type="pct"/>
            <w:vAlign w:val="center"/>
          </w:tcPr>
          <w:p w14:paraId="02310D9B">
            <w:pPr>
              <w:spacing w:line="400" w:lineRule="exact"/>
              <w:jc w:val="center"/>
              <w:rPr>
                <w:rFonts w:hint="eastAsia" w:ascii="宋体" w:hAnsi="宋体" w:eastAsia="宋体" w:cs="宋体"/>
                <w:b w:val="0"/>
                <w:bCs w:val="0"/>
              </w:rPr>
            </w:pPr>
            <w:r>
              <w:rPr>
                <w:rFonts w:hint="eastAsia" w:ascii="宋体" w:hAnsi="宋体" w:eastAsia="宋体" w:cs="宋体"/>
                <w:b w:val="0"/>
                <w:bCs w:val="0"/>
              </w:rPr>
              <w:t>15</w:t>
            </w:r>
          </w:p>
        </w:tc>
        <w:tc>
          <w:tcPr>
            <w:tcW w:w="1839" w:type="pct"/>
            <w:vAlign w:val="center"/>
          </w:tcPr>
          <w:p w14:paraId="03060C5C">
            <w:pPr>
              <w:spacing w:line="400" w:lineRule="exact"/>
              <w:jc w:val="center"/>
              <w:rPr>
                <w:rFonts w:hint="eastAsia" w:ascii="宋体" w:hAnsi="宋体" w:eastAsia="宋体" w:cs="宋体"/>
                <w:b w:val="0"/>
                <w:bCs w:val="0"/>
              </w:rPr>
            </w:pPr>
            <w:r>
              <w:rPr>
                <w:rFonts w:hint="eastAsia" w:ascii="宋体" w:hAnsi="宋体" w:eastAsia="宋体" w:cs="宋体"/>
                <w:b w:val="0"/>
                <w:bCs w:val="0"/>
              </w:rPr>
              <w:t>非常严重，一人死亡</w:t>
            </w:r>
          </w:p>
          <w:p w14:paraId="218EAF87">
            <w:pPr>
              <w:spacing w:line="400" w:lineRule="exact"/>
              <w:jc w:val="center"/>
              <w:rPr>
                <w:rFonts w:hint="eastAsia" w:ascii="宋体" w:hAnsi="宋体" w:eastAsia="宋体" w:cs="宋体"/>
                <w:b w:val="0"/>
                <w:bCs w:val="0"/>
              </w:rPr>
            </w:pPr>
            <w:r>
              <w:rPr>
                <w:rFonts w:hint="eastAsia" w:ascii="宋体" w:hAnsi="宋体" w:eastAsia="宋体" w:cs="宋体"/>
                <w:b w:val="0"/>
                <w:bCs w:val="0"/>
              </w:rPr>
              <w:t>或一定的财产损失</w:t>
            </w:r>
          </w:p>
        </w:tc>
        <w:tc>
          <w:tcPr>
            <w:tcW w:w="577" w:type="pct"/>
            <w:vAlign w:val="center"/>
          </w:tcPr>
          <w:p w14:paraId="535B9E8B">
            <w:pPr>
              <w:spacing w:line="400" w:lineRule="exact"/>
              <w:jc w:val="center"/>
              <w:rPr>
                <w:rFonts w:hint="eastAsia" w:ascii="宋体" w:hAnsi="宋体" w:eastAsia="宋体" w:cs="宋体"/>
                <w:b w:val="0"/>
                <w:bCs w:val="0"/>
              </w:rPr>
            </w:pPr>
            <w:r>
              <w:rPr>
                <w:rFonts w:hint="eastAsia" w:ascii="宋体" w:hAnsi="宋体" w:eastAsia="宋体" w:cs="宋体"/>
                <w:b w:val="0"/>
                <w:bCs w:val="0"/>
              </w:rPr>
              <w:t>1</w:t>
            </w:r>
          </w:p>
        </w:tc>
        <w:tc>
          <w:tcPr>
            <w:tcW w:w="2011" w:type="pct"/>
            <w:vAlign w:val="center"/>
          </w:tcPr>
          <w:p w14:paraId="28EABAC4">
            <w:pPr>
              <w:spacing w:line="400" w:lineRule="exact"/>
              <w:jc w:val="center"/>
              <w:rPr>
                <w:rFonts w:cs="Times New Roman"/>
              </w:rPr>
            </w:pPr>
            <w:r>
              <w:rPr>
                <w:rFonts w:hint="eastAsia" w:cs="宋体"/>
              </w:rPr>
              <w:t>引人注目，</w:t>
            </w:r>
          </w:p>
          <w:p w14:paraId="4E31BB88">
            <w:pPr>
              <w:spacing w:line="400" w:lineRule="exact"/>
              <w:jc w:val="center"/>
              <w:rPr>
                <w:rFonts w:cs="Times New Roman"/>
              </w:rPr>
            </w:pPr>
            <w:r>
              <w:rPr>
                <w:rFonts w:hint="eastAsia" w:cs="宋体"/>
              </w:rPr>
              <w:t>不利于基本的安全卫生要求</w:t>
            </w:r>
          </w:p>
        </w:tc>
      </w:tr>
    </w:tbl>
    <w:p w14:paraId="64B8122C">
      <w:pPr>
        <w:keepNext w:val="0"/>
        <w:keepLines w:val="0"/>
        <w:pageBreakBefore w:val="0"/>
        <w:widowControl w:val="0"/>
        <w:kinsoku/>
        <w:wordWrap/>
        <w:overflowPunct/>
        <w:topLinePunct w:val="0"/>
        <w:autoSpaceDE/>
        <w:autoSpaceDN/>
        <w:bidi w:val="0"/>
        <w:adjustRightInd/>
        <w:snapToGrid/>
        <w:spacing w:line="600" w:lineRule="exact"/>
        <w:ind w:firstLine="562" w:firstLineChars="200"/>
        <w:textAlignment w:val="auto"/>
        <w:outlineLvl w:val="9"/>
        <w:rPr>
          <w:rFonts w:ascii="宋体" w:cs="Times New Roman"/>
          <w:b/>
          <w:bCs/>
          <w:sz w:val="28"/>
          <w:szCs w:val="28"/>
        </w:rPr>
      </w:pPr>
      <w:r>
        <w:rPr>
          <w:rFonts w:ascii="宋体" w:hAnsi="宋体" w:cs="宋体"/>
          <w:b/>
          <w:bCs/>
          <w:sz w:val="28"/>
          <w:szCs w:val="28"/>
        </w:rPr>
        <w:t>4.</w:t>
      </w:r>
      <w:r>
        <w:rPr>
          <w:rFonts w:hint="eastAsia" w:ascii="宋体" w:hAnsi="宋体" w:cs="宋体"/>
          <w:b/>
          <w:bCs/>
          <w:sz w:val="28"/>
          <w:szCs w:val="28"/>
          <w:lang w:val="en-US" w:eastAsia="zh-CN"/>
        </w:rPr>
        <w:t>3</w:t>
      </w:r>
      <w:r>
        <w:rPr>
          <w:rFonts w:ascii="宋体" w:hAnsi="宋体" w:cs="宋体"/>
          <w:b/>
          <w:bCs/>
          <w:sz w:val="28"/>
          <w:szCs w:val="28"/>
        </w:rPr>
        <w:t>.</w:t>
      </w:r>
      <w:r>
        <w:rPr>
          <w:rFonts w:hint="eastAsia" w:ascii="宋体" w:hAnsi="宋体" w:cs="宋体"/>
          <w:b/>
          <w:bCs/>
          <w:sz w:val="28"/>
          <w:szCs w:val="28"/>
          <w:lang w:val="en-US" w:eastAsia="zh-CN"/>
        </w:rPr>
        <w:t>3</w:t>
      </w:r>
      <w:r>
        <w:rPr>
          <w:rFonts w:ascii="宋体" w:hAnsi="宋体" w:cs="宋体"/>
          <w:b/>
          <w:bCs/>
          <w:sz w:val="28"/>
          <w:szCs w:val="28"/>
        </w:rPr>
        <w:t>.4</w:t>
      </w:r>
      <w:r>
        <w:rPr>
          <w:rFonts w:hint="eastAsia" w:ascii="宋体" w:hAnsi="宋体" w:cs="宋体"/>
          <w:b/>
          <w:bCs/>
          <w:sz w:val="28"/>
          <w:szCs w:val="28"/>
        </w:rPr>
        <w:t>危险等级划分标准</w:t>
      </w:r>
    </w:p>
    <w:p w14:paraId="653624ED">
      <w:pPr>
        <w:spacing w:line="600" w:lineRule="exact"/>
        <w:ind w:firstLine="560" w:firstLineChars="200"/>
        <w:rPr>
          <w:rFonts w:hint="eastAsia" w:ascii="宋体" w:hAnsi="宋体" w:eastAsia="宋体" w:cs="宋体"/>
          <w:sz w:val="28"/>
          <w:szCs w:val="28"/>
        </w:rPr>
      </w:pPr>
      <w:r>
        <w:rPr>
          <w:rFonts w:hint="eastAsia" w:cs="宋体"/>
          <w:sz w:val="28"/>
          <w:szCs w:val="28"/>
        </w:rPr>
        <w:t>根据经验，危</w:t>
      </w:r>
      <w:r>
        <w:rPr>
          <w:rFonts w:hint="eastAsia" w:ascii="宋体" w:hAnsi="宋体" w:eastAsia="宋体" w:cs="宋体"/>
          <w:sz w:val="28"/>
          <w:szCs w:val="28"/>
        </w:rPr>
        <w:t>险性分值在20分以下为低危险性，这样的危险比日常生活中骑自行车去上班还要安全些；如果危险性分值在20-70之间，为一半危险，需要注意；如果危险性分值在70-160之间，有显著的危险性，需要采取措施整改；如果危险性分值在160-320之间，有高度危险性，必须立即整改；如果危险性分值大于320，极度危险，应立即停止作业，彻底整改。按危险性分值划分危险性等级的标准见表4-</w:t>
      </w:r>
      <w:r>
        <w:rPr>
          <w:rFonts w:hint="eastAsia" w:ascii="宋体" w:hAnsi="宋体" w:cs="宋体"/>
          <w:sz w:val="28"/>
          <w:szCs w:val="28"/>
          <w:lang w:val="en-US" w:eastAsia="zh-CN"/>
        </w:rPr>
        <w:t>7</w:t>
      </w:r>
      <w:r>
        <w:rPr>
          <w:rFonts w:hint="eastAsia" w:ascii="宋体" w:hAnsi="宋体" w:eastAsia="宋体" w:cs="宋体"/>
          <w:sz w:val="28"/>
          <w:szCs w:val="28"/>
        </w:rPr>
        <w:t>。</w:t>
      </w:r>
    </w:p>
    <w:p w14:paraId="55ECA2D6">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ascii="宋体" w:cs="Times New Roman"/>
          <w:b/>
          <w:bCs/>
          <w:sz w:val="24"/>
          <w:szCs w:val="24"/>
        </w:rPr>
      </w:pPr>
      <w:r>
        <w:rPr>
          <w:rFonts w:hint="eastAsia" w:ascii="宋体" w:hAnsi="宋体" w:cs="宋体"/>
          <w:b/>
          <w:bCs/>
          <w:sz w:val="24"/>
          <w:szCs w:val="24"/>
        </w:rPr>
        <w:t>表</w:t>
      </w:r>
      <w:r>
        <w:rPr>
          <w:rFonts w:ascii="宋体" w:hAnsi="宋体" w:cs="宋体"/>
          <w:b/>
          <w:bCs/>
          <w:sz w:val="24"/>
          <w:szCs w:val="24"/>
        </w:rPr>
        <w:t>4-</w:t>
      </w:r>
      <w:r>
        <w:rPr>
          <w:rFonts w:hint="eastAsia" w:ascii="宋体" w:hAnsi="宋体" w:cs="宋体"/>
          <w:b/>
          <w:bCs/>
          <w:sz w:val="24"/>
          <w:szCs w:val="24"/>
          <w:lang w:val="en-US" w:eastAsia="zh-CN"/>
        </w:rPr>
        <w:t>7</w:t>
      </w:r>
      <w:r>
        <w:rPr>
          <w:rFonts w:hint="eastAsia" w:ascii="宋体" w:hAnsi="宋体" w:cs="宋体"/>
          <w:b/>
          <w:bCs/>
          <w:sz w:val="24"/>
          <w:szCs w:val="24"/>
        </w:rPr>
        <w:t>危险性等级划分标准</w:t>
      </w:r>
    </w:p>
    <w:tbl>
      <w:tblPr>
        <w:tblStyle w:val="19"/>
        <w:tblW w:w="9417"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3202"/>
        <w:gridCol w:w="1694"/>
        <w:gridCol w:w="3199"/>
      </w:tblGrid>
      <w:tr w14:paraId="12B54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exact"/>
        </w:trPr>
        <w:tc>
          <w:tcPr>
            <w:tcW w:w="1322" w:type="dxa"/>
            <w:vAlign w:val="center"/>
          </w:tcPr>
          <w:p w14:paraId="171560EA">
            <w:pPr>
              <w:jc w:val="center"/>
              <w:rPr>
                <w:rFonts w:hint="eastAsia" w:ascii="宋体" w:hAnsi="宋体" w:eastAsia="宋体" w:cs="宋体"/>
              </w:rPr>
            </w:pPr>
            <w:r>
              <w:rPr>
                <w:rFonts w:hint="eastAsia" w:ascii="宋体" w:hAnsi="宋体" w:eastAsia="宋体" w:cs="宋体"/>
              </w:rPr>
              <w:t>D值</w:t>
            </w:r>
          </w:p>
        </w:tc>
        <w:tc>
          <w:tcPr>
            <w:tcW w:w="3202" w:type="dxa"/>
            <w:vAlign w:val="center"/>
          </w:tcPr>
          <w:p w14:paraId="1B439CDB">
            <w:pPr>
              <w:jc w:val="center"/>
              <w:rPr>
                <w:rFonts w:hint="eastAsia" w:ascii="宋体" w:hAnsi="宋体" w:eastAsia="宋体" w:cs="宋体"/>
              </w:rPr>
            </w:pPr>
            <w:r>
              <w:rPr>
                <w:rFonts w:hint="eastAsia" w:ascii="宋体" w:hAnsi="宋体" w:eastAsia="宋体" w:cs="宋体"/>
              </w:rPr>
              <w:t>危险程度</w:t>
            </w:r>
          </w:p>
        </w:tc>
        <w:tc>
          <w:tcPr>
            <w:tcW w:w="1694" w:type="dxa"/>
            <w:vAlign w:val="center"/>
          </w:tcPr>
          <w:p w14:paraId="25A1D98F">
            <w:pPr>
              <w:jc w:val="center"/>
              <w:rPr>
                <w:rFonts w:hint="eastAsia" w:ascii="宋体" w:hAnsi="宋体" w:eastAsia="宋体" w:cs="宋体"/>
              </w:rPr>
            </w:pPr>
            <w:r>
              <w:rPr>
                <w:rFonts w:hint="eastAsia" w:ascii="宋体" w:hAnsi="宋体" w:eastAsia="宋体" w:cs="宋体"/>
              </w:rPr>
              <w:t>D值</w:t>
            </w:r>
          </w:p>
        </w:tc>
        <w:tc>
          <w:tcPr>
            <w:tcW w:w="3199" w:type="dxa"/>
            <w:vAlign w:val="center"/>
          </w:tcPr>
          <w:p w14:paraId="48349C99">
            <w:pPr>
              <w:jc w:val="center"/>
              <w:rPr>
                <w:rFonts w:hint="eastAsia" w:ascii="宋体" w:hAnsi="宋体" w:eastAsia="宋体" w:cs="宋体"/>
              </w:rPr>
            </w:pPr>
            <w:r>
              <w:rPr>
                <w:rFonts w:hint="eastAsia" w:ascii="宋体" w:hAnsi="宋体" w:eastAsia="宋体" w:cs="宋体"/>
              </w:rPr>
              <w:t>危险程度</w:t>
            </w:r>
          </w:p>
        </w:tc>
      </w:tr>
      <w:tr w14:paraId="6144A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exact"/>
        </w:trPr>
        <w:tc>
          <w:tcPr>
            <w:tcW w:w="1322" w:type="dxa"/>
            <w:vAlign w:val="center"/>
          </w:tcPr>
          <w:p w14:paraId="35C7A363">
            <w:pPr>
              <w:jc w:val="center"/>
              <w:rPr>
                <w:rFonts w:hint="eastAsia" w:ascii="宋体" w:hAnsi="宋体" w:eastAsia="宋体" w:cs="宋体"/>
              </w:rPr>
            </w:pPr>
            <w:r>
              <w:rPr>
                <w:rFonts w:hint="eastAsia" w:ascii="宋体" w:hAnsi="宋体" w:eastAsia="宋体" w:cs="宋体"/>
              </w:rPr>
              <w:t>＞320</w:t>
            </w:r>
          </w:p>
        </w:tc>
        <w:tc>
          <w:tcPr>
            <w:tcW w:w="3202" w:type="dxa"/>
            <w:vAlign w:val="center"/>
          </w:tcPr>
          <w:p w14:paraId="572F401B">
            <w:pPr>
              <w:jc w:val="center"/>
              <w:rPr>
                <w:rFonts w:hint="eastAsia" w:ascii="宋体" w:hAnsi="宋体" w:eastAsia="宋体" w:cs="宋体"/>
              </w:rPr>
            </w:pPr>
            <w:r>
              <w:rPr>
                <w:rFonts w:hint="eastAsia" w:ascii="宋体" w:hAnsi="宋体" w:eastAsia="宋体" w:cs="宋体"/>
              </w:rPr>
              <w:t>极其危险，不能继续作业</w:t>
            </w:r>
          </w:p>
        </w:tc>
        <w:tc>
          <w:tcPr>
            <w:tcW w:w="1694" w:type="dxa"/>
            <w:vAlign w:val="center"/>
          </w:tcPr>
          <w:p w14:paraId="1EACF9E7">
            <w:pPr>
              <w:jc w:val="center"/>
              <w:rPr>
                <w:rFonts w:hint="eastAsia" w:ascii="宋体" w:hAnsi="宋体" w:eastAsia="宋体" w:cs="宋体"/>
              </w:rPr>
            </w:pPr>
            <w:r>
              <w:rPr>
                <w:rFonts w:hint="eastAsia" w:ascii="宋体" w:hAnsi="宋体" w:eastAsia="宋体" w:cs="宋体"/>
              </w:rPr>
              <w:t>20-70</w:t>
            </w:r>
          </w:p>
        </w:tc>
        <w:tc>
          <w:tcPr>
            <w:tcW w:w="3199" w:type="dxa"/>
            <w:vAlign w:val="center"/>
          </w:tcPr>
          <w:p w14:paraId="59435FBC">
            <w:pPr>
              <w:jc w:val="center"/>
              <w:rPr>
                <w:rFonts w:hint="eastAsia" w:ascii="宋体" w:hAnsi="宋体" w:eastAsia="宋体" w:cs="宋体"/>
              </w:rPr>
            </w:pPr>
            <w:r>
              <w:rPr>
                <w:rFonts w:hint="eastAsia" w:ascii="宋体" w:hAnsi="宋体" w:eastAsia="宋体" w:cs="宋体"/>
              </w:rPr>
              <w:t>一般危险，需要注意</w:t>
            </w:r>
          </w:p>
        </w:tc>
      </w:tr>
      <w:tr w14:paraId="186A9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exact"/>
        </w:trPr>
        <w:tc>
          <w:tcPr>
            <w:tcW w:w="1322" w:type="dxa"/>
            <w:vAlign w:val="center"/>
          </w:tcPr>
          <w:p w14:paraId="41C592EC">
            <w:pPr>
              <w:jc w:val="center"/>
              <w:rPr>
                <w:rFonts w:hint="eastAsia" w:ascii="宋体" w:hAnsi="宋体" w:eastAsia="宋体" w:cs="宋体"/>
              </w:rPr>
            </w:pPr>
            <w:r>
              <w:rPr>
                <w:rFonts w:hint="eastAsia" w:ascii="宋体" w:hAnsi="宋体" w:eastAsia="宋体" w:cs="宋体"/>
              </w:rPr>
              <w:t>160-320</w:t>
            </w:r>
          </w:p>
        </w:tc>
        <w:tc>
          <w:tcPr>
            <w:tcW w:w="3202" w:type="dxa"/>
            <w:vAlign w:val="center"/>
          </w:tcPr>
          <w:p w14:paraId="52F9CEBC">
            <w:pPr>
              <w:jc w:val="center"/>
              <w:rPr>
                <w:rFonts w:hint="eastAsia" w:ascii="宋体" w:hAnsi="宋体" w:eastAsia="宋体" w:cs="宋体"/>
              </w:rPr>
            </w:pPr>
            <w:r>
              <w:rPr>
                <w:rFonts w:hint="eastAsia" w:ascii="宋体" w:hAnsi="宋体" w:eastAsia="宋体" w:cs="宋体"/>
              </w:rPr>
              <w:t>高度危险，需立即整改</w:t>
            </w:r>
          </w:p>
        </w:tc>
        <w:tc>
          <w:tcPr>
            <w:tcW w:w="1694" w:type="dxa"/>
            <w:vAlign w:val="center"/>
          </w:tcPr>
          <w:p w14:paraId="44E11637">
            <w:pPr>
              <w:jc w:val="center"/>
              <w:rPr>
                <w:rFonts w:hint="eastAsia" w:ascii="宋体" w:hAnsi="宋体" w:eastAsia="宋体" w:cs="宋体"/>
              </w:rPr>
            </w:pPr>
            <w:r>
              <w:rPr>
                <w:rFonts w:hint="eastAsia" w:ascii="宋体" w:hAnsi="宋体" w:eastAsia="宋体" w:cs="宋体"/>
              </w:rPr>
              <w:t>＜20</w:t>
            </w:r>
          </w:p>
        </w:tc>
        <w:tc>
          <w:tcPr>
            <w:tcW w:w="3199" w:type="dxa"/>
            <w:vAlign w:val="center"/>
          </w:tcPr>
          <w:p w14:paraId="2EB370E6">
            <w:pPr>
              <w:jc w:val="center"/>
              <w:rPr>
                <w:rFonts w:hint="eastAsia" w:ascii="宋体" w:hAnsi="宋体" w:eastAsia="宋体" w:cs="宋体"/>
              </w:rPr>
            </w:pPr>
            <w:r>
              <w:rPr>
                <w:rFonts w:hint="eastAsia" w:ascii="宋体" w:hAnsi="宋体" w:eastAsia="宋体" w:cs="宋体"/>
              </w:rPr>
              <w:t>稍有危险，可以接受</w:t>
            </w:r>
          </w:p>
        </w:tc>
      </w:tr>
      <w:tr w14:paraId="64C53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exact"/>
        </w:trPr>
        <w:tc>
          <w:tcPr>
            <w:tcW w:w="1322" w:type="dxa"/>
            <w:vAlign w:val="center"/>
          </w:tcPr>
          <w:p w14:paraId="0A115A80">
            <w:pPr>
              <w:jc w:val="center"/>
              <w:rPr>
                <w:rFonts w:hint="eastAsia" w:ascii="宋体" w:hAnsi="宋体" w:eastAsia="宋体" w:cs="宋体"/>
              </w:rPr>
            </w:pPr>
            <w:r>
              <w:rPr>
                <w:rFonts w:hint="eastAsia" w:ascii="宋体" w:hAnsi="宋体" w:eastAsia="宋体" w:cs="宋体"/>
              </w:rPr>
              <w:t>70-160</w:t>
            </w:r>
          </w:p>
        </w:tc>
        <w:tc>
          <w:tcPr>
            <w:tcW w:w="3202" w:type="dxa"/>
            <w:vAlign w:val="center"/>
          </w:tcPr>
          <w:p w14:paraId="56E189A5">
            <w:pPr>
              <w:jc w:val="center"/>
              <w:rPr>
                <w:rFonts w:hint="eastAsia" w:ascii="宋体" w:hAnsi="宋体" w:eastAsia="宋体" w:cs="宋体"/>
              </w:rPr>
            </w:pPr>
            <w:r>
              <w:rPr>
                <w:rFonts w:hint="eastAsia" w:ascii="宋体" w:hAnsi="宋体" w:eastAsia="宋体" w:cs="宋体"/>
              </w:rPr>
              <w:t>显著危险，需要整改</w:t>
            </w:r>
          </w:p>
        </w:tc>
        <w:tc>
          <w:tcPr>
            <w:tcW w:w="1694" w:type="dxa"/>
            <w:vAlign w:val="center"/>
          </w:tcPr>
          <w:p w14:paraId="0256FA18">
            <w:pPr>
              <w:jc w:val="center"/>
              <w:rPr>
                <w:rFonts w:hint="eastAsia" w:ascii="宋体" w:hAnsi="宋体" w:eastAsia="宋体" w:cs="宋体"/>
              </w:rPr>
            </w:pPr>
            <w:r>
              <w:rPr>
                <w:rFonts w:hint="eastAsia" w:ascii="宋体" w:hAnsi="宋体" w:eastAsia="宋体" w:cs="宋体"/>
              </w:rPr>
              <w:t>--</w:t>
            </w:r>
          </w:p>
        </w:tc>
        <w:tc>
          <w:tcPr>
            <w:tcW w:w="3199" w:type="dxa"/>
            <w:vAlign w:val="center"/>
          </w:tcPr>
          <w:p w14:paraId="37E47913">
            <w:pPr>
              <w:jc w:val="center"/>
              <w:rPr>
                <w:rFonts w:hint="eastAsia" w:ascii="宋体" w:hAnsi="宋体" w:eastAsia="宋体" w:cs="宋体"/>
              </w:rPr>
            </w:pPr>
            <w:r>
              <w:rPr>
                <w:rFonts w:hint="eastAsia" w:ascii="宋体" w:hAnsi="宋体" w:eastAsia="宋体" w:cs="宋体"/>
              </w:rPr>
              <w:t>--</w:t>
            </w:r>
          </w:p>
        </w:tc>
      </w:tr>
    </w:tbl>
    <w:p w14:paraId="632EC754">
      <w:pPr>
        <w:rPr>
          <w:rStyle w:val="24"/>
          <w:rFonts w:hint="eastAsia" w:ascii="楷体" w:hAnsi="楷体" w:eastAsia="楷体" w:cs="楷体"/>
          <w:b/>
          <w:bCs/>
          <w:sz w:val="32"/>
          <w:szCs w:val="32"/>
        </w:rPr>
      </w:pPr>
      <w:bookmarkStart w:id="217" w:name="_Toc20468422"/>
      <w:bookmarkStart w:id="218" w:name="_Toc27062"/>
      <w:bookmarkStart w:id="219" w:name="_Toc10474"/>
      <w:r>
        <w:rPr>
          <w:rStyle w:val="24"/>
          <w:rFonts w:hint="eastAsia" w:ascii="楷体" w:hAnsi="楷体" w:eastAsia="楷体" w:cs="楷体"/>
          <w:b/>
          <w:bCs/>
          <w:sz w:val="32"/>
          <w:szCs w:val="32"/>
        </w:rPr>
        <w:br w:type="page"/>
      </w:r>
    </w:p>
    <w:p w14:paraId="7C552FBC">
      <w:pPr>
        <w:pStyle w:val="4"/>
        <w:bidi w:val="0"/>
        <w:rPr>
          <w:rFonts w:hint="eastAsia" w:ascii="楷体" w:hAnsi="楷体" w:eastAsia="楷体" w:cs="楷体"/>
          <w:sz w:val="32"/>
          <w:szCs w:val="32"/>
        </w:rPr>
      </w:pPr>
      <w:bookmarkStart w:id="220" w:name="_Toc4097"/>
      <w:r>
        <w:rPr>
          <w:rFonts w:hint="eastAsia" w:ascii="楷体" w:hAnsi="楷体" w:eastAsia="楷体" w:cs="楷体"/>
          <w:sz w:val="32"/>
          <w:szCs w:val="32"/>
        </w:rPr>
        <w:t>5安全评价</w:t>
      </w:r>
      <w:bookmarkEnd w:id="220"/>
    </w:p>
    <w:p w14:paraId="165D28AF">
      <w:pPr>
        <w:pStyle w:val="5"/>
        <w:keepNext w:val="0"/>
        <w:keepLines w:val="0"/>
        <w:pageBreakBefore w:val="0"/>
        <w:widowControl/>
        <w:kinsoku/>
        <w:wordWrap/>
        <w:overflowPunct/>
        <w:topLinePunct w:val="0"/>
        <w:autoSpaceDE/>
        <w:autoSpaceDN/>
        <w:bidi w:val="0"/>
        <w:adjustRightInd/>
        <w:snapToGrid/>
        <w:textAlignment w:val="auto"/>
        <w:outlineLvl w:val="1"/>
        <w:rPr>
          <w:rFonts w:hint="eastAsia" w:ascii="楷体" w:hAnsi="楷体" w:eastAsia="楷体" w:cs="楷体"/>
          <w:sz w:val="32"/>
          <w:szCs w:val="32"/>
        </w:rPr>
      </w:pPr>
      <w:bookmarkStart w:id="221" w:name="_Toc8389"/>
      <w:r>
        <w:rPr>
          <w:rFonts w:hint="eastAsia" w:ascii="楷体" w:hAnsi="楷体" w:eastAsia="楷体" w:cs="楷体"/>
          <w:sz w:val="32"/>
          <w:szCs w:val="32"/>
        </w:rPr>
        <w:t>5.1安全条件单元</w:t>
      </w:r>
      <w:bookmarkEnd w:id="221"/>
    </w:p>
    <w:p w14:paraId="48E0AB28">
      <w:pPr>
        <w:spacing w:line="560" w:lineRule="exact"/>
        <w:ind w:firstLine="560" w:firstLineChars="200"/>
        <w:rPr>
          <w:rFonts w:hint="eastAsia" w:cs="宋体"/>
          <w:sz w:val="28"/>
          <w:szCs w:val="28"/>
        </w:rPr>
      </w:pPr>
      <w:r>
        <w:rPr>
          <w:rFonts w:hint="eastAsia" w:cs="宋体"/>
          <w:sz w:val="28"/>
          <w:szCs w:val="28"/>
        </w:rPr>
        <w:t>根据现行《中华人民共和国安全生产法》、《危险化学品安全管理条例》、《危险化学品经营许可证管理办法》、《生产安全事故应急预案管理办法》等有关要求，采用《安全检查表法》对安全现状和安全条件单元进行分析评价，评价结果见下表。</w:t>
      </w:r>
    </w:p>
    <w:p w14:paraId="2AC18B72">
      <w:pPr>
        <w:widowControl/>
        <w:kinsoku w:val="0"/>
        <w:autoSpaceDE w:val="0"/>
        <w:autoSpaceDN w:val="0"/>
        <w:adjustRightInd w:val="0"/>
        <w:snapToGrid w:val="0"/>
        <w:spacing w:before="78" w:line="220" w:lineRule="auto"/>
        <w:ind w:left="2831"/>
        <w:jc w:val="left"/>
        <w:textAlignment w:val="baseline"/>
        <w:rPr>
          <w:rFonts w:ascii="宋体" w:hAnsi="宋体" w:eastAsia="宋体" w:cs="宋体"/>
          <w:snapToGrid w:val="0"/>
          <w:color w:val="000000"/>
          <w:kern w:val="0"/>
          <w:sz w:val="24"/>
          <w:szCs w:val="24"/>
          <w:lang w:eastAsia="en-US"/>
        </w:rPr>
      </w:pPr>
      <w:r>
        <w:rPr>
          <w:rFonts w:ascii="Arial" w:hAnsi="Arial" w:eastAsia="Arial" w:cs="Arial"/>
          <w:snapToGrid w:val="0"/>
          <w:color w:val="000000"/>
          <w:kern w:val="0"/>
          <w:lang w:eastAsia="en-US"/>
        </w:rPr>
        <mc:AlternateContent>
          <mc:Choice Requires="wps">
            <w:drawing>
              <wp:anchor distT="0" distB="0" distL="114300" distR="114300" simplePos="0" relativeHeight="251667456" behindDoc="0" locked="0" layoutInCell="1" allowOverlap="1">
                <wp:simplePos x="0" y="0"/>
                <wp:positionH relativeFrom="column">
                  <wp:posOffset>5759450</wp:posOffset>
                </wp:positionH>
                <wp:positionV relativeFrom="paragraph">
                  <wp:posOffset>4410710</wp:posOffset>
                </wp:positionV>
                <wp:extent cx="6350" cy="1816100"/>
                <wp:effectExtent l="1905" t="0" r="1270" b="3175"/>
                <wp:wrapNone/>
                <wp:docPr id="86" name="任意多边形 86"/>
                <wp:cNvGraphicFramePr/>
                <a:graphic xmlns:a="http://schemas.openxmlformats.org/drawingml/2006/main">
                  <a:graphicData uri="http://schemas.microsoft.com/office/word/2010/wordprocessingShape">
                    <wps:wsp>
                      <wps:cNvSpPr/>
                      <wps:spPr>
                        <a:xfrm>
                          <a:off x="0" y="0"/>
                          <a:ext cx="6350" cy="1816100"/>
                        </a:xfrm>
                        <a:custGeom>
                          <a:avLst/>
                          <a:gdLst/>
                          <a:ahLst/>
                          <a:cxnLst/>
                          <a:pathLst>
                            <a:path w="10" h="2860">
                              <a:moveTo>
                                <a:pt x="4" y="0"/>
                              </a:moveTo>
                              <a:lnTo>
                                <a:pt x="4" y="2860"/>
                              </a:lnTo>
                            </a:path>
                          </a:pathLst>
                        </a:custGeom>
                        <a:noFill/>
                        <a:ln w="6096" cap="flat" cmpd="sng">
                          <a:solidFill>
                            <a:srgbClr val="000000"/>
                          </a:solidFill>
                          <a:prstDash val="solid"/>
                          <a:bevel/>
                          <a:headEnd type="none" w="med" len="med"/>
                          <a:tailEnd type="none" w="med" len="med"/>
                        </a:ln>
                      </wps:spPr>
                      <wps:bodyPr upright="1"/>
                    </wps:wsp>
                  </a:graphicData>
                </a:graphic>
              </wp:anchor>
            </w:drawing>
          </mc:Choice>
          <mc:Fallback>
            <w:pict>
              <v:shape id="_x0000_s1026" o:spid="_x0000_s1026" o:spt="100" style="position:absolute;left:0pt;margin-left:453.5pt;margin-top:347.3pt;height:143pt;width:0.5pt;z-index:251667456;mso-width-relative:page;mso-height-relative:page;" filled="f" stroked="t" coordsize="10,2860" o:gfxdata="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O2/VTZAAAACwEAAA8AAAAAAAAAAQAgAAAAIgAAAGRycy9k&#10;b3ducmV2LnhtbFBLAQIUABQAAAAIAIdO4kC5VuRcOgIAAJgEAAAOAAAAAAAAAAEAIAAAACgBAABk&#10;cnMvZTJvRG9jLnhtbFBLBQYAAAAABgAGAFkBAADUBQAAAAA=&#10;" path="m4,0l4,2860e">
                <v:fill on="f" focussize="0,0"/>
                <v:stroke weight="0.48pt" color="#000000" joinstyle="bevel"/>
                <v:imagedata o:title=""/>
                <o:lock v:ext="edit" aspectratio="f"/>
              </v:shape>
            </w:pict>
          </mc:Fallback>
        </mc:AlternateContent>
      </w: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49"/>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5-1</w:t>
      </w:r>
      <w:r>
        <w:rPr>
          <w:rFonts w:ascii="宋体" w:hAnsi="宋体" w:eastAsia="宋体" w:cs="宋体"/>
          <w:b/>
          <w:bCs/>
          <w:snapToGrid w:val="0"/>
          <w:color w:val="000000"/>
          <w:spacing w:val="-2"/>
          <w:kern w:val="0"/>
          <w:sz w:val="24"/>
          <w:szCs w:val="24"/>
          <w:lang w:eastAsia="en-US"/>
        </w:rPr>
        <w:t>加油站安全现状检查表</w:t>
      </w:r>
    </w:p>
    <w:p w14:paraId="0F098377">
      <w:pPr>
        <w:widowControl/>
        <w:kinsoku w:val="0"/>
        <w:autoSpaceDE w:val="0"/>
        <w:autoSpaceDN w:val="0"/>
        <w:adjustRightInd w:val="0"/>
        <w:snapToGrid w:val="0"/>
        <w:spacing w:line="40" w:lineRule="exact"/>
        <w:jc w:val="left"/>
        <w:textAlignment w:val="baseline"/>
        <w:rPr>
          <w:rFonts w:ascii="Arial" w:hAnsi="Arial" w:eastAsia="Arial" w:cs="Arial"/>
          <w:snapToGrid w:val="0"/>
          <w:color w:val="000000"/>
          <w:kern w:val="0"/>
          <w:lang w:eastAsia="en-US"/>
        </w:rPr>
      </w:pPr>
    </w:p>
    <w:tbl>
      <w:tblPr>
        <w:tblStyle w:val="47"/>
        <w:tblW w:w="9120"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88"/>
        <w:gridCol w:w="5619"/>
        <w:gridCol w:w="1708"/>
        <w:gridCol w:w="80"/>
        <w:gridCol w:w="925"/>
      </w:tblGrid>
      <w:tr w14:paraId="767A0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9120" w:type="dxa"/>
            <w:gridSpan w:val="5"/>
            <w:vAlign w:val="top"/>
          </w:tcPr>
          <w:p w14:paraId="2C9167DF">
            <w:pPr>
              <w:kinsoku w:val="0"/>
              <w:autoSpaceDE w:val="0"/>
              <w:autoSpaceDN w:val="0"/>
              <w:adjustRightInd w:val="0"/>
              <w:snapToGrid w:val="0"/>
              <w:spacing w:before="73" w:line="221" w:lineRule="auto"/>
              <w:ind w:left="400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一、资质审查</w:t>
            </w:r>
          </w:p>
        </w:tc>
      </w:tr>
      <w:tr w14:paraId="3B27F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rPr>
        <w:tc>
          <w:tcPr>
            <w:tcW w:w="788" w:type="dxa"/>
            <w:vAlign w:val="top"/>
          </w:tcPr>
          <w:p w14:paraId="60E78601">
            <w:pPr>
              <w:kinsoku w:val="0"/>
              <w:autoSpaceDE w:val="0"/>
              <w:autoSpaceDN w:val="0"/>
              <w:adjustRightInd w:val="0"/>
              <w:snapToGrid w:val="0"/>
              <w:spacing w:before="68" w:line="222" w:lineRule="auto"/>
              <w:ind w:left="21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5619" w:type="dxa"/>
            <w:vAlign w:val="top"/>
          </w:tcPr>
          <w:p w14:paraId="7D84B7EA">
            <w:pPr>
              <w:kinsoku w:val="0"/>
              <w:autoSpaceDE w:val="0"/>
              <w:autoSpaceDN w:val="0"/>
              <w:adjustRightInd w:val="0"/>
              <w:snapToGrid w:val="0"/>
              <w:spacing w:before="69" w:line="220" w:lineRule="auto"/>
              <w:ind w:left="244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708" w:type="dxa"/>
            <w:vAlign w:val="top"/>
          </w:tcPr>
          <w:p w14:paraId="1EAC96A6">
            <w:pPr>
              <w:kinsoku w:val="0"/>
              <w:autoSpaceDE w:val="0"/>
              <w:autoSpaceDN w:val="0"/>
              <w:adjustRightInd w:val="0"/>
              <w:snapToGrid w:val="0"/>
              <w:spacing w:before="69" w:line="220" w:lineRule="auto"/>
              <w:ind w:left="5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80" w:type="dxa"/>
            <w:vAlign w:val="top"/>
          </w:tcPr>
          <w:p w14:paraId="4EC574C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925" w:type="dxa"/>
            <w:vAlign w:val="top"/>
          </w:tcPr>
          <w:p w14:paraId="549E8490">
            <w:pPr>
              <w:kinsoku w:val="0"/>
              <w:autoSpaceDE w:val="0"/>
              <w:autoSpaceDN w:val="0"/>
              <w:adjustRightInd w:val="0"/>
              <w:snapToGrid w:val="0"/>
              <w:spacing w:before="68" w:line="222" w:lineRule="auto"/>
              <w:ind w:left="2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2F40F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788" w:type="dxa"/>
            <w:vAlign w:val="top"/>
          </w:tcPr>
          <w:p w14:paraId="57985670">
            <w:pPr>
              <w:widowControl/>
              <w:kinsoku w:val="0"/>
              <w:autoSpaceDE w:val="0"/>
              <w:autoSpaceDN w:val="0"/>
              <w:adjustRightInd w:val="0"/>
              <w:snapToGrid w:val="0"/>
              <w:spacing w:before="103" w:line="188" w:lineRule="auto"/>
              <w:ind w:left="36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1</w:t>
            </w:r>
          </w:p>
        </w:tc>
        <w:tc>
          <w:tcPr>
            <w:tcW w:w="5619" w:type="dxa"/>
            <w:vAlign w:val="top"/>
          </w:tcPr>
          <w:p w14:paraId="0746ADFC">
            <w:pPr>
              <w:kinsoku w:val="0"/>
              <w:autoSpaceDE w:val="0"/>
              <w:autoSpaceDN w:val="0"/>
              <w:adjustRightInd w:val="0"/>
              <w:snapToGrid w:val="0"/>
              <w:spacing w:before="74" w:line="221" w:lineRule="auto"/>
              <w:ind w:left="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危险化学品经营许可证</w:t>
            </w:r>
          </w:p>
        </w:tc>
        <w:tc>
          <w:tcPr>
            <w:tcW w:w="1708" w:type="dxa"/>
            <w:vAlign w:val="top"/>
          </w:tcPr>
          <w:p w14:paraId="6FDD60E3">
            <w:pPr>
              <w:kinsoku w:val="0"/>
              <w:autoSpaceDE w:val="0"/>
              <w:autoSpaceDN w:val="0"/>
              <w:adjustRightInd w:val="0"/>
              <w:snapToGrid w:val="0"/>
              <w:spacing w:before="74" w:line="222" w:lineRule="auto"/>
              <w:ind w:left="72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具备</w:t>
            </w:r>
          </w:p>
        </w:tc>
        <w:tc>
          <w:tcPr>
            <w:tcW w:w="80" w:type="dxa"/>
            <w:vAlign w:val="top"/>
          </w:tcPr>
          <w:p w14:paraId="0FA898B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925" w:type="dxa"/>
            <w:vAlign w:val="top"/>
          </w:tcPr>
          <w:p w14:paraId="207A947D">
            <w:pPr>
              <w:kinsoku w:val="0"/>
              <w:autoSpaceDE w:val="0"/>
              <w:autoSpaceDN w:val="0"/>
              <w:adjustRightInd w:val="0"/>
              <w:snapToGrid w:val="0"/>
              <w:spacing w:before="74" w:line="220"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33E9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788" w:type="dxa"/>
            <w:vAlign w:val="top"/>
          </w:tcPr>
          <w:p w14:paraId="5FF02DA5">
            <w:pPr>
              <w:widowControl/>
              <w:kinsoku w:val="0"/>
              <w:autoSpaceDE w:val="0"/>
              <w:autoSpaceDN w:val="0"/>
              <w:adjustRightInd w:val="0"/>
              <w:snapToGrid w:val="0"/>
              <w:spacing w:before="106" w:line="188" w:lineRule="auto"/>
              <w:ind w:left="34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2</w:t>
            </w:r>
          </w:p>
        </w:tc>
        <w:tc>
          <w:tcPr>
            <w:tcW w:w="5619" w:type="dxa"/>
            <w:vAlign w:val="top"/>
          </w:tcPr>
          <w:p w14:paraId="4455BE61">
            <w:pPr>
              <w:kinsoku w:val="0"/>
              <w:autoSpaceDE w:val="0"/>
              <w:autoSpaceDN w:val="0"/>
              <w:adjustRightInd w:val="0"/>
              <w:snapToGrid w:val="0"/>
              <w:spacing w:before="75" w:line="219" w:lineRule="auto"/>
              <w:ind w:left="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成品油经营批准证书</w:t>
            </w:r>
          </w:p>
        </w:tc>
        <w:tc>
          <w:tcPr>
            <w:tcW w:w="1708" w:type="dxa"/>
            <w:vAlign w:val="top"/>
          </w:tcPr>
          <w:p w14:paraId="516E7A1D">
            <w:pPr>
              <w:kinsoku w:val="0"/>
              <w:autoSpaceDE w:val="0"/>
              <w:autoSpaceDN w:val="0"/>
              <w:adjustRightInd w:val="0"/>
              <w:snapToGrid w:val="0"/>
              <w:spacing w:before="74" w:line="222" w:lineRule="auto"/>
              <w:ind w:left="72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具备</w:t>
            </w:r>
          </w:p>
        </w:tc>
        <w:tc>
          <w:tcPr>
            <w:tcW w:w="80" w:type="dxa"/>
            <w:vAlign w:val="top"/>
          </w:tcPr>
          <w:p w14:paraId="152ECE2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925" w:type="dxa"/>
            <w:vAlign w:val="top"/>
          </w:tcPr>
          <w:p w14:paraId="010E029A">
            <w:pPr>
              <w:kinsoku w:val="0"/>
              <w:autoSpaceDE w:val="0"/>
              <w:autoSpaceDN w:val="0"/>
              <w:adjustRightInd w:val="0"/>
              <w:snapToGrid w:val="0"/>
              <w:spacing w:before="75" w:line="220"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4DAD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788" w:type="dxa"/>
            <w:vAlign w:val="top"/>
          </w:tcPr>
          <w:p w14:paraId="363352B7">
            <w:pPr>
              <w:widowControl/>
              <w:kinsoku w:val="0"/>
              <w:autoSpaceDE w:val="0"/>
              <w:autoSpaceDN w:val="0"/>
              <w:adjustRightInd w:val="0"/>
              <w:snapToGrid w:val="0"/>
              <w:spacing w:before="106" w:line="188" w:lineRule="auto"/>
              <w:ind w:left="34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3</w:t>
            </w:r>
          </w:p>
        </w:tc>
        <w:tc>
          <w:tcPr>
            <w:tcW w:w="5619" w:type="dxa"/>
            <w:vAlign w:val="top"/>
          </w:tcPr>
          <w:p w14:paraId="189E264B">
            <w:pPr>
              <w:kinsoku w:val="0"/>
              <w:autoSpaceDE w:val="0"/>
              <w:autoSpaceDN w:val="0"/>
              <w:adjustRightInd w:val="0"/>
              <w:snapToGrid w:val="0"/>
              <w:spacing w:before="75" w:line="220" w:lineRule="auto"/>
              <w:ind w:left="1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营业执照</w:t>
            </w:r>
          </w:p>
        </w:tc>
        <w:tc>
          <w:tcPr>
            <w:tcW w:w="1708" w:type="dxa"/>
            <w:vAlign w:val="top"/>
          </w:tcPr>
          <w:p w14:paraId="482D55CF">
            <w:pPr>
              <w:kinsoku w:val="0"/>
              <w:autoSpaceDE w:val="0"/>
              <w:autoSpaceDN w:val="0"/>
              <w:adjustRightInd w:val="0"/>
              <w:snapToGrid w:val="0"/>
              <w:spacing w:before="74" w:line="222" w:lineRule="auto"/>
              <w:ind w:left="72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具备</w:t>
            </w:r>
          </w:p>
        </w:tc>
        <w:tc>
          <w:tcPr>
            <w:tcW w:w="80" w:type="dxa"/>
            <w:vAlign w:val="top"/>
          </w:tcPr>
          <w:p w14:paraId="51550F3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925" w:type="dxa"/>
            <w:vAlign w:val="top"/>
          </w:tcPr>
          <w:p w14:paraId="1A0B5F3F">
            <w:pPr>
              <w:kinsoku w:val="0"/>
              <w:autoSpaceDE w:val="0"/>
              <w:autoSpaceDN w:val="0"/>
              <w:adjustRightInd w:val="0"/>
              <w:snapToGrid w:val="0"/>
              <w:spacing w:before="75" w:line="220"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6C07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788" w:type="dxa"/>
            <w:vAlign w:val="top"/>
          </w:tcPr>
          <w:p w14:paraId="0B69ED8B">
            <w:pPr>
              <w:widowControl/>
              <w:kinsoku w:val="0"/>
              <w:autoSpaceDE w:val="0"/>
              <w:autoSpaceDN w:val="0"/>
              <w:adjustRightInd w:val="0"/>
              <w:snapToGrid w:val="0"/>
              <w:spacing w:before="106" w:line="188" w:lineRule="auto"/>
              <w:ind w:left="3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4</w:t>
            </w:r>
          </w:p>
        </w:tc>
        <w:tc>
          <w:tcPr>
            <w:tcW w:w="5619" w:type="dxa"/>
            <w:vAlign w:val="top"/>
          </w:tcPr>
          <w:p w14:paraId="7F00C662">
            <w:pPr>
              <w:kinsoku w:val="0"/>
              <w:autoSpaceDE w:val="0"/>
              <w:autoSpaceDN w:val="0"/>
              <w:adjustRightInd w:val="0"/>
              <w:snapToGrid w:val="0"/>
              <w:spacing w:before="78" w:line="219" w:lineRule="auto"/>
              <w:ind w:left="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消防验收意见书</w:t>
            </w:r>
          </w:p>
        </w:tc>
        <w:tc>
          <w:tcPr>
            <w:tcW w:w="1708" w:type="dxa"/>
            <w:vAlign w:val="top"/>
          </w:tcPr>
          <w:p w14:paraId="077C475F">
            <w:pPr>
              <w:kinsoku w:val="0"/>
              <w:autoSpaceDE w:val="0"/>
              <w:autoSpaceDN w:val="0"/>
              <w:adjustRightInd w:val="0"/>
              <w:snapToGrid w:val="0"/>
              <w:spacing w:before="77" w:line="222" w:lineRule="auto"/>
              <w:ind w:left="72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具备</w:t>
            </w:r>
          </w:p>
        </w:tc>
        <w:tc>
          <w:tcPr>
            <w:tcW w:w="80" w:type="dxa"/>
            <w:vAlign w:val="top"/>
          </w:tcPr>
          <w:p w14:paraId="108F1A9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925" w:type="dxa"/>
            <w:vAlign w:val="top"/>
          </w:tcPr>
          <w:p w14:paraId="2AE2A918">
            <w:pPr>
              <w:kinsoku w:val="0"/>
              <w:autoSpaceDE w:val="0"/>
              <w:autoSpaceDN w:val="0"/>
              <w:adjustRightInd w:val="0"/>
              <w:snapToGrid w:val="0"/>
              <w:spacing w:before="77" w:line="220"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9C80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3" w:hRule="atLeast"/>
        </w:trPr>
        <w:tc>
          <w:tcPr>
            <w:tcW w:w="788" w:type="dxa"/>
            <w:vAlign w:val="top"/>
          </w:tcPr>
          <w:p w14:paraId="70410665">
            <w:pPr>
              <w:widowControl/>
              <w:kinsoku w:val="0"/>
              <w:autoSpaceDE w:val="0"/>
              <w:autoSpaceDN w:val="0"/>
              <w:adjustRightInd w:val="0"/>
              <w:snapToGrid w:val="0"/>
              <w:spacing w:before="111" w:line="185" w:lineRule="auto"/>
              <w:ind w:left="350"/>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5</w:t>
            </w:r>
          </w:p>
        </w:tc>
        <w:tc>
          <w:tcPr>
            <w:tcW w:w="5619" w:type="dxa"/>
            <w:vAlign w:val="top"/>
          </w:tcPr>
          <w:p w14:paraId="2F943459">
            <w:pPr>
              <w:kinsoku w:val="0"/>
              <w:autoSpaceDE w:val="0"/>
              <w:autoSpaceDN w:val="0"/>
              <w:adjustRightInd w:val="0"/>
              <w:snapToGrid w:val="0"/>
              <w:spacing w:before="77" w:line="219" w:lineRule="auto"/>
              <w:ind w:left="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防雷防静电检测报告</w:t>
            </w:r>
          </w:p>
        </w:tc>
        <w:tc>
          <w:tcPr>
            <w:tcW w:w="1708" w:type="dxa"/>
            <w:vAlign w:val="top"/>
          </w:tcPr>
          <w:p w14:paraId="66006CD3">
            <w:pPr>
              <w:kinsoku w:val="0"/>
              <w:autoSpaceDE w:val="0"/>
              <w:autoSpaceDN w:val="0"/>
              <w:adjustRightInd w:val="0"/>
              <w:snapToGrid w:val="0"/>
              <w:spacing w:before="77" w:line="222" w:lineRule="auto"/>
              <w:ind w:left="72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具备</w:t>
            </w:r>
          </w:p>
        </w:tc>
        <w:tc>
          <w:tcPr>
            <w:tcW w:w="80" w:type="dxa"/>
            <w:vAlign w:val="top"/>
          </w:tcPr>
          <w:p w14:paraId="4E5A89E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925" w:type="dxa"/>
            <w:vAlign w:val="top"/>
          </w:tcPr>
          <w:p w14:paraId="5073807F">
            <w:pPr>
              <w:kinsoku w:val="0"/>
              <w:autoSpaceDE w:val="0"/>
              <w:autoSpaceDN w:val="0"/>
              <w:adjustRightInd w:val="0"/>
              <w:snapToGrid w:val="0"/>
              <w:spacing w:before="78" w:line="220"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752A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9120" w:type="dxa"/>
            <w:gridSpan w:val="5"/>
            <w:vAlign w:val="top"/>
          </w:tcPr>
          <w:p w14:paraId="6E457232">
            <w:pPr>
              <w:kinsoku w:val="0"/>
              <w:autoSpaceDE w:val="0"/>
              <w:autoSpaceDN w:val="0"/>
              <w:adjustRightInd w:val="0"/>
              <w:snapToGrid w:val="0"/>
              <w:spacing w:before="75" w:line="220" w:lineRule="auto"/>
              <w:ind w:left="382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3"/>
                <w:kern w:val="0"/>
                <w:sz w:val="18"/>
                <w:szCs w:val="18"/>
                <w:lang w:val="en-US" w:eastAsia="en-US" w:bidi="ar-SA"/>
              </w:rPr>
              <w:t>二、安全管理制度</w:t>
            </w:r>
          </w:p>
        </w:tc>
      </w:tr>
      <w:tr w14:paraId="58795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788" w:type="dxa"/>
            <w:vAlign w:val="top"/>
          </w:tcPr>
          <w:p w14:paraId="7D251756">
            <w:pPr>
              <w:kinsoku w:val="0"/>
              <w:autoSpaceDE w:val="0"/>
              <w:autoSpaceDN w:val="0"/>
              <w:adjustRightInd w:val="0"/>
              <w:snapToGrid w:val="0"/>
              <w:spacing w:before="77" w:line="218" w:lineRule="auto"/>
              <w:ind w:left="21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5619" w:type="dxa"/>
            <w:vAlign w:val="top"/>
          </w:tcPr>
          <w:p w14:paraId="55C9D4DF">
            <w:pPr>
              <w:kinsoku w:val="0"/>
              <w:autoSpaceDE w:val="0"/>
              <w:autoSpaceDN w:val="0"/>
              <w:adjustRightInd w:val="0"/>
              <w:snapToGrid w:val="0"/>
              <w:spacing w:before="77" w:line="218" w:lineRule="auto"/>
              <w:ind w:left="244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788" w:type="dxa"/>
            <w:gridSpan w:val="2"/>
            <w:vAlign w:val="top"/>
          </w:tcPr>
          <w:p w14:paraId="2AD9D469">
            <w:pPr>
              <w:kinsoku w:val="0"/>
              <w:autoSpaceDE w:val="0"/>
              <w:autoSpaceDN w:val="0"/>
              <w:adjustRightInd w:val="0"/>
              <w:snapToGrid w:val="0"/>
              <w:spacing w:before="77" w:line="218" w:lineRule="auto"/>
              <w:ind w:left="5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925" w:type="dxa"/>
            <w:vAlign w:val="top"/>
          </w:tcPr>
          <w:p w14:paraId="7E7D1A37">
            <w:pPr>
              <w:kinsoku w:val="0"/>
              <w:autoSpaceDE w:val="0"/>
              <w:autoSpaceDN w:val="0"/>
              <w:adjustRightInd w:val="0"/>
              <w:snapToGrid w:val="0"/>
              <w:spacing w:before="77" w:line="218" w:lineRule="auto"/>
              <w:ind w:left="2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2D56B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788" w:type="dxa"/>
            <w:vMerge w:val="restart"/>
            <w:vAlign w:val="top"/>
          </w:tcPr>
          <w:p w14:paraId="2B222ACF">
            <w:pPr>
              <w:widowControl/>
              <w:kinsoku w:val="0"/>
              <w:autoSpaceDE w:val="0"/>
              <w:autoSpaceDN w:val="0"/>
              <w:adjustRightInd w:val="0"/>
              <w:snapToGrid w:val="0"/>
              <w:spacing w:line="276" w:lineRule="auto"/>
              <w:jc w:val="left"/>
              <w:textAlignment w:val="baseline"/>
              <w:rPr>
                <w:rFonts w:ascii="Arial" w:hAnsi="Arial" w:eastAsia="Arial" w:cs="Arial"/>
                <w:snapToGrid w:val="0"/>
                <w:color w:val="000000"/>
                <w:kern w:val="0"/>
                <w:sz w:val="21"/>
                <w:lang w:eastAsia="en-US"/>
              </w:rPr>
            </w:pPr>
          </w:p>
          <w:p w14:paraId="62A83014">
            <w:pPr>
              <w:widowControl/>
              <w:kinsoku w:val="0"/>
              <w:autoSpaceDE w:val="0"/>
              <w:autoSpaceDN w:val="0"/>
              <w:adjustRightInd w:val="0"/>
              <w:snapToGrid w:val="0"/>
              <w:spacing w:line="276" w:lineRule="auto"/>
              <w:jc w:val="left"/>
              <w:textAlignment w:val="baseline"/>
              <w:rPr>
                <w:rFonts w:ascii="Arial" w:hAnsi="Arial" w:eastAsia="Arial" w:cs="Arial"/>
                <w:snapToGrid w:val="0"/>
                <w:color w:val="000000"/>
                <w:kern w:val="0"/>
                <w:sz w:val="21"/>
                <w:lang w:eastAsia="en-US"/>
              </w:rPr>
            </w:pPr>
          </w:p>
          <w:p w14:paraId="09602452">
            <w:pPr>
              <w:widowControl/>
              <w:kinsoku w:val="0"/>
              <w:autoSpaceDE w:val="0"/>
              <w:autoSpaceDN w:val="0"/>
              <w:adjustRightInd w:val="0"/>
              <w:snapToGrid w:val="0"/>
              <w:spacing w:line="277" w:lineRule="auto"/>
              <w:jc w:val="left"/>
              <w:textAlignment w:val="baseline"/>
              <w:rPr>
                <w:rFonts w:ascii="Arial" w:hAnsi="Arial" w:eastAsia="Arial" w:cs="Arial"/>
                <w:snapToGrid w:val="0"/>
                <w:color w:val="000000"/>
                <w:kern w:val="0"/>
                <w:sz w:val="21"/>
                <w:lang w:eastAsia="en-US"/>
              </w:rPr>
            </w:pPr>
          </w:p>
          <w:p w14:paraId="1D66C752">
            <w:pPr>
              <w:widowControl/>
              <w:kinsoku w:val="0"/>
              <w:autoSpaceDE w:val="0"/>
              <w:autoSpaceDN w:val="0"/>
              <w:adjustRightInd w:val="0"/>
              <w:snapToGrid w:val="0"/>
              <w:spacing w:before="52" w:line="188" w:lineRule="auto"/>
              <w:ind w:left="36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1</w:t>
            </w:r>
          </w:p>
        </w:tc>
        <w:tc>
          <w:tcPr>
            <w:tcW w:w="8332" w:type="dxa"/>
            <w:gridSpan w:val="4"/>
            <w:vAlign w:val="top"/>
          </w:tcPr>
          <w:p w14:paraId="0466A56F">
            <w:pPr>
              <w:kinsoku w:val="0"/>
              <w:autoSpaceDE w:val="0"/>
              <w:autoSpaceDN w:val="0"/>
              <w:adjustRightInd w:val="0"/>
              <w:snapToGrid w:val="0"/>
              <w:spacing w:before="77" w:line="213" w:lineRule="auto"/>
              <w:ind w:left="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有各级各类人员的安全管理责任制，其中包括：</w:t>
            </w:r>
          </w:p>
        </w:tc>
      </w:tr>
      <w:tr w14:paraId="0DCC9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788" w:type="dxa"/>
            <w:vMerge w:val="continue"/>
            <w:vAlign w:val="top"/>
          </w:tcPr>
          <w:p w14:paraId="1DFC9D6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1B95253C">
            <w:pPr>
              <w:kinsoku w:val="0"/>
              <w:autoSpaceDE w:val="0"/>
              <w:autoSpaceDN w:val="0"/>
              <w:adjustRightInd w:val="0"/>
              <w:snapToGrid w:val="0"/>
              <w:spacing w:before="77" w:line="213" w:lineRule="auto"/>
              <w:ind w:left="2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1</w:t>
            </w:r>
            <w:r>
              <w:rPr>
                <w:rFonts w:ascii="Times New Roman" w:hAnsi="Times New Roman" w:eastAsia="Times New Roman" w:cs="Times New Roman"/>
                <w:snapToGrid w:val="0"/>
                <w:color w:val="000000"/>
                <w:spacing w:val="-2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、加油站站长安全职责</w:t>
            </w:r>
          </w:p>
        </w:tc>
        <w:tc>
          <w:tcPr>
            <w:tcW w:w="1788" w:type="dxa"/>
            <w:gridSpan w:val="2"/>
            <w:vAlign w:val="top"/>
          </w:tcPr>
          <w:p w14:paraId="2F55C088">
            <w:pPr>
              <w:kinsoku w:val="0"/>
              <w:autoSpaceDE w:val="0"/>
              <w:autoSpaceDN w:val="0"/>
              <w:adjustRightInd w:val="0"/>
              <w:snapToGrid w:val="0"/>
              <w:spacing w:before="77" w:line="213" w:lineRule="auto"/>
              <w:ind w:left="7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建立</w:t>
            </w:r>
          </w:p>
        </w:tc>
        <w:tc>
          <w:tcPr>
            <w:tcW w:w="925" w:type="dxa"/>
            <w:vAlign w:val="top"/>
          </w:tcPr>
          <w:p w14:paraId="7C2E66D4">
            <w:pPr>
              <w:kinsoku w:val="0"/>
              <w:autoSpaceDE w:val="0"/>
              <w:autoSpaceDN w:val="0"/>
              <w:adjustRightInd w:val="0"/>
              <w:snapToGrid w:val="0"/>
              <w:spacing w:before="77" w:line="213"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100C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788" w:type="dxa"/>
            <w:vMerge w:val="continue"/>
            <w:vAlign w:val="top"/>
          </w:tcPr>
          <w:p w14:paraId="0BFF91F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24DE6DF5">
            <w:pPr>
              <w:kinsoku w:val="0"/>
              <w:autoSpaceDE w:val="0"/>
              <w:autoSpaceDN w:val="0"/>
              <w:adjustRightInd w:val="0"/>
              <w:snapToGrid w:val="0"/>
              <w:spacing w:before="82" w:line="217" w:lineRule="auto"/>
              <w:ind w:left="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2</w:t>
            </w:r>
            <w:r>
              <w:rPr>
                <w:rFonts w:ascii="Times New Roman" w:hAnsi="Times New Roman" w:eastAsia="Times New Roman" w:cs="Times New Roman"/>
                <w:snapToGrid w:val="0"/>
                <w:color w:val="000000"/>
                <w:spacing w:val="-2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、加油员安全职责</w:t>
            </w:r>
          </w:p>
        </w:tc>
        <w:tc>
          <w:tcPr>
            <w:tcW w:w="1788" w:type="dxa"/>
            <w:gridSpan w:val="2"/>
            <w:vAlign w:val="top"/>
          </w:tcPr>
          <w:p w14:paraId="1F409D14">
            <w:pPr>
              <w:kinsoku w:val="0"/>
              <w:autoSpaceDE w:val="0"/>
              <w:autoSpaceDN w:val="0"/>
              <w:adjustRightInd w:val="0"/>
              <w:snapToGrid w:val="0"/>
              <w:spacing w:before="82" w:line="217" w:lineRule="auto"/>
              <w:ind w:left="7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建立</w:t>
            </w:r>
          </w:p>
        </w:tc>
        <w:tc>
          <w:tcPr>
            <w:tcW w:w="925" w:type="dxa"/>
            <w:vAlign w:val="top"/>
          </w:tcPr>
          <w:p w14:paraId="27B0C336">
            <w:pPr>
              <w:kinsoku w:val="0"/>
              <w:autoSpaceDE w:val="0"/>
              <w:autoSpaceDN w:val="0"/>
              <w:adjustRightInd w:val="0"/>
              <w:snapToGrid w:val="0"/>
              <w:spacing w:before="82" w:line="217"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0CBF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788" w:type="dxa"/>
            <w:vMerge w:val="continue"/>
            <w:vAlign w:val="top"/>
          </w:tcPr>
          <w:p w14:paraId="6517DEA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47928FA1">
            <w:pPr>
              <w:kinsoku w:val="0"/>
              <w:autoSpaceDE w:val="0"/>
              <w:autoSpaceDN w:val="0"/>
              <w:adjustRightInd w:val="0"/>
              <w:snapToGrid w:val="0"/>
              <w:spacing w:before="82" w:line="217" w:lineRule="auto"/>
              <w:ind w:left="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3</w:t>
            </w:r>
            <w:r>
              <w:rPr>
                <w:rFonts w:ascii="Times New Roman" w:hAnsi="Times New Roman" w:eastAsia="Times New Roman" w:cs="Times New Roman"/>
                <w:snapToGrid w:val="0"/>
                <w:color w:val="000000"/>
                <w:spacing w:val="-17"/>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、计量、质量员安全职责</w:t>
            </w:r>
          </w:p>
        </w:tc>
        <w:tc>
          <w:tcPr>
            <w:tcW w:w="1788" w:type="dxa"/>
            <w:gridSpan w:val="2"/>
            <w:vAlign w:val="top"/>
          </w:tcPr>
          <w:p w14:paraId="32AA5AE4">
            <w:pPr>
              <w:kinsoku w:val="0"/>
              <w:autoSpaceDE w:val="0"/>
              <w:autoSpaceDN w:val="0"/>
              <w:adjustRightInd w:val="0"/>
              <w:snapToGrid w:val="0"/>
              <w:spacing w:before="82" w:line="217" w:lineRule="auto"/>
              <w:ind w:left="7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建立</w:t>
            </w:r>
          </w:p>
        </w:tc>
        <w:tc>
          <w:tcPr>
            <w:tcW w:w="925" w:type="dxa"/>
            <w:vAlign w:val="top"/>
          </w:tcPr>
          <w:p w14:paraId="15AAE9AF">
            <w:pPr>
              <w:kinsoku w:val="0"/>
              <w:autoSpaceDE w:val="0"/>
              <w:autoSpaceDN w:val="0"/>
              <w:adjustRightInd w:val="0"/>
              <w:snapToGrid w:val="0"/>
              <w:spacing w:before="82" w:line="217"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4FFEE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trPr>
        <w:tc>
          <w:tcPr>
            <w:tcW w:w="788" w:type="dxa"/>
            <w:vMerge w:val="continue"/>
            <w:vAlign w:val="top"/>
          </w:tcPr>
          <w:p w14:paraId="2E5BD57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1F37BEA5">
            <w:pPr>
              <w:kinsoku w:val="0"/>
              <w:autoSpaceDE w:val="0"/>
              <w:autoSpaceDN w:val="0"/>
              <w:adjustRightInd w:val="0"/>
              <w:snapToGrid w:val="0"/>
              <w:spacing w:before="84" w:line="216" w:lineRule="auto"/>
              <w:ind w:left="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4</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、安全员安全职责</w:t>
            </w:r>
          </w:p>
        </w:tc>
        <w:tc>
          <w:tcPr>
            <w:tcW w:w="1788" w:type="dxa"/>
            <w:gridSpan w:val="2"/>
            <w:vAlign w:val="top"/>
          </w:tcPr>
          <w:p w14:paraId="02D05625">
            <w:pPr>
              <w:kinsoku w:val="0"/>
              <w:autoSpaceDE w:val="0"/>
              <w:autoSpaceDN w:val="0"/>
              <w:adjustRightInd w:val="0"/>
              <w:snapToGrid w:val="0"/>
              <w:spacing w:before="84" w:line="216" w:lineRule="auto"/>
              <w:ind w:left="7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建立</w:t>
            </w:r>
          </w:p>
        </w:tc>
        <w:tc>
          <w:tcPr>
            <w:tcW w:w="925" w:type="dxa"/>
            <w:vAlign w:val="top"/>
          </w:tcPr>
          <w:p w14:paraId="547E87B2">
            <w:pPr>
              <w:kinsoku w:val="0"/>
              <w:autoSpaceDE w:val="0"/>
              <w:autoSpaceDN w:val="0"/>
              <w:adjustRightInd w:val="0"/>
              <w:snapToGrid w:val="0"/>
              <w:spacing w:before="84" w:line="216"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16C9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788" w:type="dxa"/>
            <w:vMerge w:val="continue"/>
            <w:vAlign w:val="top"/>
          </w:tcPr>
          <w:p w14:paraId="073AF8C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478823B8">
            <w:pPr>
              <w:kinsoku w:val="0"/>
              <w:autoSpaceDE w:val="0"/>
              <w:autoSpaceDN w:val="0"/>
              <w:adjustRightInd w:val="0"/>
              <w:snapToGrid w:val="0"/>
              <w:spacing w:before="79" w:line="211" w:lineRule="auto"/>
              <w:ind w:left="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5</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、事故应急救援预案（制定灭火预案并经常进行消防</w:t>
            </w:r>
            <w:r>
              <w:rPr>
                <w:rFonts w:ascii="宋体" w:hAnsi="宋体" w:eastAsia="宋体" w:cs="宋体"/>
                <w:snapToGrid w:val="0"/>
                <w:color w:val="000000"/>
                <w:spacing w:val="-2"/>
                <w:kern w:val="0"/>
                <w:sz w:val="18"/>
                <w:szCs w:val="18"/>
                <w:lang w:val="en-US" w:eastAsia="en-US" w:bidi="ar-SA"/>
              </w:rPr>
              <w:t>演练）</w:t>
            </w:r>
          </w:p>
        </w:tc>
        <w:tc>
          <w:tcPr>
            <w:tcW w:w="1788" w:type="dxa"/>
            <w:gridSpan w:val="2"/>
            <w:vAlign w:val="top"/>
          </w:tcPr>
          <w:p w14:paraId="6E17EF34">
            <w:pPr>
              <w:kinsoku w:val="0"/>
              <w:autoSpaceDE w:val="0"/>
              <w:autoSpaceDN w:val="0"/>
              <w:adjustRightInd w:val="0"/>
              <w:snapToGrid w:val="0"/>
              <w:spacing w:before="79" w:line="211" w:lineRule="auto"/>
              <w:ind w:left="7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建立</w:t>
            </w:r>
          </w:p>
        </w:tc>
        <w:tc>
          <w:tcPr>
            <w:tcW w:w="925" w:type="dxa"/>
            <w:vAlign w:val="top"/>
          </w:tcPr>
          <w:p w14:paraId="68B86B74">
            <w:pPr>
              <w:kinsoku w:val="0"/>
              <w:autoSpaceDE w:val="0"/>
              <w:autoSpaceDN w:val="0"/>
              <w:adjustRightInd w:val="0"/>
              <w:snapToGrid w:val="0"/>
              <w:spacing w:before="79" w:line="211"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733B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2" w:hRule="atLeast"/>
        </w:trPr>
        <w:tc>
          <w:tcPr>
            <w:tcW w:w="788" w:type="dxa"/>
            <w:vAlign w:val="top"/>
          </w:tcPr>
          <w:p w14:paraId="185E79DA">
            <w:pPr>
              <w:widowControl/>
              <w:kinsoku w:val="0"/>
              <w:autoSpaceDE w:val="0"/>
              <w:autoSpaceDN w:val="0"/>
              <w:adjustRightInd w:val="0"/>
              <w:snapToGrid w:val="0"/>
              <w:spacing w:before="247" w:line="188" w:lineRule="auto"/>
              <w:ind w:left="34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2</w:t>
            </w:r>
          </w:p>
        </w:tc>
        <w:tc>
          <w:tcPr>
            <w:tcW w:w="5619" w:type="dxa"/>
            <w:vAlign w:val="top"/>
          </w:tcPr>
          <w:p w14:paraId="7695A1B1">
            <w:pPr>
              <w:kinsoku w:val="0"/>
              <w:autoSpaceDE w:val="0"/>
              <w:autoSpaceDN w:val="0"/>
              <w:adjustRightInd w:val="0"/>
              <w:snapToGrid w:val="0"/>
              <w:spacing w:before="88" w:line="245" w:lineRule="auto"/>
              <w:ind w:left="9" w:hanging="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 xml:space="preserve">有健全的安全管理制度（包括教育培训、防火、动火、用火、检修、废 </w:t>
            </w:r>
            <w:r>
              <w:rPr>
                <w:rFonts w:ascii="宋体" w:hAnsi="宋体" w:eastAsia="宋体" w:cs="宋体"/>
                <w:snapToGrid w:val="0"/>
                <w:color w:val="000000"/>
                <w:spacing w:val="-2"/>
                <w:kern w:val="0"/>
                <w:sz w:val="18"/>
                <w:szCs w:val="18"/>
                <w:lang w:val="en-US" w:eastAsia="en-US" w:bidi="ar-SA"/>
              </w:rPr>
              <w:t>弃物处理）制度。</w:t>
            </w:r>
          </w:p>
        </w:tc>
        <w:tc>
          <w:tcPr>
            <w:tcW w:w="1788" w:type="dxa"/>
            <w:gridSpan w:val="2"/>
            <w:vAlign w:val="top"/>
          </w:tcPr>
          <w:p w14:paraId="278572BE">
            <w:pPr>
              <w:kinsoku w:val="0"/>
              <w:autoSpaceDE w:val="0"/>
              <w:autoSpaceDN w:val="0"/>
              <w:adjustRightInd w:val="0"/>
              <w:snapToGrid w:val="0"/>
              <w:spacing w:before="218" w:line="222" w:lineRule="auto"/>
              <w:ind w:left="7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建立</w:t>
            </w:r>
          </w:p>
        </w:tc>
        <w:tc>
          <w:tcPr>
            <w:tcW w:w="925" w:type="dxa"/>
            <w:vAlign w:val="top"/>
          </w:tcPr>
          <w:p w14:paraId="14A95A03">
            <w:pPr>
              <w:kinsoku w:val="0"/>
              <w:autoSpaceDE w:val="0"/>
              <w:autoSpaceDN w:val="0"/>
              <w:adjustRightInd w:val="0"/>
              <w:snapToGrid w:val="0"/>
              <w:spacing w:before="218" w:line="220"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8391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788" w:type="dxa"/>
            <w:vMerge w:val="restart"/>
            <w:vAlign w:val="top"/>
          </w:tcPr>
          <w:p w14:paraId="591A8850">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6A103DF5">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6AF8167C">
            <w:pPr>
              <w:widowControl/>
              <w:kinsoku w:val="0"/>
              <w:autoSpaceDE w:val="0"/>
              <w:autoSpaceDN w:val="0"/>
              <w:adjustRightInd w:val="0"/>
              <w:snapToGrid w:val="0"/>
              <w:spacing w:before="51" w:line="188" w:lineRule="auto"/>
              <w:ind w:left="35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3</w:t>
            </w:r>
          </w:p>
        </w:tc>
        <w:tc>
          <w:tcPr>
            <w:tcW w:w="8332" w:type="dxa"/>
            <w:gridSpan w:val="4"/>
            <w:vAlign w:val="top"/>
          </w:tcPr>
          <w:p w14:paraId="3521687B">
            <w:pPr>
              <w:kinsoku w:val="0"/>
              <w:autoSpaceDE w:val="0"/>
              <w:autoSpaceDN w:val="0"/>
              <w:adjustRightInd w:val="0"/>
              <w:snapToGrid w:val="0"/>
              <w:spacing w:before="81" w:line="220" w:lineRule="auto"/>
              <w:ind w:left="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有各岗位操作规程，其中包括：</w:t>
            </w:r>
          </w:p>
        </w:tc>
      </w:tr>
      <w:tr w14:paraId="56FA1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trPr>
        <w:tc>
          <w:tcPr>
            <w:tcW w:w="788" w:type="dxa"/>
            <w:vMerge w:val="continue"/>
            <w:vAlign w:val="top"/>
          </w:tcPr>
          <w:p w14:paraId="7AFBF47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8332" w:type="dxa"/>
            <w:gridSpan w:val="4"/>
            <w:vAlign w:val="top"/>
          </w:tcPr>
          <w:p w14:paraId="075260E6">
            <w:pPr>
              <w:kinsoku w:val="0"/>
              <w:autoSpaceDE w:val="0"/>
              <w:autoSpaceDN w:val="0"/>
              <w:adjustRightInd w:val="0"/>
              <w:snapToGrid w:val="0"/>
              <w:spacing w:before="79" w:line="220" w:lineRule="auto"/>
              <w:ind w:left="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（一）卸油操作规程：</w:t>
            </w:r>
          </w:p>
        </w:tc>
      </w:tr>
      <w:tr w14:paraId="09C1F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4" w:hRule="atLeast"/>
        </w:trPr>
        <w:tc>
          <w:tcPr>
            <w:tcW w:w="788" w:type="dxa"/>
            <w:vMerge w:val="continue"/>
            <w:vAlign w:val="top"/>
          </w:tcPr>
          <w:p w14:paraId="3A8AFCF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2007260C">
            <w:pPr>
              <w:kinsoku w:val="0"/>
              <w:autoSpaceDE w:val="0"/>
              <w:autoSpaceDN w:val="0"/>
              <w:adjustRightInd w:val="0"/>
              <w:snapToGrid w:val="0"/>
              <w:spacing w:before="88" w:line="246" w:lineRule="auto"/>
              <w:ind w:left="6" w:firstLine="1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1</w:t>
            </w:r>
            <w:r>
              <w:rPr>
                <w:rFonts w:ascii="宋体" w:hAnsi="宋体" w:eastAsia="宋体" w:cs="宋体"/>
                <w:snapToGrid w:val="0"/>
                <w:color w:val="000000"/>
                <w:spacing w:val="-3"/>
                <w:kern w:val="0"/>
                <w:sz w:val="18"/>
                <w:szCs w:val="18"/>
                <w:lang w:val="en-US" w:eastAsia="en-US" w:bidi="ar-SA"/>
              </w:rPr>
              <w:t>、卸油前，卸油工应检查接地装置是否良好，消防器材是否到位，接好</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接地线（接地夹禁止装在油罐车装、卸油口附近</w:t>
            </w:r>
            <w:r>
              <w:rPr>
                <w:rFonts w:ascii="宋体" w:hAnsi="宋体" w:eastAsia="宋体" w:cs="宋体"/>
                <w:snapToGrid w:val="0"/>
                <w:color w:val="000000"/>
                <w:spacing w:val="10"/>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15</w:t>
            </w:r>
            <w:r>
              <w:rPr>
                <w:rFonts w:ascii="宋体" w:hAnsi="宋体" w:eastAsia="宋体" w:cs="宋体"/>
                <w:snapToGrid w:val="0"/>
                <w:color w:val="000000"/>
                <w:spacing w:val="-1"/>
                <w:kern w:val="0"/>
                <w:sz w:val="18"/>
                <w:szCs w:val="18"/>
                <w:lang w:val="en-US" w:eastAsia="en-US" w:bidi="ar-SA"/>
              </w:rPr>
              <w:t>分钟后计量。</w:t>
            </w:r>
          </w:p>
        </w:tc>
        <w:tc>
          <w:tcPr>
            <w:tcW w:w="1788" w:type="dxa"/>
            <w:gridSpan w:val="2"/>
            <w:vAlign w:val="top"/>
          </w:tcPr>
          <w:p w14:paraId="4C32CEA2">
            <w:pPr>
              <w:kinsoku w:val="0"/>
              <w:autoSpaceDE w:val="0"/>
              <w:autoSpaceDN w:val="0"/>
              <w:adjustRightInd w:val="0"/>
              <w:snapToGrid w:val="0"/>
              <w:spacing w:before="217" w:line="221" w:lineRule="auto"/>
              <w:ind w:left="80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25" w:type="dxa"/>
            <w:vAlign w:val="top"/>
          </w:tcPr>
          <w:p w14:paraId="4EBE9D9A">
            <w:pPr>
              <w:kinsoku w:val="0"/>
              <w:autoSpaceDE w:val="0"/>
              <w:autoSpaceDN w:val="0"/>
              <w:adjustRightInd w:val="0"/>
              <w:snapToGrid w:val="0"/>
              <w:spacing w:before="217" w:line="220"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5B7CC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788" w:type="dxa"/>
            <w:vMerge w:val="restart"/>
            <w:vAlign w:val="top"/>
          </w:tcPr>
          <w:p w14:paraId="4F3D1ABC">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294AA050">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777A7740">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68145A54">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7EADA790">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18AD0A09">
            <w:pPr>
              <w:widowControl/>
              <w:kinsoku w:val="0"/>
              <w:autoSpaceDE w:val="0"/>
              <w:autoSpaceDN w:val="0"/>
              <w:adjustRightInd w:val="0"/>
              <w:snapToGrid w:val="0"/>
              <w:spacing w:before="52" w:line="188" w:lineRule="auto"/>
              <w:ind w:left="35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4</w:t>
            </w:r>
          </w:p>
        </w:tc>
        <w:tc>
          <w:tcPr>
            <w:tcW w:w="5619" w:type="dxa"/>
            <w:vAlign w:val="top"/>
          </w:tcPr>
          <w:p w14:paraId="1F27AB1A">
            <w:pPr>
              <w:kinsoku w:val="0"/>
              <w:autoSpaceDE w:val="0"/>
              <w:autoSpaceDN w:val="0"/>
              <w:adjustRightInd w:val="0"/>
              <w:snapToGrid w:val="0"/>
              <w:spacing w:before="63" w:line="231" w:lineRule="auto"/>
              <w:ind w:left="20" w:hanging="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2</w:t>
            </w:r>
            <w:r>
              <w:rPr>
                <w:rFonts w:ascii="宋体" w:hAnsi="宋体" w:eastAsia="宋体" w:cs="宋体"/>
                <w:snapToGrid w:val="0"/>
                <w:color w:val="000000"/>
                <w:spacing w:val="-3"/>
                <w:kern w:val="0"/>
                <w:sz w:val="18"/>
                <w:szCs w:val="18"/>
                <w:lang w:val="en-US" w:eastAsia="en-US" w:bidi="ar-SA"/>
              </w:rPr>
              <w:t>、核对卸油罐与运油罐车所装油品是否相符，确认卸油罐的空容量，防</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止跑、冒、混油发生。</w:t>
            </w:r>
          </w:p>
        </w:tc>
        <w:tc>
          <w:tcPr>
            <w:tcW w:w="1708" w:type="dxa"/>
            <w:vAlign w:val="top"/>
          </w:tcPr>
          <w:p w14:paraId="46214DB8">
            <w:pPr>
              <w:kinsoku w:val="0"/>
              <w:autoSpaceDE w:val="0"/>
              <w:autoSpaceDN w:val="0"/>
              <w:adjustRightInd w:val="0"/>
              <w:snapToGrid w:val="0"/>
              <w:spacing w:before="192" w:line="221" w:lineRule="auto"/>
              <w:ind w:left="7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1005" w:type="dxa"/>
            <w:gridSpan w:val="2"/>
            <w:vAlign w:val="top"/>
          </w:tcPr>
          <w:p w14:paraId="666EB42D">
            <w:pPr>
              <w:kinsoku w:val="0"/>
              <w:autoSpaceDE w:val="0"/>
              <w:autoSpaceDN w:val="0"/>
              <w:adjustRightInd w:val="0"/>
              <w:snapToGrid w:val="0"/>
              <w:spacing w:before="193" w:line="220" w:lineRule="auto"/>
              <w:ind w:left="3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06E0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788" w:type="dxa"/>
            <w:vMerge w:val="continue"/>
            <w:vAlign w:val="top"/>
          </w:tcPr>
          <w:p w14:paraId="5617F36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4773293B">
            <w:pPr>
              <w:kinsoku w:val="0"/>
              <w:autoSpaceDE w:val="0"/>
              <w:autoSpaceDN w:val="0"/>
              <w:adjustRightInd w:val="0"/>
              <w:snapToGrid w:val="0"/>
              <w:spacing w:before="65" w:line="230" w:lineRule="auto"/>
              <w:ind w:left="2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3</w:t>
            </w:r>
            <w:r>
              <w:rPr>
                <w:rFonts w:ascii="宋体" w:hAnsi="宋体" w:eastAsia="宋体" w:cs="宋体"/>
                <w:snapToGrid w:val="0"/>
                <w:color w:val="000000"/>
                <w:spacing w:val="-3"/>
                <w:kern w:val="0"/>
                <w:sz w:val="18"/>
                <w:szCs w:val="18"/>
                <w:lang w:val="en-US" w:eastAsia="en-US" w:bidi="ar-SA"/>
              </w:rPr>
              <w:t>、卸油中，卸油工应注意观察管线、闸阀等相关设备的运行情况，</w:t>
            </w:r>
            <w:r>
              <w:rPr>
                <w:rFonts w:ascii="宋体" w:hAnsi="宋体" w:eastAsia="宋体" w:cs="宋体"/>
                <w:snapToGrid w:val="0"/>
                <w:color w:val="000000"/>
                <w:spacing w:val="-4"/>
                <w:kern w:val="0"/>
                <w:sz w:val="18"/>
                <w:szCs w:val="18"/>
                <w:lang w:val="en-US" w:eastAsia="en-US" w:bidi="ar-SA"/>
              </w:rPr>
              <w:t>可机</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和卸油工均不得离开作业现场。</w:t>
            </w:r>
          </w:p>
        </w:tc>
        <w:tc>
          <w:tcPr>
            <w:tcW w:w="1708" w:type="dxa"/>
            <w:vAlign w:val="top"/>
          </w:tcPr>
          <w:p w14:paraId="3440C616">
            <w:pPr>
              <w:kinsoku w:val="0"/>
              <w:autoSpaceDE w:val="0"/>
              <w:autoSpaceDN w:val="0"/>
              <w:adjustRightInd w:val="0"/>
              <w:snapToGrid w:val="0"/>
              <w:spacing w:before="193" w:line="221" w:lineRule="auto"/>
              <w:ind w:left="7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1005" w:type="dxa"/>
            <w:gridSpan w:val="2"/>
            <w:vAlign w:val="top"/>
          </w:tcPr>
          <w:p w14:paraId="7534C017">
            <w:pPr>
              <w:kinsoku w:val="0"/>
              <w:autoSpaceDE w:val="0"/>
              <w:autoSpaceDN w:val="0"/>
              <w:adjustRightInd w:val="0"/>
              <w:snapToGrid w:val="0"/>
              <w:spacing w:before="194" w:line="220" w:lineRule="auto"/>
              <w:ind w:left="3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3C61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788" w:type="dxa"/>
            <w:vMerge w:val="continue"/>
            <w:vAlign w:val="top"/>
          </w:tcPr>
          <w:p w14:paraId="474F7CA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4AE51265">
            <w:pPr>
              <w:kinsoku w:val="0"/>
              <w:autoSpaceDE w:val="0"/>
              <w:autoSpaceDN w:val="0"/>
              <w:adjustRightInd w:val="0"/>
              <w:snapToGrid w:val="0"/>
              <w:spacing w:before="65" w:line="230" w:lineRule="auto"/>
              <w:ind w:left="21" w:hanging="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4</w:t>
            </w:r>
            <w:r>
              <w:rPr>
                <w:rFonts w:ascii="Times New Roman" w:hAnsi="Times New Roman" w:eastAsia="Times New Roman" w:cs="Times New Roman"/>
                <w:snapToGrid w:val="0"/>
                <w:color w:val="000000"/>
                <w:spacing w:val="-1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、卸油完毕，卸油工应登车确认油品是否卸净，关好闸阀，拆除管线，</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盖好口盖，收回静电接地线，将消防器材放回原处，清理现场。</w:t>
            </w:r>
          </w:p>
        </w:tc>
        <w:tc>
          <w:tcPr>
            <w:tcW w:w="1708" w:type="dxa"/>
            <w:vAlign w:val="top"/>
          </w:tcPr>
          <w:p w14:paraId="2BFBF6A0">
            <w:pPr>
              <w:kinsoku w:val="0"/>
              <w:autoSpaceDE w:val="0"/>
              <w:autoSpaceDN w:val="0"/>
              <w:adjustRightInd w:val="0"/>
              <w:snapToGrid w:val="0"/>
              <w:spacing w:before="194" w:line="221" w:lineRule="auto"/>
              <w:ind w:left="7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1005" w:type="dxa"/>
            <w:gridSpan w:val="2"/>
            <w:vAlign w:val="top"/>
          </w:tcPr>
          <w:p w14:paraId="74861B28">
            <w:pPr>
              <w:kinsoku w:val="0"/>
              <w:autoSpaceDE w:val="0"/>
              <w:autoSpaceDN w:val="0"/>
              <w:adjustRightInd w:val="0"/>
              <w:snapToGrid w:val="0"/>
              <w:spacing w:before="195" w:line="220" w:lineRule="auto"/>
              <w:ind w:left="3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5D68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0" w:hRule="atLeast"/>
        </w:trPr>
        <w:tc>
          <w:tcPr>
            <w:tcW w:w="788" w:type="dxa"/>
            <w:vMerge w:val="continue"/>
            <w:vAlign w:val="top"/>
          </w:tcPr>
          <w:p w14:paraId="4171396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35E1A813">
            <w:pPr>
              <w:kinsoku w:val="0"/>
              <w:autoSpaceDE w:val="0"/>
              <w:autoSpaceDN w:val="0"/>
              <w:adjustRightInd w:val="0"/>
              <w:snapToGrid w:val="0"/>
              <w:spacing w:before="67" w:line="229" w:lineRule="auto"/>
              <w:ind w:left="2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5</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、卸油后，油罐车不可立即起动，应待油罐车周围油气消散后（约</w:t>
            </w:r>
            <w:r>
              <w:rPr>
                <w:rFonts w:ascii="Times New Roman" w:hAnsi="Times New Roman" w:eastAsia="Times New Roman" w:cs="Times New Roman"/>
                <w:snapToGrid w:val="0"/>
                <w:color w:val="000000"/>
                <w:spacing w:val="-1"/>
                <w:kern w:val="0"/>
                <w:sz w:val="18"/>
                <w:szCs w:val="18"/>
                <w:lang w:val="en-US" w:eastAsia="en-US" w:bidi="ar-SA"/>
              </w:rPr>
              <w:t>5</w:t>
            </w:r>
            <w:r>
              <w:rPr>
                <w:rFonts w:ascii="宋体" w:hAnsi="宋体" w:eastAsia="宋体" w:cs="宋体"/>
                <w:snapToGrid w:val="0"/>
                <w:color w:val="000000"/>
                <w:spacing w:val="-1"/>
                <w:kern w:val="0"/>
                <w:sz w:val="18"/>
                <w:szCs w:val="18"/>
                <w:lang w:val="en-US" w:eastAsia="en-US" w:bidi="ar-SA"/>
              </w:rPr>
              <w:t>分</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钟）再起动。</w:t>
            </w:r>
          </w:p>
        </w:tc>
        <w:tc>
          <w:tcPr>
            <w:tcW w:w="1708" w:type="dxa"/>
            <w:vAlign w:val="top"/>
          </w:tcPr>
          <w:p w14:paraId="7B9F964F">
            <w:pPr>
              <w:kinsoku w:val="0"/>
              <w:autoSpaceDE w:val="0"/>
              <w:autoSpaceDN w:val="0"/>
              <w:adjustRightInd w:val="0"/>
              <w:snapToGrid w:val="0"/>
              <w:spacing w:before="196" w:line="221" w:lineRule="auto"/>
              <w:ind w:left="7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1005" w:type="dxa"/>
            <w:gridSpan w:val="2"/>
            <w:vAlign w:val="top"/>
          </w:tcPr>
          <w:p w14:paraId="4213B355">
            <w:pPr>
              <w:kinsoku w:val="0"/>
              <w:autoSpaceDE w:val="0"/>
              <w:autoSpaceDN w:val="0"/>
              <w:adjustRightInd w:val="0"/>
              <w:snapToGrid w:val="0"/>
              <w:spacing w:before="196" w:line="220" w:lineRule="auto"/>
              <w:ind w:left="3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40D69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1" w:hRule="atLeast"/>
        </w:trPr>
        <w:tc>
          <w:tcPr>
            <w:tcW w:w="788" w:type="dxa"/>
            <w:vMerge w:val="continue"/>
            <w:vAlign w:val="top"/>
          </w:tcPr>
          <w:p w14:paraId="60E06E8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619" w:type="dxa"/>
            <w:vAlign w:val="top"/>
          </w:tcPr>
          <w:p w14:paraId="10E52208">
            <w:pPr>
              <w:kinsoku w:val="0"/>
              <w:autoSpaceDE w:val="0"/>
              <w:autoSpaceDN w:val="0"/>
              <w:adjustRightInd w:val="0"/>
              <w:snapToGrid w:val="0"/>
              <w:spacing w:before="106" w:line="220" w:lineRule="auto"/>
              <w:ind w:left="2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6</w:t>
            </w:r>
            <w:r>
              <w:rPr>
                <w:rFonts w:ascii="Times New Roman" w:hAnsi="Times New Roman" w:eastAsia="Times New Roman" w:cs="Times New Roman"/>
                <w:snapToGrid w:val="0"/>
                <w:color w:val="000000"/>
                <w:spacing w:val="-1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、雷雨天气禁止卸油作业。</w:t>
            </w:r>
          </w:p>
        </w:tc>
        <w:tc>
          <w:tcPr>
            <w:tcW w:w="1708" w:type="dxa"/>
            <w:vAlign w:val="top"/>
          </w:tcPr>
          <w:p w14:paraId="3A2F5306">
            <w:pPr>
              <w:kinsoku w:val="0"/>
              <w:autoSpaceDE w:val="0"/>
              <w:autoSpaceDN w:val="0"/>
              <w:adjustRightInd w:val="0"/>
              <w:snapToGrid w:val="0"/>
              <w:spacing w:before="106" w:line="221" w:lineRule="auto"/>
              <w:ind w:left="7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1005" w:type="dxa"/>
            <w:gridSpan w:val="2"/>
            <w:vAlign w:val="top"/>
          </w:tcPr>
          <w:p w14:paraId="3876E0EC">
            <w:pPr>
              <w:kinsoku w:val="0"/>
              <w:autoSpaceDE w:val="0"/>
              <w:autoSpaceDN w:val="0"/>
              <w:adjustRightInd w:val="0"/>
              <w:snapToGrid w:val="0"/>
              <w:spacing w:before="106" w:line="220" w:lineRule="auto"/>
              <w:ind w:left="3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4EF7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trPr>
        <w:tc>
          <w:tcPr>
            <w:tcW w:w="788" w:type="dxa"/>
            <w:vMerge w:val="continue"/>
            <w:vAlign w:val="top"/>
          </w:tcPr>
          <w:p w14:paraId="429970E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8332" w:type="dxa"/>
            <w:gridSpan w:val="4"/>
            <w:vAlign w:val="top"/>
          </w:tcPr>
          <w:p w14:paraId="1ECA5599">
            <w:pPr>
              <w:kinsoku w:val="0"/>
              <w:autoSpaceDE w:val="0"/>
              <w:autoSpaceDN w:val="0"/>
              <w:adjustRightInd w:val="0"/>
              <w:snapToGrid w:val="0"/>
              <w:spacing w:before="101" w:line="220" w:lineRule="auto"/>
              <w:ind w:left="3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（二）加油操作规程</w:t>
            </w:r>
          </w:p>
        </w:tc>
      </w:tr>
    </w:tbl>
    <w:p w14:paraId="36BD9E13">
      <w:pPr>
        <w:rPr>
          <w:rFonts w:hint="eastAsia"/>
        </w:rPr>
      </w:pPr>
      <w:r>
        <w:rPr>
          <w:rFonts w:hint="eastAsia"/>
        </w:rPr>
        <w:br w:type="page"/>
      </w:r>
    </w:p>
    <w:tbl>
      <w:tblPr>
        <w:tblStyle w:val="47"/>
        <w:tblW w:w="9078" w:type="dxa"/>
        <w:tblInd w:w="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9"/>
        <w:gridCol w:w="5589"/>
        <w:gridCol w:w="1702"/>
        <w:gridCol w:w="188"/>
        <w:gridCol w:w="800"/>
      </w:tblGrid>
      <w:tr w14:paraId="77F5B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0" w:hRule="atLeast"/>
        </w:trPr>
        <w:tc>
          <w:tcPr>
            <w:tcW w:w="799" w:type="dxa"/>
            <w:vMerge w:val="restart"/>
            <w:vAlign w:val="top"/>
          </w:tcPr>
          <w:p w14:paraId="03677E9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589" w:type="dxa"/>
            <w:vAlign w:val="top"/>
          </w:tcPr>
          <w:p w14:paraId="3B833B9C">
            <w:pPr>
              <w:kinsoku w:val="0"/>
              <w:autoSpaceDE w:val="0"/>
              <w:autoSpaceDN w:val="0"/>
              <w:adjustRightInd w:val="0"/>
              <w:snapToGrid w:val="0"/>
              <w:spacing w:before="59" w:line="236" w:lineRule="auto"/>
              <w:ind w:left="15" w:firstLine="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1</w:t>
            </w:r>
            <w:r>
              <w:rPr>
                <w:rFonts w:ascii="Times New Roman" w:hAnsi="Times New Roman" w:eastAsia="Times New Roman" w:cs="Times New Roman"/>
                <w:snapToGrid w:val="0"/>
                <w:color w:val="000000"/>
                <w:spacing w:val="-27"/>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、加油工应着防静电工作服，禁止穿钉子鞋，并禁止在危险区域内脱、</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穿、拍打衣服。</w:t>
            </w:r>
          </w:p>
        </w:tc>
        <w:tc>
          <w:tcPr>
            <w:tcW w:w="1702" w:type="dxa"/>
            <w:vAlign w:val="top"/>
          </w:tcPr>
          <w:p w14:paraId="287145AB">
            <w:pPr>
              <w:kinsoku w:val="0"/>
              <w:autoSpaceDE w:val="0"/>
              <w:autoSpaceDN w:val="0"/>
              <w:adjustRightInd w:val="0"/>
              <w:snapToGrid w:val="0"/>
              <w:spacing w:before="189" w:line="221"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12E21229">
            <w:pPr>
              <w:kinsoku w:val="0"/>
              <w:autoSpaceDE w:val="0"/>
              <w:autoSpaceDN w:val="0"/>
              <w:adjustRightInd w:val="0"/>
              <w:snapToGrid w:val="0"/>
              <w:spacing w:before="189" w:line="220"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B823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rPr>
        <w:tc>
          <w:tcPr>
            <w:tcW w:w="799" w:type="dxa"/>
            <w:vMerge w:val="continue"/>
            <w:vAlign w:val="top"/>
          </w:tcPr>
          <w:p w14:paraId="28AB0BA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589" w:type="dxa"/>
            <w:vAlign w:val="top"/>
          </w:tcPr>
          <w:p w14:paraId="5829A538">
            <w:pPr>
              <w:kinsoku w:val="0"/>
              <w:autoSpaceDE w:val="0"/>
              <w:autoSpaceDN w:val="0"/>
              <w:adjustRightInd w:val="0"/>
              <w:snapToGrid w:val="0"/>
              <w:spacing w:before="79" w:line="219" w:lineRule="auto"/>
              <w:jc w:val="righ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2</w:t>
            </w:r>
            <w:r>
              <w:rPr>
                <w:rFonts w:ascii="Times New Roman" w:hAnsi="Times New Roman" w:eastAsia="Times New Roman" w:cs="Times New Roman"/>
                <w:snapToGrid w:val="0"/>
                <w:color w:val="000000"/>
                <w:spacing w:val="-9"/>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、加油工应在车辆停稳、发动机熄火后，方可将油箱口盖打开、加油。</w:t>
            </w:r>
          </w:p>
        </w:tc>
        <w:tc>
          <w:tcPr>
            <w:tcW w:w="1702" w:type="dxa"/>
            <w:vAlign w:val="top"/>
          </w:tcPr>
          <w:p w14:paraId="6627954A">
            <w:pPr>
              <w:kinsoku w:val="0"/>
              <w:autoSpaceDE w:val="0"/>
              <w:autoSpaceDN w:val="0"/>
              <w:adjustRightInd w:val="0"/>
              <w:snapToGrid w:val="0"/>
              <w:spacing w:before="78" w:line="221"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2FCED3CF">
            <w:pPr>
              <w:kinsoku w:val="0"/>
              <w:autoSpaceDE w:val="0"/>
              <w:autoSpaceDN w:val="0"/>
              <w:adjustRightInd w:val="0"/>
              <w:snapToGrid w:val="0"/>
              <w:spacing w:before="79" w:line="220"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349B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trPr>
        <w:tc>
          <w:tcPr>
            <w:tcW w:w="799" w:type="dxa"/>
            <w:vMerge w:val="continue"/>
            <w:vAlign w:val="top"/>
          </w:tcPr>
          <w:p w14:paraId="293ECA4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589" w:type="dxa"/>
            <w:vAlign w:val="top"/>
          </w:tcPr>
          <w:p w14:paraId="787979EB">
            <w:pPr>
              <w:kinsoku w:val="0"/>
              <w:autoSpaceDE w:val="0"/>
              <w:autoSpaceDN w:val="0"/>
              <w:adjustRightInd w:val="0"/>
              <w:snapToGrid w:val="0"/>
              <w:spacing w:before="119" w:line="220" w:lineRule="auto"/>
              <w:ind w:left="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3</w:t>
            </w:r>
            <w:r>
              <w:rPr>
                <w:rFonts w:ascii="Times New Roman" w:hAnsi="Times New Roman" w:eastAsia="Times New Roman" w:cs="Times New Roman"/>
                <w:snapToGrid w:val="0"/>
                <w:color w:val="000000"/>
                <w:spacing w:val="-1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、严禁向汽车汽化器及塑料桶内加油。</w:t>
            </w:r>
          </w:p>
        </w:tc>
        <w:tc>
          <w:tcPr>
            <w:tcW w:w="1702" w:type="dxa"/>
            <w:vAlign w:val="top"/>
          </w:tcPr>
          <w:p w14:paraId="30694595">
            <w:pPr>
              <w:kinsoku w:val="0"/>
              <w:autoSpaceDE w:val="0"/>
              <w:autoSpaceDN w:val="0"/>
              <w:adjustRightInd w:val="0"/>
              <w:snapToGrid w:val="0"/>
              <w:spacing w:before="118" w:line="221"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745E8118">
            <w:pPr>
              <w:kinsoku w:val="0"/>
              <w:autoSpaceDE w:val="0"/>
              <w:autoSpaceDN w:val="0"/>
              <w:adjustRightInd w:val="0"/>
              <w:snapToGrid w:val="0"/>
              <w:spacing w:before="119" w:line="220"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F3CD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9" w:hRule="atLeast"/>
        </w:trPr>
        <w:tc>
          <w:tcPr>
            <w:tcW w:w="799" w:type="dxa"/>
            <w:vMerge w:val="continue"/>
            <w:vAlign w:val="top"/>
          </w:tcPr>
          <w:p w14:paraId="46FC99F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589" w:type="dxa"/>
            <w:vAlign w:val="top"/>
          </w:tcPr>
          <w:p w14:paraId="1533E6F4">
            <w:pPr>
              <w:kinsoku w:val="0"/>
              <w:autoSpaceDE w:val="0"/>
              <w:autoSpaceDN w:val="0"/>
              <w:adjustRightInd w:val="0"/>
              <w:snapToGrid w:val="0"/>
              <w:spacing w:before="130" w:line="219" w:lineRule="auto"/>
              <w:ind w:left="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4</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、洒、冒油品擦拭干净后方可继续加油。</w:t>
            </w:r>
          </w:p>
        </w:tc>
        <w:tc>
          <w:tcPr>
            <w:tcW w:w="1702" w:type="dxa"/>
            <w:vAlign w:val="top"/>
          </w:tcPr>
          <w:p w14:paraId="270E70FE">
            <w:pPr>
              <w:kinsoku w:val="0"/>
              <w:autoSpaceDE w:val="0"/>
              <w:autoSpaceDN w:val="0"/>
              <w:adjustRightInd w:val="0"/>
              <w:snapToGrid w:val="0"/>
              <w:spacing w:before="130" w:line="221"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73F340FF">
            <w:pPr>
              <w:kinsoku w:val="0"/>
              <w:autoSpaceDE w:val="0"/>
              <w:autoSpaceDN w:val="0"/>
              <w:adjustRightInd w:val="0"/>
              <w:snapToGrid w:val="0"/>
              <w:spacing w:before="130" w:line="220"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89A8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1" w:hRule="atLeast"/>
        </w:trPr>
        <w:tc>
          <w:tcPr>
            <w:tcW w:w="799" w:type="dxa"/>
            <w:vMerge w:val="continue"/>
            <w:vAlign w:val="top"/>
          </w:tcPr>
          <w:p w14:paraId="2E76182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589" w:type="dxa"/>
            <w:vAlign w:val="top"/>
          </w:tcPr>
          <w:p w14:paraId="65547282">
            <w:pPr>
              <w:kinsoku w:val="0"/>
              <w:autoSpaceDE w:val="0"/>
              <w:autoSpaceDN w:val="0"/>
              <w:adjustRightInd w:val="0"/>
              <w:snapToGrid w:val="0"/>
              <w:spacing w:before="61" w:line="194" w:lineRule="auto"/>
              <w:ind w:left="9"/>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5</w:t>
            </w:r>
            <w:r>
              <w:rPr>
                <w:rFonts w:ascii="Times New Roman" w:hAnsi="Times New Roman" w:eastAsia="Times New Roman" w:cs="Times New Roman"/>
                <w:snapToGrid w:val="0"/>
                <w:color w:val="000000"/>
                <w:spacing w:val="-1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、电闪雷击时禁止加油作业。</w:t>
            </w:r>
          </w:p>
        </w:tc>
        <w:tc>
          <w:tcPr>
            <w:tcW w:w="1702" w:type="dxa"/>
            <w:vAlign w:val="top"/>
          </w:tcPr>
          <w:p w14:paraId="5ED516F6">
            <w:pPr>
              <w:kinsoku w:val="0"/>
              <w:autoSpaceDE w:val="0"/>
              <w:autoSpaceDN w:val="0"/>
              <w:adjustRightInd w:val="0"/>
              <w:snapToGrid w:val="0"/>
              <w:spacing w:before="61" w:line="194"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00852F3F">
            <w:pPr>
              <w:kinsoku w:val="0"/>
              <w:autoSpaceDE w:val="0"/>
              <w:autoSpaceDN w:val="0"/>
              <w:adjustRightInd w:val="0"/>
              <w:snapToGrid w:val="0"/>
              <w:spacing w:before="61" w:line="194"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5CD5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5" w:hRule="atLeast"/>
        </w:trPr>
        <w:tc>
          <w:tcPr>
            <w:tcW w:w="799" w:type="dxa"/>
            <w:vMerge w:val="continue"/>
            <w:vAlign w:val="top"/>
          </w:tcPr>
          <w:p w14:paraId="069653F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589" w:type="dxa"/>
            <w:vAlign w:val="top"/>
          </w:tcPr>
          <w:p w14:paraId="5F3D0C62">
            <w:pPr>
              <w:kinsoku w:val="0"/>
              <w:autoSpaceDE w:val="0"/>
              <w:autoSpaceDN w:val="0"/>
              <w:adjustRightInd w:val="0"/>
              <w:snapToGrid w:val="0"/>
              <w:spacing w:before="61" w:line="198" w:lineRule="auto"/>
              <w:ind w:left="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6</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、拖拉机、摩托车推出危险区域后方可发动。</w:t>
            </w:r>
          </w:p>
        </w:tc>
        <w:tc>
          <w:tcPr>
            <w:tcW w:w="1702" w:type="dxa"/>
            <w:vAlign w:val="top"/>
          </w:tcPr>
          <w:p w14:paraId="6ED4CF0F">
            <w:pPr>
              <w:kinsoku w:val="0"/>
              <w:autoSpaceDE w:val="0"/>
              <w:autoSpaceDN w:val="0"/>
              <w:adjustRightInd w:val="0"/>
              <w:snapToGrid w:val="0"/>
              <w:spacing w:before="61" w:line="198"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04EAC15D">
            <w:pPr>
              <w:kinsoku w:val="0"/>
              <w:autoSpaceDE w:val="0"/>
              <w:autoSpaceDN w:val="0"/>
              <w:adjustRightInd w:val="0"/>
              <w:snapToGrid w:val="0"/>
              <w:spacing w:before="61" w:line="198"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F97B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799" w:type="dxa"/>
            <w:vMerge w:val="continue"/>
            <w:vAlign w:val="top"/>
          </w:tcPr>
          <w:p w14:paraId="04309B7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5589" w:type="dxa"/>
            <w:vAlign w:val="top"/>
          </w:tcPr>
          <w:p w14:paraId="765CBC42">
            <w:pPr>
              <w:kinsoku w:val="0"/>
              <w:autoSpaceDE w:val="0"/>
              <w:autoSpaceDN w:val="0"/>
              <w:adjustRightInd w:val="0"/>
              <w:snapToGrid w:val="0"/>
              <w:spacing w:before="65" w:line="201" w:lineRule="auto"/>
              <w:ind w:left="7"/>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7</w:t>
            </w:r>
            <w:r>
              <w:rPr>
                <w:rFonts w:ascii="Times New Roman" w:hAnsi="Times New Roman" w:eastAsia="Times New Roman" w:cs="Times New Roman"/>
                <w:snapToGrid w:val="0"/>
                <w:color w:val="000000"/>
                <w:spacing w:val="-16"/>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、加油完毕，应尽快将油枪放回托架内。</w:t>
            </w:r>
          </w:p>
        </w:tc>
        <w:tc>
          <w:tcPr>
            <w:tcW w:w="1702" w:type="dxa"/>
            <w:vAlign w:val="top"/>
          </w:tcPr>
          <w:p w14:paraId="61BEFBFB">
            <w:pPr>
              <w:kinsoku w:val="0"/>
              <w:autoSpaceDE w:val="0"/>
              <w:autoSpaceDN w:val="0"/>
              <w:adjustRightInd w:val="0"/>
              <w:snapToGrid w:val="0"/>
              <w:spacing w:before="65" w:line="201"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1050F6A5">
            <w:pPr>
              <w:kinsoku w:val="0"/>
              <w:autoSpaceDE w:val="0"/>
              <w:autoSpaceDN w:val="0"/>
              <w:adjustRightInd w:val="0"/>
              <w:snapToGrid w:val="0"/>
              <w:spacing w:before="65" w:line="201"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ED45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trPr>
        <w:tc>
          <w:tcPr>
            <w:tcW w:w="799" w:type="dxa"/>
            <w:vAlign w:val="top"/>
          </w:tcPr>
          <w:p w14:paraId="7D32FB81">
            <w:pPr>
              <w:widowControl/>
              <w:kinsoku w:val="0"/>
              <w:autoSpaceDE w:val="0"/>
              <w:autoSpaceDN w:val="0"/>
              <w:adjustRightInd w:val="0"/>
              <w:snapToGrid w:val="0"/>
              <w:spacing w:before="98" w:line="185" w:lineRule="auto"/>
              <w:ind w:left="3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5</w:t>
            </w:r>
          </w:p>
        </w:tc>
        <w:tc>
          <w:tcPr>
            <w:tcW w:w="5589" w:type="dxa"/>
            <w:vAlign w:val="top"/>
          </w:tcPr>
          <w:p w14:paraId="31F7816B">
            <w:pPr>
              <w:kinsoku w:val="0"/>
              <w:autoSpaceDE w:val="0"/>
              <w:autoSpaceDN w:val="0"/>
              <w:adjustRightInd w:val="0"/>
              <w:snapToGrid w:val="0"/>
              <w:spacing w:before="66" w:line="200" w:lineRule="auto"/>
              <w:ind w:left="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建立安全检查（包括巡回检查、夜间和节假日值班）制度。</w:t>
            </w:r>
          </w:p>
        </w:tc>
        <w:tc>
          <w:tcPr>
            <w:tcW w:w="1702" w:type="dxa"/>
            <w:vAlign w:val="top"/>
          </w:tcPr>
          <w:p w14:paraId="718F2121">
            <w:pPr>
              <w:kinsoku w:val="0"/>
              <w:autoSpaceDE w:val="0"/>
              <w:autoSpaceDN w:val="0"/>
              <w:adjustRightInd w:val="0"/>
              <w:snapToGrid w:val="0"/>
              <w:spacing w:before="66" w:line="200"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3F79AA6B">
            <w:pPr>
              <w:kinsoku w:val="0"/>
              <w:autoSpaceDE w:val="0"/>
              <w:autoSpaceDN w:val="0"/>
              <w:adjustRightInd w:val="0"/>
              <w:snapToGrid w:val="0"/>
              <w:spacing w:before="66" w:line="200"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2CA2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trPr>
        <w:tc>
          <w:tcPr>
            <w:tcW w:w="799" w:type="dxa"/>
            <w:vAlign w:val="top"/>
          </w:tcPr>
          <w:p w14:paraId="02715F2C">
            <w:pPr>
              <w:widowControl/>
              <w:kinsoku w:val="0"/>
              <w:autoSpaceDE w:val="0"/>
              <w:autoSpaceDN w:val="0"/>
              <w:adjustRightInd w:val="0"/>
              <w:snapToGrid w:val="0"/>
              <w:spacing w:before="94" w:line="185" w:lineRule="auto"/>
              <w:ind w:left="356"/>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6</w:t>
            </w:r>
          </w:p>
        </w:tc>
        <w:tc>
          <w:tcPr>
            <w:tcW w:w="5589" w:type="dxa"/>
            <w:vAlign w:val="top"/>
          </w:tcPr>
          <w:p w14:paraId="31A03F2E">
            <w:pPr>
              <w:kinsoku w:val="0"/>
              <w:autoSpaceDE w:val="0"/>
              <w:autoSpaceDN w:val="0"/>
              <w:adjustRightInd w:val="0"/>
              <w:snapToGrid w:val="0"/>
              <w:spacing w:before="65" w:line="193" w:lineRule="auto"/>
              <w:ind w:left="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有完善的事故应急救援预案，并要有登记备案。</w:t>
            </w:r>
          </w:p>
        </w:tc>
        <w:tc>
          <w:tcPr>
            <w:tcW w:w="1702" w:type="dxa"/>
            <w:vAlign w:val="top"/>
          </w:tcPr>
          <w:p w14:paraId="598F1C5A">
            <w:pPr>
              <w:kinsoku w:val="0"/>
              <w:autoSpaceDE w:val="0"/>
              <w:autoSpaceDN w:val="0"/>
              <w:adjustRightInd w:val="0"/>
              <w:snapToGrid w:val="0"/>
              <w:spacing w:before="65" w:line="193" w:lineRule="auto"/>
              <w:ind w:left="7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有</w:t>
            </w:r>
          </w:p>
        </w:tc>
        <w:tc>
          <w:tcPr>
            <w:tcW w:w="988" w:type="dxa"/>
            <w:gridSpan w:val="2"/>
            <w:vAlign w:val="top"/>
          </w:tcPr>
          <w:p w14:paraId="6BDB3709">
            <w:pPr>
              <w:kinsoku w:val="0"/>
              <w:autoSpaceDE w:val="0"/>
              <w:autoSpaceDN w:val="0"/>
              <w:adjustRightInd w:val="0"/>
              <w:snapToGrid w:val="0"/>
              <w:spacing w:before="65" w:line="193" w:lineRule="auto"/>
              <w:ind w:left="3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F28B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trPr>
        <w:tc>
          <w:tcPr>
            <w:tcW w:w="9078" w:type="dxa"/>
            <w:gridSpan w:val="5"/>
            <w:vAlign w:val="top"/>
          </w:tcPr>
          <w:p w14:paraId="3CE0488A">
            <w:pPr>
              <w:kinsoku w:val="0"/>
              <w:autoSpaceDE w:val="0"/>
              <w:autoSpaceDN w:val="0"/>
              <w:adjustRightInd w:val="0"/>
              <w:snapToGrid w:val="0"/>
              <w:spacing w:before="136" w:line="220" w:lineRule="auto"/>
              <w:ind w:left="38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3"/>
                <w:kern w:val="0"/>
                <w:sz w:val="18"/>
                <w:szCs w:val="18"/>
                <w:lang w:val="en-US" w:eastAsia="en-US" w:bidi="ar-SA"/>
              </w:rPr>
              <w:t>三、安全管理组织</w:t>
            </w:r>
          </w:p>
        </w:tc>
      </w:tr>
      <w:tr w14:paraId="492A4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99" w:type="dxa"/>
            <w:vAlign w:val="top"/>
          </w:tcPr>
          <w:p w14:paraId="74359FA3">
            <w:pPr>
              <w:kinsoku w:val="0"/>
              <w:autoSpaceDE w:val="0"/>
              <w:autoSpaceDN w:val="0"/>
              <w:adjustRightInd w:val="0"/>
              <w:snapToGrid w:val="0"/>
              <w:spacing w:before="70" w:line="200" w:lineRule="auto"/>
              <w:ind w:left="22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5589" w:type="dxa"/>
            <w:vAlign w:val="top"/>
          </w:tcPr>
          <w:p w14:paraId="1083479B">
            <w:pPr>
              <w:kinsoku w:val="0"/>
              <w:autoSpaceDE w:val="0"/>
              <w:autoSpaceDN w:val="0"/>
              <w:adjustRightInd w:val="0"/>
              <w:snapToGrid w:val="0"/>
              <w:spacing w:before="70" w:line="200" w:lineRule="auto"/>
              <w:ind w:left="243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890" w:type="dxa"/>
            <w:gridSpan w:val="2"/>
            <w:vAlign w:val="top"/>
          </w:tcPr>
          <w:p w14:paraId="30D47E1F">
            <w:pPr>
              <w:kinsoku w:val="0"/>
              <w:autoSpaceDE w:val="0"/>
              <w:autoSpaceDN w:val="0"/>
              <w:adjustRightInd w:val="0"/>
              <w:snapToGrid w:val="0"/>
              <w:spacing w:before="70" w:line="200" w:lineRule="auto"/>
              <w:ind w:left="58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800" w:type="dxa"/>
            <w:vAlign w:val="top"/>
          </w:tcPr>
          <w:p w14:paraId="072FA843">
            <w:pPr>
              <w:kinsoku w:val="0"/>
              <w:autoSpaceDE w:val="0"/>
              <w:autoSpaceDN w:val="0"/>
              <w:adjustRightInd w:val="0"/>
              <w:snapToGrid w:val="0"/>
              <w:spacing w:before="70" w:line="200" w:lineRule="auto"/>
              <w:ind w:left="22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2F8E4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trPr>
        <w:tc>
          <w:tcPr>
            <w:tcW w:w="799" w:type="dxa"/>
            <w:vAlign w:val="top"/>
          </w:tcPr>
          <w:p w14:paraId="2106F119">
            <w:pPr>
              <w:widowControl/>
              <w:kinsoku w:val="0"/>
              <w:autoSpaceDE w:val="0"/>
              <w:autoSpaceDN w:val="0"/>
              <w:adjustRightInd w:val="0"/>
              <w:snapToGrid w:val="0"/>
              <w:spacing w:before="102" w:line="188" w:lineRule="auto"/>
              <w:ind w:left="37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1</w:t>
            </w:r>
          </w:p>
        </w:tc>
        <w:tc>
          <w:tcPr>
            <w:tcW w:w="5589" w:type="dxa"/>
            <w:vAlign w:val="top"/>
          </w:tcPr>
          <w:p w14:paraId="474FCFCB">
            <w:pPr>
              <w:kinsoku w:val="0"/>
              <w:autoSpaceDE w:val="0"/>
              <w:autoSpaceDN w:val="0"/>
              <w:adjustRightInd w:val="0"/>
              <w:snapToGrid w:val="0"/>
              <w:spacing w:before="71" w:line="203" w:lineRule="auto"/>
              <w:ind w:left="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有安全管理领导小组，有专职或兼职安全人员。</w:t>
            </w:r>
          </w:p>
        </w:tc>
        <w:tc>
          <w:tcPr>
            <w:tcW w:w="1890" w:type="dxa"/>
            <w:gridSpan w:val="2"/>
            <w:vAlign w:val="top"/>
          </w:tcPr>
          <w:p w14:paraId="09A172FB">
            <w:pPr>
              <w:kinsoku w:val="0"/>
              <w:autoSpaceDE w:val="0"/>
              <w:autoSpaceDN w:val="0"/>
              <w:adjustRightInd w:val="0"/>
              <w:snapToGrid w:val="0"/>
              <w:spacing w:before="71" w:line="203" w:lineRule="auto"/>
              <w:ind w:left="807"/>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1"/>
                <w:kern w:val="0"/>
                <w:sz w:val="18"/>
                <w:szCs w:val="18"/>
                <w:lang w:val="en-US" w:eastAsia="en-US" w:bidi="ar-SA"/>
              </w:rPr>
              <w:t>1</w:t>
            </w:r>
            <w:r>
              <w:rPr>
                <w:rFonts w:ascii="Times New Roman" w:hAnsi="Times New Roman" w:eastAsia="Times New Roman" w:cs="Times New Roman"/>
                <w:snapToGrid w:val="0"/>
                <w:color w:val="000000"/>
                <w:spacing w:val="7"/>
                <w:kern w:val="0"/>
                <w:sz w:val="18"/>
                <w:szCs w:val="18"/>
                <w:lang w:val="en-US" w:eastAsia="en-US" w:bidi="ar-SA"/>
              </w:rPr>
              <w:t xml:space="preserve"> </w:t>
            </w:r>
            <w:r>
              <w:rPr>
                <w:rFonts w:ascii="宋体" w:hAnsi="宋体" w:eastAsia="宋体" w:cs="宋体"/>
                <w:snapToGrid w:val="0"/>
                <w:color w:val="000000"/>
                <w:spacing w:val="-11"/>
                <w:kern w:val="0"/>
                <w:sz w:val="18"/>
                <w:szCs w:val="18"/>
                <w:lang w:val="en-US" w:eastAsia="en-US" w:bidi="ar-SA"/>
              </w:rPr>
              <w:t>人</w:t>
            </w:r>
          </w:p>
        </w:tc>
        <w:tc>
          <w:tcPr>
            <w:tcW w:w="800" w:type="dxa"/>
            <w:vAlign w:val="top"/>
          </w:tcPr>
          <w:p w14:paraId="12783BBA">
            <w:pPr>
              <w:kinsoku w:val="0"/>
              <w:autoSpaceDE w:val="0"/>
              <w:autoSpaceDN w:val="0"/>
              <w:adjustRightInd w:val="0"/>
              <w:snapToGrid w:val="0"/>
              <w:spacing w:before="71" w:line="203" w:lineRule="auto"/>
              <w:ind w:left="2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326C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9078" w:type="dxa"/>
            <w:gridSpan w:val="5"/>
            <w:vAlign w:val="top"/>
          </w:tcPr>
          <w:p w14:paraId="77CA8389">
            <w:pPr>
              <w:kinsoku w:val="0"/>
              <w:autoSpaceDE w:val="0"/>
              <w:autoSpaceDN w:val="0"/>
              <w:adjustRightInd w:val="0"/>
              <w:snapToGrid w:val="0"/>
              <w:spacing w:before="73" w:line="205" w:lineRule="auto"/>
              <w:ind w:left="383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5"/>
                <w:kern w:val="0"/>
                <w:sz w:val="18"/>
                <w:szCs w:val="18"/>
                <w:lang w:val="en-US" w:eastAsia="en-US" w:bidi="ar-SA"/>
              </w:rPr>
              <w:t>四、从业人员状况</w:t>
            </w:r>
          </w:p>
        </w:tc>
      </w:tr>
      <w:tr w14:paraId="2402C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 w:hRule="atLeast"/>
        </w:trPr>
        <w:tc>
          <w:tcPr>
            <w:tcW w:w="799" w:type="dxa"/>
            <w:vAlign w:val="top"/>
          </w:tcPr>
          <w:p w14:paraId="4666E9F2">
            <w:pPr>
              <w:kinsoku w:val="0"/>
              <w:autoSpaceDE w:val="0"/>
              <w:autoSpaceDN w:val="0"/>
              <w:adjustRightInd w:val="0"/>
              <w:snapToGrid w:val="0"/>
              <w:spacing w:before="62" w:line="159" w:lineRule="auto"/>
              <w:ind w:left="22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5589" w:type="dxa"/>
            <w:vAlign w:val="top"/>
          </w:tcPr>
          <w:p w14:paraId="383B1354">
            <w:pPr>
              <w:kinsoku w:val="0"/>
              <w:autoSpaceDE w:val="0"/>
              <w:autoSpaceDN w:val="0"/>
              <w:adjustRightInd w:val="0"/>
              <w:snapToGrid w:val="0"/>
              <w:spacing w:before="62" w:line="159" w:lineRule="auto"/>
              <w:ind w:left="243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890" w:type="dxa"/>
            <w:gridSpan w:val="2"/>
            <w:vAlign w:val="top"/>
          </w:tcPr>
          <w:p w14:paraId="4B0264C2">
            <w:pPr>
              <w:kinsoku w:val="0"/>
              <w:autoSpaceDE w:val="0"/>
              <w:autoSpaceDN w:val="0"/>
              <w:adjustRightInd w:val="0"/>
              <w:snapToGrid w:val="0"/>
              <w:spacing w:before="62" w:line="159" w:lineRule="auto"/>
              <w:ind w:left="58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800" w:type="dxa"/>
            <w:vAlign w:val="top"/>
          </w:tcPr>
          <w:p w14:paraId="59F63CF3">
            <w:pPr>
              <w:kinsoku w:val="0"/>
              <w:autoSpaceDE w:val="0"/>
              <w:autoSpaceDN w:val="0"/>
              <w:adjustRightInd w:val="0"/>
              <w:snapToGrid w:val="0"/>
              <w:spacing w:before="62" w:line="159" w:lineRule="auto"/>
              <w:ind w:left="22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53D06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trPr>
        <w:tc>
          <w:tcPr>
            <w:tcW w:w="799" w:type="dxa"/>
            <w:vAlign w:val="top"/>
          </w:tcPr>
          <w:p w14:paraId="46D16314">
            <w:pPr>
              <w:widowControl/>
              <w:kinsoku w:val="0"/>
              <w:autoSpaceDE w:val="0"/>
              <w:autoSpaceDN w:val="0"/>
              <w:adjustRightInd w:val="0"/>
              <w:snapToGrid w:val="0"/>
              <w:spacing w:before="120" w:line="188" w:lineRule="auto"/>
              <w:ind w:left="37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1</w:t>
            </w:r>
          </w:p>
        </w:tc>
        <w:tc>
          <w:tcPr>
            <w:tcW w:w="5589" w:type="dxa"/>
            <w:vAlign w:val="top"/>
          </w:tcPr>
          <w:p w14:paraId="2629B4BF">
            <w:pPr>
              <w:kinsoku w:val="0"/>
              <w:autoSpaceDE w:val="0"/>
              <w:autoSpaceDN w:val="0"/>
              <w:adjustRightInd w:val="0"/>
              <w:snapToGrid w:val="0"/>
              <w:spacing w:before="89" w:line="220" w:lineRule="auto"/>
              <w:ind w:left="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单位主要负责人经应急管理部门和消防部门培训</w:t>
            </w:r>
            <w:r>
              <w:rPr>
                <w:rFonts w:ascii="宋体" w:hAnsi="宋体" w:eastAsia="宋体" w:cs="宋体"/>
                <w:snapToGrid w:val="0"/>
                <w:color w:val="000000"/>
                <w:spacing w:val="-1"/>
                <w:kern w:val="0"/>
                <w:sz w:val="18"/>
                <w:szCs w:val="18"/>
                <w:lang w:val="en-US" w:eastAsia="en-US" w:bidi="ar-SA"/>
              </w:rPr>
              <w:t>合格，取得上岗资格。</w:t>
            </w:r>
          </w:p>
        </w:tc>
        <w:tc>
          <w:tcPr>
            <w:tcW w:w="1890" w:type="dxa"/>
            <w:gridSpan w:val="2"/>
            <w:vAlign w:val="top"/>
          </w:tcPr>
          <w:p w14:paraId="18CD60D0">
            <w:pPr>
              <w:kinsoku w:val="0"/>
              <w:autoSpaceDE w:val="0"/>
              <w:autoSpaceDN w:val="0"/>
              <w:adjustRightInd w:val="0"/>
              <w:snapToGrid w:val="0"/>
              <w:spacing w:before="89" w:line="222" w:lineRule="auto"/>
              <w:ind w:left="61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2</w:t>
            </w:r>
            <w:r>
              <w:rPr>
                <w:rFonts w:ascii="宋体" w:hAnsi="宋体" w:eastAsia="宋体" w:cs="宋体"/>
                <w:snapToGrid w:val="0"/>
                <w:color w:val="000000"/>
                <w:spacing w:val="-4"/>
                <w:kern w:val="0"/>
                <w:sz w:val="18"/>
                <w:szCs w:val="18"/>
                <w:lang w:val="en-US" w:eastAsia="en-US" w:bidi="ar-SA"/>
              </w:rPr>
              <w:t>人取证</w:t>
            </w:r>
          </w:p>
        </w:tc>
        <w:tc>
          <w:tcPr>
            <w:tcW w:w="800" w:type="dxa"/>
            <w:vAlign w:val="top"/>
          </w:tcPr>
          <w:p w14:paraId="30D511E7">
            <w:pPr>
              <w:kinsoku w:val="0"/>
              <w:autoSpaceDE w:val="0"/>
              <w:autoSpaceDN w:val="0"/>
              <w:adjustRightInd w:val="0"/>
              <w:snapToGrid w:val="0"/>
              <w:spacing w:before="89" w:line="220" w:lineRule="auto"/>
              <w:ind w:left="2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55236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 w:hRule="atLeast"/>
        </w:trPr>
        <w:tc>
          <w:tcPr>
            <w:tcW w:w="799" w:type="dxa"/>
            <w:vAlign w:val="top"/>
          </w:tcPr>
          <w:p w14:paraId="2D32B66E">
            <w:pPr>
              <w:widowControl/>
              <w:kinsoku w:val="0"/>
              <w:autoSpaceDE w:val="0"/>
              <w:autoSpaceDN w:val="0"/>
              <w:adjustRightInd w:val="0"/>
              <w:snapToGrid w:val="0"/>
              <w:spacing w:before="221" w:line="188" w:lineRule="auto"/>
              <w:ind w:left="35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2</w:t>
            </w:r>
          </w:p>
        </w:tc>
        <w:tc>
          <w:tcPr>
            <w:tcW w:w="5589" w:type="dxa"/>
            <w:vAlign w:val="top"/>
          </w:tcPr>
          <w:p w14:paraId="03C7049D">
            <w:pPr>
              <w:kinsoku w:val="0"/>
              <w:autoSpaceDE w:val="0"/>
              <w:autoSpaceDN w:val="0"/>
              <w:adjustRightInd w:val="0"/>
              <w:snapToGrid w:val="0"/>
              <w:spacing w:before="63" w:line="235" w:lineRule="auto"/>
              <w:ind w:left="22" w:right="2" w:hanging="1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从业人员经本单位专业培训合格，掌握相应的</w:t>
            </w:r>
            <w:r>
              <w:rPr>
                <w:rFonts w:ascii="宋体" w:hAnsi="宋体" w:eastAsia="宋体" w:cs="宋体"/>
                <w:snapToGrid w:val="0"/>
                <w:color w:val="000000"/>
                <w:spacing w:val="-1"/>
                <w:kern w:val="0"/>
                <w:sz w:val="18"/>
                <w:szCs w:val="18"/>
                <w:lang w:val="en-US" w:eastAsia="en-US" w:bidi="ar-SA"/>
              </w:rPr>
              <w:t>专业技术知识，具备相应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的安全生产知识和能力。有培训记录。</w:t>
            </w:r>
          </w:p>
        </w:tc>
        <w:tc>
          <w:tcPr>
            <w:tcW w:w="1890" w:type="dxa"/>
            <w:gridSpan w:val="2"/>
            <w:vAlign w:val="top"/>
          </w:tcPr>
          <w:p w14:paraId="34D72579">
            <w:pPr>
              <w:kinsoku w:val="0"/>
              <w:autoSpaceDE w:val="0"/>
              <w:autoSpaceDN w:val="0"/>
              <w:adjustRightInd w:val="0"/>
              <w:snapToGrid w:val="0"/>
              <w:spacing w:before="192" w:line="221" w:lineRule="auto"/>
              <w:ind w:left="5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单位培训</w:t>
            </w:r>
          </w:p>
        </w:tc>
        <w:tc>
          <w:tcPr>
            <w:tcW w:w="800" w:type="dxa"/>
            <w:vAlign w:val="top"/>
          </w:tcPr>
          <w:p w14:paraId="2E053865">
            <w:pPr>
              <w:kinsoku w:val="0"/>
              <w:autoSpaceDE w:val="0"/>
              <w:autoSpaceDN w:val="0"/>
              <w:adjustRightInd w:val="0"/>
              <w:snapToGrid w:val="0"/>
              <w:spacing w:before="192" w:line="220" w:lineRule="auto"/>
              <w:ind w:left="2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bl>
    <w:p w14:paraId="6827F256">
      <w:pPr>
        <w:widowControl/>
        <w:kinsoku w:val="0"/>
        <w:autoSpaceDE w:val="0"/>
        <w:autoSpaceDN w:val="0"/>
        <w:adjustRightInd w:val="0"/>
        <w:snapToGrid w:val="0"/>
        <w:spacing w:before="275" w:line="220" w:lineRule="auto"/>
        <w:ind w:left="2775"/>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47"/>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5-2</w:t>
      </w:r>
      <w:r>
        <w:rPr>
          <w:rFonts w:ascii="宋体" w:hAnsi="宋体" w:eastAsia="宋体" w:cs="宋体"/>
          <w:b/>
          <w:bCs/>
          <w:snapToGrid w:val="0"/>
          <w:color w:val="000000"/>
          <w:spacing w:val="-2"/>
          <w:kern w:val="0"/>
          <w:sz w:val="24"/>
          <w:szCs w:val="24"/>
          <w:lang w:eastAsia="en-US"/>
        </w:rPr>
        <w:t>安全条件单元现场检查表</w:t>
      </w:r>
    </w:p>
    <w:p w14:paraId="7276195B">
      <w:pPr>
        <w:widowControl/>
        <w:kinsoku w:val="0"/>
        <w:autoSpaceDE w:val="0"/>
        <w:autoSpaceDN w:val="0"/>
        <w:adjustRightInd w:val="0"/>
        <w:snapToGrid w:val="0"/>
        <w:spacing w:line="38" w:lineRule="exact"/>
        <w:jc w:val="left"/>
        <w:textAlignment w:val="baseline"/>
        <w:rPr>
          <w:rFonts w:ascii="Arial" w:hAnsi="Arial" w:eastAsia="Arial" w:cs="Arial"/>
          <w:snapToGrid w:val="0"/>
          <w:color w:val="000000"/>
          <w:kern w:val="0"/>
          <w:lang w:eastAsia="en-US"/>
        </w:rPr>
      </w:pPr>
    </w:p>
    <w:tbl>
      <w:tblPr>
        <w:tblStyle w:val="47"/>
        <w:tblW w:w="9201"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41"/>
        <w:gridCol w:w="3964"/>
        <w:gridCol w:w="2112"/>
        <w:gridCol w:w="1663"/>
        <w:gridCol w:w="173"/>
        <w:gridCol w:w="548"/>
      </w:tblGrid>
      <w:tr w14:paraId="4AB656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741" w:type="dxa"/>
            <w:tcBorders>
              <w:top w:val="single" w:color="000000" w:sz="10" w:space="0"/>
              <w:left w:val="single" w:color="000000" w:sz="10" w:space="0"/>
            </w:tcBorders>
            <w:vAlign w:val="top"/>
          </w:tcPr>
          <w:p w14:paraId="4E8F1F04">
            <w:pPr>
              <w:kinsoku w:val="0"/>
              <w:autoSpaceDE w:val="0"/>
              <w:autoSpaceDN w:val="0"/>
              <w:adjustRightInd w:val="0"/>
              <w:snapToGrid w:val="0"/>
              <w:spacing w:before="73" w:line="220" w:lineRule="auto"/>
              <w:ind w:left="18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3964" w:type="dxa"/>
            <w:tcBorders>
              <w:top w:val="single" w:color="000000" w:sz="10" w:space="0"/>
            </w:tcBorders>
            <w:vAlign w:val="top"/>
          </w:tcPr>
          <w:p w14:paraId="7B0E5E88">
            <w:pPr>
              <w:kinsoku w:val="0"/>
              <w:autoSpaceDE w:val="0"/>
              <w:autoSpaceDN w:val="0"/>
              <w:adjustRightInd w:val="0"/>
              <w:snapToGrid w:val="0"/>
              <w:spacing w:before="73" w:line="220" w:lineRule="auto"/>
              <w:ind w:left="144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项目检查内容</w:t>
            </w:r>
          </w:p>
        </w:tc>
        <w:tc>
          <w:tcPr>
            <w:tcW w:w="2112" w:type="dxa"/>
            <w:tcBorders>
              <w:top w:val="single" w:color="000000" w:sz="10" w:space="0"/>
            </w:tcBorders>
            <w:vAlign w:val="top"/>
          </w:tcPr>
          <w:p w14:paraId="66279A28">
            <w:pPr>
              <w:kinsoku w:val="0"/>
              <w:autoSpaceDE w:val="0"/>
              <w:autoSpaceDN w:val="0"/>
              <w:adjustRightInd w:val="0"/>
              <w:snapToGrid w:val="0"/>
              <w:spacing w:before="73" w:line="219" w:lineRule="auto"/>
              <w:ind w:left="70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3"/>
                <w:kern w:val="0"/>
                <w:sz w:val="18"/>
                <w:szCs w:val="18"/>
                <w:lang w:val="en-US" w:eastAsia="en-US" w:bidi="ar-SA"/>
              </w:rPr>
              <w:t>评价依据</w:t>
            </w:r>
          </w:p>
        </w:tc>
        <w:tc>
          <w:tcPr>
            <w:tcW w:w="1663" w:type="dxa"/>
            <w:tcBorders>
              <w:top w:val="single" w:color="000000" w:sz="10" w:space="0"/>
            </w:tcBorders>
            <w:vAlign w:val="top"/>
          </w:tcPr>
          <w:p w14:paraId="702FBDFB">
            <w:pPr>
              <w:kinsoku w:val="0"/>
              <w:autoSpaceDE w:val="0"/>
              <w:autoSpaceDN w:val="0"/>
              <w:adjustRightInd w:val="0"/>
              <w:snapToGrid w:val="0"/>
              <w:spacing w:before="73" w:line="220" w:lineRule="auto"/>
              <w:ind w:left="48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721" w:type="dxa"/>
            <w:gridSpan w:val="2"/>
            <w:tcBorders>
              <w:top w:val="single" w:color="000000" w:sz="10" w:space="0"/>
              <w:right w:val="single" w:color="000000" w:sz="10" w:space="0"/>
            </w:tcBorders>
            <w:vAlign w:val="top"/>
          </w:tcPr>
          <w:p w14:paraId="49BA369E">
            <w:pPr>
              <w:kinsoku w:val="0"/>
              <w:autoSpaceDE w:val="0"/>
              <w:autoSpaceDN w:val="0"/>
              <w:adjustRightInd w:val="0"/>
              <w:snapToGrid w:val="0"/>
              <w:spacing w:before="73" w:line="220" w:lineRule="auto"/>
              <w:ind w:left="19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结果</w:t>
            </w:r>
          </w:p>
        </w:tc>
      </w:tr>
      <w:tr w14:paraId="2EE666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741" w:type="dxa"/>
            <w:tcBorders>
              <w:left w:val="single" w:color="000000" w:sz="10" w:space="0"/>
            </w:tcBorders>
            <w:vAlign w:val="top"/>
          </w:tcPr>
          <w:p w14:paraId="22328C54">
            <w:pPr>
              <w:widowControl/>
              <w:kinsoku w:val="0"/>
              <w:autoSpaceDE w:val="0"/>
              <w:autoSpaceDN w:val="0"/>
              <w:adjustRightInd w:val="0"/>
              <w:snapToGrid w:val="0"/>
              <w:spacing w:before="85" w:line="188" w:lineRule="auto"/>
              <w:ind w:left="32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1</w:t>
            </w:r>
          </w:p>
        </w:tc>
        <w:tc>
          <w:tcPr>
            <w:tcW w:w="8460" w:type="dxa"/>
            <w:gridSpan w:val="5"/>
            <w:tcBorders>
              <w:right w:val="single" w:color="000000" w:sz="10" w:space="0"/>
            </w:tcBorders>
            <w:vAlign w:val="top"/>
          </w:tcPr>
          <w:p w14:paraId="5A7D296F">
            <w:pPr>
              <w:kinsoku w:val="0"/>
              <w:autoSpaceDE w:val="0"/>
              <w:autoSpaceDN w:val="0"/>
              <w:adjustRightInd w:val="0"/>
              <w:snapToGrid w:val="0"/>
              <w:spacing w:before="56" w:line="203" w:lineRule="auto"/>
              <w:ind w:left="10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符合安全生产法律、法规相关规定的情况</w:t>
            </w:r>
          </w:p>
        </w:tc>
      </w:tr>
      <w:tr w14:paraId="4BE90D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1" w:hRule="atLeast"/>
        </w:trPr>
        <w:tc>
          <w:tcPr>
            <w:tcW w:w="741" w:type="dxa"/>
            <w:tcBorders>
              <w:left w:val="single" w:color="000000" w:sz="10" w:space="0"/>
            </w:tcBorders>
            <w:vAlign w:val="top"/>
          </w:tcPr>
          <w:p w14:paraId="5BD85EC1">
            <w:pPr>
              <w:widowControl/>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lang w:eastAsia="en-US"/>
              </w:rPr>
            </w:pPr>
          </w:p>
          <w:p w14:paraId="1AB4DB64">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3DED446D">
            <w:pPr>
              <w:widowControl/>
              <w:kinsoku w:val="0"/>
              <w:autoSpaceDE w:val="0"/>
              <w:autoSpaceDN w:val="0"/>
              <w:adjustRightInd w:val="0"/>
              <w:snapToGrid w:val="0"/>
              <w:spacing w:before="52" w:line="188" w:lineRule="auto"/>
              <w:ind w:left="26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7"/>
                <w:kern w:val="0"/>
                <w:sz w:val="18"/>
                <w:szCs w:val="18"/>
                <w:lang w:eastAsia="en-US"/>
              </w:rPr>
              <w:t>1</w:t>
            </w:r>
          </w:p>
        </w:tc>
        <w:tc>
          <w:tcPr>
            <w:tcW w:w="3964" w:type="dxa"/>
            <w:vAlign w:val="top"/>
          </w:tcPr>
          <w:p w14:paraId="0C0CEA39">
            <w:pPr>
              <w:widowControl/>
              <w:kinsoku w:val="0"/>
              <w:autoSpaceDE w:val="0"/>
              <w:autoSpaceDN w:val="0"/>
              <w:adjustRightInd w:val="0"/>
              <w:snapToGrid w:val="0"/>
              <w:spacing w:line="338" w:lineRule="auto"/>
              <w:jc w:val="left"/>
              <w:textAlignment w:val="baseline"/>
              <w:rPr>
                <w:rFonts w:ascii="Arial" w:hAnsi="Arial" w:eastAsia="Arial" w:cs="Arial"/>
                <w:snapToGrid w:val="0"/>
                <w:color w:val="000000"/>
                <w:kern w:val="0"/>
                <w:sz w:val="21"/>
                <w:lang w:eastAsia="en-US"/>
              </w:rPr>
            </w:pPr>
          </w:p>
          <w:p w14:paraId="2C48F256">
            <w:pPr>
              <w:kinsoku w:val="0"/>
              <w:autoSpaceDE w:val="0"/>
              <w:autoSpaceDN w:val="0"/>
              <w:adjustRightInd w:val="0"/>
              <w:snapToGrid w:val="0"/>
              <w:spacing w:before="59" w:line="233" w:lineRule="auto"/>
              <w:ind w:left="104" w:right="105" w:firstLine="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国家对危险化学品经营实行许可制度。未经许</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可，任何单位和个人都不得经营危险化学品。</w:t>
            </w:r>
          </w:p>
        </w:tc>
        <w:tc>
          <w:tcPr>
            <w:tcW w:w="2112" w:type="dxa"/>
            <w:vAlign w:val="top"/>
          </w:tcPr>
          <w:p w14:paraId="603DC1A1">
            <w:pPr>
              <w:kinsoku w:val="0"/>
              <w:autoSpaceDE w:val="0"/>
              <w:autoSpaceDN w:val="0"/>
              <w:adjustRightInd w:val="0"/>
              <w:snapToGrid w:val="0"/>
              <w:spacing w:before="39"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《危险化学品安全管理</w:t>
            </w:r>
          </w:p>
          <w:p w14:paraId="29C80103">
            <w:pPr>
              <w:kinsoku w:val="0"/>
              <w:autoSpaceDE w:val="0"/>
              <w:autoSpaceDN w:val="0"/>
              <w:adjustRightInd w:val="0"/>
              <w:snapToGrid w:val="0"/>
              <w:spacing w:before="25" w:line="219"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条例》（中华人民共和国</w:t>
            </w:r>
          </w:p>
          <w:p w14:paraId="56DD5296">
            <w:pPr>
              <w:kinsoku w:val="0"/>
              <w:autoSpaceDE w:val="0"/>
              <w:autoSpaceDN w:val="0"/>
              <w:adjustRightInd w:val="0"/>
              <w:snapToGrid w:val="0"/>
              <w:spacing w:line="252" w:lineRule="exact"/>
              <w:ind w:left="233"/>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position w:val="2"/>
                <w:sz w:val="18"/>
                <w:szCs w:val="18"/>
                <w:lang w:val="en-US" w:eastAsia="en-US" w:bidi="ar-SA"/>
              </w:rPr>
              <w:t>国务院令</w:t>
            </w:r>
            <w:r>
              <w:rPr>
                <w:rFonts w:ascii="Times New Roman" w:hAnsi="Times New Roman" w:eastAsia="Times New Roman" w:cs="Times New Roman"/>
                <w:snapToGrid w:val="0"/>
                <w:color w:val="000000"/>
                <w:spacing w:val="-3"/>
                <w:kern w:val="0"/>
                <w:position w:val="2"/>
                <w:sz w:val="18"/>
                <w:szCs w:val="18"/>
                <w:lang w:val="en-US" w:eastAsia="en-US" w:bidi="ar-SA"/>
              </w:rPr>
              <w:t>[2011]</w:t>
            </w:r>
            <w:r>
              <w:rPr>
                <w:rFonts w:ascii="宋体" w:hAnsi="宋体" w:eastAsia="宋体" w:cs="宋体"/>
                <w:snapToGrid w:val="0"/>
                <w:color w:val="000000"/>
                <w:spacing w:val="-3"/>
                <w:kern w:val="0"/>
                <w:position w:val="2"/>
                <w:sz w:val="18"/>
                <w:szCs w:val="18"/>
                <w:lang w:val="en-US" w:eastAsia="en-US" w:bidi="ar-SA"/>
              </w:rPr>
              <w:t>第</w:t>
            </w:r>
            <w:r>
              <w:rPr>
                <w:rFonts w:ascii="宋体" w:hAnsi="宋体" w:eastAsia="宋体" w:cs="宋体"/>
                <w:snapToGrid w:val="0"/>
                <w:color w:val="000000"/>
                <w:spacing w:val="-30"/>
                <w:kern w:val="0"/>
                <w:position w:val="2"/>
                <w:sz w:val="18"/>
                <w:szCs w:val="18"/>
                <w:lang w:val="en-US" w:eastAsia="en-US" w:bidi="ar-SA"/>
              </w:rPr>
              <w:t xml:space="preserve"> </w:t>
            </w:r>
            <w:r>
              <w:rPr>
                <w:rFonts w:ascii="Times New Roman" w:hAnsi="Times New Roman" w:eastAsia="Times New Roman" w:cs="Times New Roman"/>
                <w:snapToGrid w:val="0"/>
                <w:color w:val="000000"/>
                <w:spacing w:val="-3"/>
                <w:kern w:val="0"/>
                <w:position w:val="2"/>
                <w:sz w:val="18"/>
                <w:szCs w:val="18"/>
                <w:lang w:val="en-US" w:eastAsia="en-US" w:bidi="ar-SA"/>
              </w:rPr>
              <w:t>591</w:t>
            </w:r>
          </w:p>
          <w:p w14:paraId="2BD34247">
            <w:pPr>
              <w:kinsoku w:val="0"/>
              <w:autoSpaceDE w:val="0"/>
              <w:autoSpaceDN w:val="0"/>
              <w:adjustRightInd w:val="0"/>
              <w:snapToGrid w:val="0"/>
              <w:spacing w:before="13" w:line="220" w:lineRule="auto"/>
              <w:ind w:left="14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号，</w:t>
            </w:r>
            <w:r>
              <w:rPr>
                <w:rFonts w:ascii="Times New Roman" w:hAnsi="Times New Roman" w:eastAsia="Times New Roman" w:cs="Times New Roman"/>
                <w:snapToGrid w:val="0"/>
                <w:color w:val="000000"/>
                <w:spacing w:val="-3"/>
                <w:kern w:val="0"/>
                <w:sz w:val="18"/>
                <w:szCs w:val="18"/>
                <w:lang w:val="en-US" w:eastAsia="en-US" w:bidi="ar-SA"/>
              </w:rPr>
              <w:t xml:space="preserve">2013 </w:t>
            </w:r>
            <w:r>
              <w:rPr>
                <w:rFonts w:ascii="宋体" w:hAnsi="宋体" w:eastAsia="宋体" w:cs="宋体"/>
                <w:snapToGrid w:val="0"/>
                <w:color w:val="000000"/>
                <w:spacing w:val="-3"/>
                <w:kern w:val="0"/>
                <w:sz w:val="18"/>
                <w:szCs w:val="18"/>
                <w:lang w:val="en-US" w:eastAsia="en-US" w:bidi="ar-SA"/>
              </w:rPr>
              <w:t>年第</w:t>
            </w:r>
            <w:r>
              <w:rPr>
                <w:rFonts w:ascii="宋体" w:hAnsi="宋体" w:eastAsia="宋体" w:cs="宋体"/>
                <w:snapToGrid w:val="0"/>
                <w:color w:val="000000"/>
                <w:spacing w:val="-28"/>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645</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号修</w:t>
            </w:r>
          </w:p>
          <w:p w14:paraId="1EDCF6A1">
            <w:pPr>
              <w:kinsoku w:val="0"/>
              <w:autoSpaceDE w:val="0"/>
              <w:autoSpaceDN w:val="0"/>
              <w:adjustRightInd w:val="0"/>
              <w:snapToGrid w:val="0"/>
              <w:spacing w:before="25" w:line="197" w:lineRule="auto"/>
              <w:ind w:left="43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订）第三十三条</w:t>
            </w:r>
          </w:p>
        </w:tc>
        <w:tc>
          <w:tcPr>
            <w:tcW w:w="1663" w:type="dxa"/>
            <w:vAlign w:val="top"/>
          </w:tcPr>
          <w:p w14:paraId="77EEF4F5">
            <w:pPr>
              <w:kinsoku w:val="0"/>
              <w:autoSpaceDE w:val="0"/>
              <w:autoSpaceDN w:val="0"/>
              <w:adjustRightInd w:val="0"/>
              <w:snapToGrid w:val="0"/>
              <w:spacing w:before="278" w:line="241"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该站已取得了《危</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险化学品经营许可</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证》。</w:t>
            </w:r>
          </w:p>
        </w:tc>
        <w:tc>
          <w:tcPr>
            <w:tcW w:w="721" w:type="dxa"/>
            <w:gridSpan w:val="2"/>
            <w:tcBorders>
              <w:right w:val="single" w:color="000000" w:sz="10" w:space="0"/>
            </w:tcBorders>
            <w:vAlign w:val="top"/>
          </w:tcPr>
          <w:p w14:paraId="4A556E2C">
            <w:pPr>
              <w:widowControl/>
              <w:kinsoku w:val="0"/>
              <w:autoSpaceDE w:val="0"/>
              <w:autoSpaceDN w:val="0"/>
              <w:adjustRightInd w:val="0"/>
              <w:snapToGrid w:val="0"/>
              <w:spacing w:line="457" w:lineRule="auto"/>
              <w:jc w:val="left"/>
              <w:textAlignment w:val="baseline"/>
              <w:rPr>
                <w:rFonts w:ascii="Arial" w:hAnsi="Arial" w:eastAsia="Arial" w:cs="Arial"/>
                <w:snapToGrid w:val="0"/>
                <w:color w:val="000000"/>
                <w:kern w:val="0"/>
                <w:sz w:val="21"/>
                <w:lang w:eastAsia="en-US"/>
              </w:rPr>
            </w:pPr>
          </w:p>
          <w:p w14:paraId="41E70BA7">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63D5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79" w:hRule="atLeast"/>
        </w:trPr>
        <w:tc>
          <w:tcPr>
            <w:tcW w:w="741" w:type="dxa"/>
            <w:tcBorders>
              <w:left w:val="single" w:color="000000" w:sz="10" w:space="0"/>
            </w:tcBorders>
            <w:vAlign w:val="top"/>
          </w:tcPr>
          <w:p w14:paraId="7118728A">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25639A96">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6EE4BAAD">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231C216D">
            <w:pPr>
              <w:widowControl/>
              <w:kinsoku w:val="0"/>
              <w:autoSpaceDE w:val="0"/>
              <w:autoSpaceDN w:val="0"/>
              <w:adjustRightInd w:val="0"/>
              <w:snapToGrid w:val="0"/>
              <w:spacing w:before="52" w:line="188" w:lineRule="auto"/>
              <w:ind w:left="26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1.2</w:t>
            </w:r>
          </w:p>
        </w:tc>
        <w:tc>
          <w:tcPr>
            <w:tcW w:w="3964" w:type="dxa"/>
            <w:vAlign w:val="top"/>
          </w:tcPr>
          <w:p w14:paraId="30C2387E">
            <w:pPr>
              <w:kinsoku w:val="0"/>
              <w:autoSpaceDE w:val="0"/>
              <w:autoSpaceDN w:val="0"/>
              <w:adjustRightInd w:val="0"/>
              <w:snapToGrid w:val="0"/>
              <w:spacing w:before="44" w:line="238" w:lineRule="auto"/>
              <w:ind w:left="102" w:right="105"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生产经营单位必须依法参加工伤保险，为从业人</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员缴纳保险费。国家鼓励生产经营单位投保安全</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生产责任保险；属于国家规定的高危行业、领域</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的生产经营单位，应当投保安全生产责任保险。</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具体范围和实施办法由国务院应急管理部门会</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同国务院财政部门、国务院保险监督管理机构和</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相关行业主管部门制定。</w:t>
            </w:r>
          </w:p>
        </w:tc>
        <w:tc>
          <w:tcPr>
            <w:tcW w:w="2112" w:type="dxa"/>
            <w:vAlign w:val="top"/>
          </w:tcPr>
          <w:p w14:paraId="4DFD6083">
            <w:pPr>
              <w:widowControl/>
              <w:kinsoku w:val="0"/>
              <w:autoSpaceDE w:val="0"/>
              <w:autoSpaceDN w:val="0"/>
              <w:adjustRightInd w:val="0"/>
              <w:snapToGrid w:val="0"/>
              <w:spacing w:line="344" w:lineRule="auto"/>
              <w:jc w:val="left"/>
              <w:textAlignment w:val="baseline"/>
              <w:rPr>
                <w:rFonts w:ascii="Arial" w:hAnsi="Arial" w:eastAsia="Arial" w:cs="Arial"/>
                <w:snapToGrid w:val="0"/>
                <w:color w:val="000000"/>
                <w:kern w:val="0"/>
                <w:sz w:val="21"/>
                <w:lang w:eastAsia="en-US"/>
              </w:rPr>
            </w:pPr>
          </w:p>
          <w:p w14:paraId="18B9876F">
            <w:pPr>
              <w:kinsoku w:val="0"/>
              <w:autoSpaceDE w:val="0"/>
              <w:autoSpaceDN w:val="0"/>
              <w:adjustRightInd w:val="0"/>
              <w:snapToGrid w:val="0"/>
              <w:spacing w:before="59"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p>
          <w:p w14:paraId="192FC2B4">
            <w:pPr>
              <w:kinsoku w:val="0"/>
              <w:autoSpaceDE w:val="0"/>
              <w:autoSpaceDN w:val="0"/>
              <w:adjustRightInd w:val="0"/>
              <w:snapToGrid w:val="0"/>
              <w:spacing w:before="25" w:line="220"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生产法》（中华人民共和</w:t>
            </w:r>
          </w:p>
          <w:p w14:paraId="059DB3DB">
            <w:pPr>
              <w:kinsoku w:val="0"/>
              <w:autoSpaceDE w:val="0"/>
              <w:autoSpaceDN w:val="0"/>
              <w:adjustRightInd w:val="0"/>
              <w:snapToGrid w:val="0"/>
              <w:spacing w:before="25" w:line="219" w:lineRule="auto"/>
              <w:ind w:left="159"/>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国主席令〔</w:t>
            </w:r>
            <w:r>
              <w:rPr>
                <w:rFonts w:ascii="Times New Roman" w:hAnsi="Times New Roman" w:eastAsia="Times New Roman" w:cs="Times New Roman"/>
                <w:snapToGrid w:val="0"/>
                <w:color w:val="000000"/>
                <w:spacing w:val="-3"/>
                <w:kern w:val="0"/>
                <w:sz w:val="18"/>
                <w:szCs w:val="18"/>
                <w:lang w:val="en-US" w:eastAsia="en-US" w:bidi="ar-SA"/>
              </w:rPr>
              <w:t>2021</w:t>
            </w:r>
            <w:r>
              <w:rPr>
                <w:rFonts w:ascii="宋体" w:hAnsi="宋体" w:eastAsia="宋体" w:cs="宋体"/>
                <w:snapToGrid w:val="0"/>
                <w:color w:val="000000"/>
                <w:spacing w:val="-3"/>
                <w:kern w:val="0"/>
                <w:sz w:val="18"/>
                <w:szCs w:val="18"/>
                <w:lang w:val="en-US" w:eastAsia="en-US" w:bidi="ar-SA"/>
              </w:rPr>
              <w:t>〕第</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88</w:t>
            </w:r>
          </w:p>
          <w:p w14:paraId="72E61E84">
            <w:pPr>
              <w:kinsoku w:val="0"/>
              <w:autoSpaceDE w:val="0"/>
              <w:autoSpaceDN w:val="0"/>
              <w:adjustRightInd w:val="0"/>
              <w:snapToGrid w:val="0"/>
              <w:spacing w:before="26" w:line="220" w:lineRule="auto"/>
              <w:ind w:left="4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号）第五十一条</w:t>
            </w:r>
          </w:p>
        </w:tc>
        <w:tc>
          <w:tcPr>
            <w:tcW w:w="1663" w:type="dxa"/>
            <w:vAlign w:val="top"/>
          </w:tcPr>
          <w:p w14:paraId="4A43A8A6">
            <w:pPr>
              <w:widowControl/>
              <w:kinsoku w:val="0"/>
              <w:autoSpaceDE w:val="0"/>
              <w:autoSpaceDN w:val="0"/>
              <w:adjustRightInd w:val="0"/>
              <w:snapToGrid w:val="0"/>
              <w:spacing w:line="343" w:lineRule="auto"/>
              <w:jc w:val="left"/>
              <w:textAlignment w:val="baseline"/>
              <w:rPr>
                <w:rFonts w:ascii="Arial" w:hAnsi="Arial" w:eastAsia="Arial" w:cs="Arial"/>
                <w:snapToGrid w:val="0"/>
                <w:color w:val="000000"/>
                <w:kern w:val="0"/>
                <w:sz w:val="21"/>
                <w:lang w:eastAsia="en-US"/>
              </w:rPr>
            </w:pPr>
          </w:p>
          <w:p w14:paraId="410B25E7">
            <w:pPr>
              <w:kinsoku w:val="0"/>
              <w:autoSpaceDE w:val="0"/>
              <w:autoSpaceDN w:val="0"/>
              <w:adjustRightInd w:val="0"/>
              <w:snapToGrid w:val="0"/>
              <w:spacing w:before="59" w:line="240" w:lineRule="auto"/>
              <w:ind w:left="121" w:right="92"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该站依法参加了保</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险，为从业人员缴</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纳了安全生产责任 </w:t>
            </w:r>
            <w:r>
              <w:rPr>
                <w:rFonts w:ascii="宋体" w:hAnsi="宋体" w:eastAsia="宋体" w:cs="宋体"/>
                <w:snapToGrid w:val="0"/>
                <w:color w:val="000000"/>
                <w:spacing w:val="-5"/>
                <w:kern w:val="0"/>
                <w:sz w:val="18"/>
                <w:szCs w:val="18"/>
                <w:lang w:val="en-US" w:eastAsia="en-US" w:bidi="ar-SA"/>
              </w:rPr>
              <w:t>险。</w:t>
            </w:r>
          </w:p>
        </w:tc>
        <w:tc>
          <w:tcPr>
            <w:tcW w:w="721" w:type="dxa"/>
            <w:gridSpan w:val="2"/>
            <w:tcBorders>
              <w:right w:val="single" w:color="000000" w:sz="10" w:space="0"/>
            </w:tcBorders>
            <w:vAlign w:val="top"/>
          </w:tcPr>
          <w:p w14:paraId="6DDC0CDD">
            <w:pPr>
              <w:widowControl/>
              <w:kinsoku w:val="0"/>
              <w:autoSpaceDE w:val="0"/>
              <w:autoSpaceDN w:val="0"/>
              <w:adjustRightInd w:val="0"/>
              <w:snapToGrid w:val="0"/>
              <w:spacing w:line="351" w:lineRule="auto"/>
              <w:jc w:val="left"/>
              <w:textAlignment w:val="baseline"/>
              <w:rPr>
                <w:rFonts w:ascii="Arial" w:hAnsi="Arial" w:eastAsia="Arial" w:cs="Arial"/>
                <w:snapToGrid w:val="0"/>
                <w:color w:val="000000"/>
                <w:kern w:val="0"/>
                <w:sz w:val="21"/>
                <w:lang w:eastAsia="en-US"/>
              </w:rPr>
            </w:pPr>
          </w:p>
          <w:p w14:paraId="79CD1458">
            <w:pPr>
              <w:widowControl/>
              <w:kinsoku w:val="0"/>
              <w:autoSpaceDE w:val="0"/>
              <w:autoSpaceDN w:val="0"/>
              <w:adjustRightInd w:val="0"/>
              <w:snapToGrid w:val="0"/>
              <w:spacing w:line="351" w:lineRule="auto"/>
              <w:jc w:val="left"/>
              <w:textAlignment w:val="baseline"/>
              <w:rPr>
                <w:rFonts w:ascii="Arial" w:hAnsi="Arial" w:eastAsia="Arial" w:cs="Arial"/>
                <w:snapToGrid w:val="0"/>
                <w:color w:val="000000"/>
                <w:kern w:val="0"/>
                <w:sz w:val="21"/>
                <w:lang w:eastAsia="en-US"/>
              </w:rPr>
            </w:pPr>
          </w:p>
          <w:p w14:paraId="1645FEDB">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39A44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0" w:hRule="atLeast"/>
        </w:trPr>
        <w:tc>
          <w:tcPr>
            <w:tcW w:w="741" w:type="dxa"/>
            <w:tcBorders>
              <w:left w:val="single" w:color="000000" w:sz="10" w:space="0"/>
            </w:tcBorders>
            <w:vAlign w:val="top"/>
          </w:tcPr>
          <w:p w14:paraId="467A10EC">
            <w:pPr>
              <w:widowControl/>
              <w:kinsoku w:val="0"/>
              <w:autoSpaceDE w:val="0"/>
              <w:autoSpaceDN w:val="0"/>
              <w:adjustRightInd w:val="0"/>
              <w:snapToGrid w:val="0"/>
              <w:spacing w:line="312" w:lineRule="auto"/>
              <w:jc w:val="left"/>
              <w:textAlignment w:val="baseline"/>
              <w:rPr>
                <w:rFonts w:ascii="Arial" w:hAnsi="Arial" w:eastAsia="Arial" w:cs="Arial"/>
                <w:snapToGrid w:val="0"/>
                <w:color w:val="000000"/>
                <w:kern w:val="0"/>
                <w:sz w:val="21"/>
                <w:lang w:eastAsia="en-US"/>
              </w:rPr>
            </w:pPr>
          </w:p>
          <w:p w14:paraId="23F8AFD9">
            <w:pPr>
              <w:widowControl/>
              <w:kinsoku w:val="0"/>
              <w:autoSpaceDE w:val="0"/>
              <w:autoSpaceDN w:val="0"/>
              <w:adjustRightInd w:val="0"/>
              <w:snapToGrid w:val="0"/>
              <w:spacing w:line="312" w:lineRule="auto"/>
              <w:jc w:val="left"/>
              <w:textAlignment w:val="baseline"/>
              <w:rPr>
                <w:rFonts w:ascii="Arial" w:hAnsi="Arial" w:eastAsia="Arial" w:cs="Arial"/>
                <w:snapToGrid w:val="0"/>
                <w:color w:val="000000"/>
                <w:kern w:val="0"/>
                <w:sz w:val="21"/>
                <w:lang w:eastAsia="en-US"/>
              </w:rPr>
            </w:pPr>
          </w:p>
          <w:p w14:paraId="3768D3A2">
            <w:pPr>
              <w:widowControl/>
              <w:kinsoku w:val="0"/>
              <w:autoSpaceDE w:val="0"/>
              <w:autoSpaceDN w:val="0"/>
              <w:adjustRightInd w:val="0"/>
              <w:snapToGrid w:val="0"/>
              <w:spacing w:before="51" w:line="188" w:lineRule="auto"/>
              <w:ind w:left="26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1.3</w:t>
            </w:r>
          </w:p>
        </w:tc>
        <w:tc>
          <w:tcPr>
            <w:tcW w:w="3964" w:type="dxa"/>
            <w:vAlign w:val="top"/>
          </w:tcPr>
          <w:p w14:paraId="565A7B3D">
            <w:pPr>
              <w:widowControl/>
              <w:kinsoku w:val="0"/>
              <w:autoSpaceDE w:val="0"/>
              <w:autoSpaceDN w:val="0"/>
              <w:adjustRightInd w:val="0"/>
              <w:snapToGrid w:val="0"/>
              <w:spacing w:line="350" w:lineRule="auto"/>
              <w:jc w:val="left"/>
              <w:textAlignment w:val="baseline"/>
              <w:rPr>
                <w:rFonts w:ascii="Arial" w:hAnsi="Arial" w:eastAsia="Arial" w:cs="Arial"/>
                <w:snapToGrid w:val="0"/>
                <w:color w:val="000000"/>
                <w:kern w:val="0"/>
                <w:sz w:val="21"/>
                <w:lang w:eastAsia="en-US"/>
              </w:rPr>
            </w:pPr>
          </w:p>
          <w:p w14:paraId="7C858683">
            <w:pPr>
              <w:kinsoku w:val="0"/>
              <w:autoSpaceDE w:val="0"/>
              <w:autoSpaceDN w:val="0"/>
              <w:adjustRightInd w:val="0"/>
              <w:snapToGrid w:val="0"/>
              <w:spacing w:before="59" w:line="237" w:lineRule="auto"/>
              <w:ind w:left="102" w:right="105"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从事危险化学品的经营单位，经营剧毒化学品</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的，应当建立剧毒化学品双人验收、双人保管、</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双人发货、双把锁、双本账等管理制度。</w:t>
            </w:r>
          </w:p>
        </w:tc>
        <w:tc>
          <w:tcPr>
            <w:tcW w:w="2112" w:type="dxa"/>
            <w:vAlign w:val="top"/>
          </w:tcPr>
          <w:p w14:paraId="127A1D84">
            <w:pPr>
              <w:kinsoku w:val="0"/>
              <w:autoSpaceDE w:val="0"/>
              <w:autoSpaceDN w:val="0"/>
              <w:adjustRightInd w:val="0"/>
              <w:snapToGrid w:val="0"/>
              <w:spacing w:before="50" w:line="221"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《危险化学品经营许可</w:t>
            </w:r>
          </w:p>
          <w:p w14:paraId="2A0FCE32">
            <w:pPr>
              <w:kinsoku w:val="0"/>
              <w:autoSpaceDE w:val="0"/>
              <w:autoSpaceDN w:val="0"/>
              <w:adjustRightInd w:val="0"/>
              <w:snapToGrid w:val="0"/>
              <w:spacing w:before="26" w:line="237" w:lineRule="auto"/>
              <w:ind w:left="145" w:right="97" w:hanging="3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证管理办法》（国家安全</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11"/>
                <w:kern w:val="0"/>
                <w:sz w:val="18"/>
                <w:szCs w:val="18"/>
                <w:lang w:val="en-US" w:eastAsia="en-US" w:bidi="ar-SA"/>
              </w:rPr>
              <w:t>生产监督管理总局令</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w:t>
            </w:r>
            <w:r>
              <w:rPr>
                <w:rFonts w:ascii="Times New Roman" w:hAnsi="Times New Roman" w:eastAsia="Times New Roman" w:cs="Times New Roman"/>
                <w:snapToGrid w:val="0"/>
                <w:color w:val="000000"/>
                <w:spacing w:val="-4"/>
                <w:kern w:val="0"/>
                <w:sz w:val="18"/>
                <w:szCs w:val="18"/>
                <w:lang w:val="en-US" w:eastAsia="en-US" w:bidi="ar-SA"/>
              </w:rPr>
              <w:t>2012</w:t>
            </w:r>
            <w:r>
              <w:rPr>
                <w:rFonts w:ascii="宋体" w:hAnsi="宋体" w:eastAsia="宋体" w:cs="宋体"/>
                <w:snapToGrid w:val="0"/>
                <w:color w:val="000000"/>
                <w:spacing w:val="-4"/>
                <w:kern w:val="0"/>
                <w:sz w:val="18"/>
                <w:szCs w:val="18"/>
                <w:lang w:val="en-US" w:eastAsia="en-US" w:bidi="ar-SA"/>
              </w:rPr>
              <w:t>〕第</w:t>
            </w:r>
            <w:r>
              <w:rPr>
                <w:rFonts w:ascii="宋体" w:hAnsi="宋体" w:eastAsia="宋体" w:cs="宋体"/>
                <w:snapToGrid w:val="0"/>
                <w:color w:val="000000"/>
                <w:spacing w:val="-39"/>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55</w:t>
            </w:r>
            <w:r>
              <w:rPr>
                <w:rFonts w:ascii="Times New Roman" w:hAnsi="Times New Roman" w:eastAsia="Times New Roman" w:cs="Times New Roman"/>
                <w:snapToGrid w:val="0"/>
                <w:color w:val="000000"/>
                <w:spacing w:val="1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号、国家</w:t>
            </w:r>
          </w:p>
          <w:p w14:paraId="0A124F4B">
            <w:pPr>
              <w:kinsoku w:val="0"/>
              <w:autoSpaceDE w:val="0"/>
              <w:autoSpaceDN w:val="0"/>
              <w:adjustRightInd w:val="0"/>
              <w:snapToGrid w:val="0"/>
              <w:spacing w:before="25" w:line="215" w:lineRule="auto"/>
              <w:ind w:left="321" w:right="150" w:hanging="15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安监总局令〔</w:t>
            </w:r>
            <w:r>
              <w:rPr>
                <w:rFonts w:ascii="Times New Roman" w:hAnsi="Times New Roman" w:eastAsia="Times New Roman" w:cs="Times New Roman"/>
                <w:snapToGrid w:val="0"/>
                <w:color w:val="000000"/>
                <w:spacing w:val="-1"/>
                <w:kern w:val="0"/>
                <w:sz w:val="18"/>
                <w:szCs w:val="18"/>
                <w:lang w:val="en-US" w:eastAsia="en-US" w:bidi="ar-SA"/>
              </w:rPr>
              <w:t>2015</w:t>
            </w:r>
            <w:r>
              <w:rPr>
                <w:rFonts w:ascii="宋体" w:hAnsi="宋体" w:eastAsia="宋体" w:cs="宋体"/>
                <w:snapToGrid w:val="0"/>
                <w:color w:val="000000"/>
                <w:spacing w:val="-1"/>
                <w:kern w:val="0"/>
                <w:sz w:val="18"/>
                <w:szCs w:val="18"/>
                <w:lang w:val="en-US" w:eastAsia="en-US" w:bidi="ar-SA"/>
              </w:rPr>
              <w:t>〕第</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79 </w:t>
            </w:r>
            <w:r>
              <w:rPr>
                <w:rFonts w:ascii="宋体" w:hAnsi="宋体" w:eastAsia="宋体" w:cs="宋体"/>
                <w:snapToGrid w:val="0"/>
                <w:color w:val="000000"/>
                <w:spacing w:val="-1"/>
                <w:kern w:val="0"/>
                <w:sz w:val="18"/>
                <w:szCs w:val="18"/>
                <w:lang w:val="en-US" w:eastAsia="en-US" w:bidi="ar-SA"/>
              </w:rPr>
              <w:t>号修订）第七条</w:t>
            </w:r>
          </w:p>
        </w:tc>
        <w:tc>
          <w:tcPr>
            <w:tcW w:w="1663" w:type="dxa"/>
            <w:vAlign w:val="top"/>
          </w:tcPr>
          <w:p w14:paraId="38E3FE26">
            <w:pPr>
              <w:widowControl/>
              <w:kinsoku w:val="0"/>
              <w:autoSpaceDE w:val="0"/>
              <w:autoSpaceDN w:val="0"/>
              <w:adjustRightInd w:val="0"/>
              <w:snapToGrid w:val="0"/>
              <w:spacing w:line="469" w:lineRule="auto"/>
              <w:jc w:val="left"/>
              <w:textAlignment w:val="baseline"/>
              <w:rPr>
                <w:rFonts w:ascii="Arial" w:hAnsi="Arial" w:eastAsia="Arial" w:cs="Arial"/>
                <w:snapToGrid w:val="0"/>
                <w:color w:val="000000"/>
                <w:kern w:val="0"/>
                <w:sz w:val="21"/>
                <w:lang w:eastAsia="en-US"/>
              </w:rPr>
            </w:pPr>
          </w:p>
          <w:p w14:paraId="56FFA23C">
            <w:pPr>
              <w:kinsoku w:val="0"/>
              <w:autoSpaceDE w:val="0"/>
              <w:autoSpaceDN w:val="0"/>
              <w:adjustRightInd w:val="0"/>
              <w:snapToGrid w:val="0"/>
              <w:spacing w:before="58" w:line="234" w:lineRule="auto"/>
              <w:ind w:left="123" w:right="9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该站不经营剧毒化</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学品。</w:t>
            </w:r>
          </w:p>
        </w:tc>
        <w:tc>
          <w:tcPr>
            <w:tcW w:w="721" w:type="dxa"/>
            <w:gridSpan w:val="2"/>
            <w:tcBorders>
              <w:right w:val="single" w:color="000000" w:sz="10" w:space="0"/>
            </w:tcBorders>
            <w:vAlign w:val="top"/>
          </w:tcPr>
          <w:p w14:paraId="3F085CD8">
            <w:pPr>
              <w:widowControl/>
              <w:kinsoku w:val="0"/>
              <w:autoSpaceDE w:val="0"/>
              <w:autoSpaceDN w:val="0"/>
              <w:adjustRightInd w:val="0"/>
              <w:snapToGrid w:val="0"/>
              <w:spacing w:line="294" w:lineRule="auto"/>
              <w:jc w:val="left"/>
              <w:textAlignment w:val="baseline"/>
              <w:rPr>
                <w:rFonts w:ascii="Arial" w:hAnsi="Arial" w:eastAsia="Arial" w:cs="Arial"/>
                <w:snapToGrid w:val="0"/>
                <w:color w:val="000000"/>
                <w:kern w:val="0"/>
                <w:sz w:val="21"/>
                <w:lang w:eastAsia="en-US"/>
              </w:rPr>
            </w:pPr>
          </w:p>
          <w:p w14:paraId="3B46A334">
            <w:pPr>
              <w:widowControl/>
              <w:kinsoku w:val="0"/>
              <w:autoSpaceDE w:val="0"/>
              <w:autoSpaceDN w:val="0"/>
              <w:adjustRightInd w:val="0"/>
              <w:snapToGrid w:val="0"/>
              <w:spacing w:line="294" w:lineRule="auto"/>
              <w:jc w:val="left"/>
              <w:textAlignment w:val="baseline"/>
              <w:rPr>
                <w:rFonts w:ascii="Arial" w:hAnsi="Arial" w:eastAsia="Arial" w:cs="Arial"/>
                <w:snapToGrid w:val="0"/>
                <w:color w:val="000000"/>
                <w:kern w:val="0"/>
                <w:sz w:val="21"/>
                <w:lang w:eastAsia="en-US"/>
              </w:rPr>
            </w:pPr>
          </w:p>
          <w:p w14:paraId="13FBFDBF">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7D47D0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80" w:hRule="atLeast"/>
        </w:trPr>
        <w:tc>
          <w:tcPr>
            <w:tcW w:w="741" w:type="dxa"/>
            <w:tcBorders>
              <w:left w:val="single" w:color="000000" w:sz="10" w:space="0"/>
            </w:tcBorders>
            <w:vAlign w:val="top"/>
          </w:tcPr>
          <w:p w14:paraId="2E23F951">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4768E3D8">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2CFBE195">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4FBD751D">
            <w:pPr>
              <w:widowControl/>
              <w:kinsoku w:val="0"/>
              <w:autoSpaceDE w:val="0"/>
              <w:autoSpaceDN w:val="0"/>
              <w:adjustRightInd w:val="0"/>
              <w:snapToGrid w:val="0"/>
              <w:spacing w:before="52" w:line="188" w:lineRule="auto"/>
              <w:ind w:left="26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1.4</w:t>
            </w:r>
          </w:p>
        </w:tc>
        <w:tc>
          <w:tcPr>
            <w:tcW w:w="3964" w:type="dxa"/>
            <w:vAlign w:val="top"/>
          </w:tcPr>
          <w:p w14:paraId="13A632EA">
            <w:pPr>
              <w:widowControl/>
              <w:kinsoku w:val="0"/>
              <w:autoSpaceDE w:val="0"/>
              <w:autoSpaceDN w:val="0"/>
              <w:adjustRightInd w:val="0"/>
              <w:snapToGrid w:val="0"/>
              <w:spacing w:line="353" w:lineRule="auto"/>
              <w:jc w:val="left"/>
              <w:textAlignment w:val="baseline"/>
              <w:rPr>
                <w:rFonts w:ascii="Arial" w:hAnsi="Arial" w:eastAsia="Arial" w:cs="Arial"/>
                <w:snapToGrid w:val="0"/>
                <w:color w:val="000000"/>
                <w:kern w:val="0"/>
                <w:sz w:val="21"/>
                <w:lang w:eastAsia="en-US"/>
              </w:rPr>
            </w:pPr>
          </w:p>
          <w:p w14:paraId="34ABD403">
            <w:pPr>
              <w:kinsoku w:val="0"/>
              <w:autoSpaceDE w:val="0"/>
              <w:autoSpaceDN w:val="0"/>
              <w:adjustRightInd w:val="0"/>
              <w:snapToGrid w:val="0"/>
              <w:spacing w:before="58" w:line="240" w:lineRule="auto"/>
              <w:ind w:left="102"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企业应制定领导干部带班制度并严格落实，主要</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负责人应参加领导干部带班，其他分管负责人要</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轮流带班；生产车间也要建立由管理人员参加的</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车间值班制度并严格落实。</w:t>
            </w:r>
          </w:p>
        </w:tc>
        <w:tc>
          <w:tcPr>
            <w:tcW w:w="2112" w:type="dxa"/>
            <w:vAlign w:val="top"/>
          </w:tcPr>
          <w:p w14:paraId="69317C49">
            <w:pPr>
              <w:kinsoku w:val="0"/>
              <w:autoSpaceDE w:val="0"/>
              <w:autoSpaceDN w:val="0"/>
              <w:adjustRightInd w:val="0"/>
              <w:snapToGrid w:val="0"/>
              <w:spacing w:before="55" w:line="241" w:lineRule="auto"/>
              <w:ind w:left="112" w:right="99" w:firstLine="13"/>
              <w:jc w:val="both"/>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《国家安全监管总局 工</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业和信息化部关于危险</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化学品企业贯彻落实</w:t>
            </w:r>
            <w:r>
              <w:rPr>
                <w:rFonts w:ascii="Times New Roman" w:hAnsi="Times New Roman" w:eastAsia="Times New Roman" w:cs="Times New Roman"/>
                <w:snapToGrid w:val="0"/>
                <w:color w:val="000000"/>
                <w:spacing w:val="-3"/>
                <w:kern w:val="0"/>
                <w:sz w:val="18"/>
                <w:szCs w:val="18"/>
                <w:lang w:val="en-US" w:eastAsia="en-US" w:bidi="ar-SA"/>
              </w:rPr>
              <w:t>&lt;</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国</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务院关于进一步加强企</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业安全生产工作的通知</w:t>
            </w:r>
            <w:r>
              <w:rPr>
                <w:rFonts w:ascii="Times New Roman" w:hAnsi="Times New Roman" w:eastAsia="Times New Roman" w:cs="Times New Roman"/>
                <w:snapToGrid w:val="0"/>
                <w:color w:val="000000"/>
                <w:spacing w:val="-1"/>
                <w:kern w:val="0"/>
                <w:sz w:val="18"/>
                <w:szCs w:val="18"/>
                <w:lang w:val="en-US" w:eastAsia="en-US" w:bidi="ar-SA"/>
              </w:rPr>
              <w:t>&gt;</w:t>
            </w:r>
          </w:p>
          <w:p w14:paraId="02E6955C">
            <w:pPr>
              <w:kinsoku w:val="0"/>
              <w:autoSpaceDE w:val="0"/>
              <w:autoSpaceDN w:val="0"/>
              <w:adjustRightInd w:val="0"/>
              <w:snapToGrid w:val="0"/>
              <w:spacing w:before="24" w:line="213" w:lineRule="auto"/>
              <w:ind w:left="275" w:right="97" w:hanging="14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9"/>
                <w:kern w:val="0"/>
                <w:sz w:val="18"/>
                <w:szCs w:val="18"/>
                <w:lang w:val="en-US" w:eastAsia="en-US" w:bidi="ar-SA"/>
              </w:rPr>
              <w:t>的实施意见》（安监总管</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三〔</w:t>
            </w:r>
            <w:r>
              <w:rPr>
                <w:rFonts w:ascii="Times New Roman" w:hAnsi="Times New Roman" w:eastAsia="Times New Roman" w:cs="Times New Roman"/>
                <w:snapToGrid w:val="0"/>
                <w:color w:val="000000"/>
                <w:spacing w:val="-1"/>
                <w:kern w:val="0"/>
                <w:sz w:val="18"/>
                <w:szCs w:val="18"/>
                <w:lang w:val="en-US" w:eastAsia="en-US" w:bidi="ar-SA"/>
              </w:rPr>
              <w:t>2010</w:t>
            </w: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 xml:space="preserve">186 </w:t>
            </w:r>
            <w:r>
              <w:rPr>
                <w:rFonts w:ascii="宋体" w:hAnsi="宋体" w:eastAsia="宋体" w:cs="宋体"/>
                <w:snapToGrid w:val="0"/>
                <w:color w:val="000000"/>
                <w:spacing w:val="-1"/>
                <w:kern w:val="0"/>
                <w:sz w:val="18"/>
                <w:szCs w:val="18"/>
                <w:lang w:val="en-US" w:eastAsia="en-US" w:bidi="ar-SA"/>
              </w:rPr>
              <w:t>号）</w:t>
            </w:r>
          </w:p>
        </w:tc>
        <w:tc>
          <w:tcPr>
            <w:tcW w:w="1663" w:type="dxa"/>
            <w:vAlign w:val="top"/>
          </w:tcPr>
          <w:p w14:paraId="1525C965">
            <w:pPr>
              <w:widowControl/>
              <w:kinsoku w:val="0"/>
              <w:autoSpaceDE w:val="0"/>
              <w:autoSpaceDN w:val="0"/>
              <w:adjustRightInd w:val="0"/>
              <w:snapToGrid w:val="0"/>
              <w:spacing w:line="475" w:lineRule="auto"/>
              <w:jc w:val="left"/>
              <w:textAlignment w:val="baseline"/>
              <w:rPr>
                <w:rFonts w:ascii="Arial" w:hAnsi="Arial" w:eastAsia="Arial" w:cs="Arial"/>
                <w:snapToGrid w:val="0"/>
                <w:color w:val="000000"/>
                <w:kern w:val="0"/>
                <w:sz w:val="21"/>
                <w:lang w:eastAsia="en-US"/>
              </w:rPr>
            </w:pPr>
          </w:p>
          <w:p w14:paraId="61716FA4">
            <w:pPr>
              <w:kinsoku w:val="0"/>
              <w:autoSpaceDE w:val="0"/>
              <w:autoSpaceDN w:val="0"/>
              <w:adjustRightInd w:val="0"/>
              <w:snapToGrid w:val="0"/>
              <w:spacing w:before="58" w:line="237" w:lineRule="auto"/>
              <w:ind w:left="119" w:right="95"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该加油站建立</w:t>
            </w:r>
            <w:r>
              <w:rPr>
                <w:rFonts w:ascii="Times New Roman" w:hAnsi="Times New Roman" w:eastAsia="Times New Roman" w:cs="Times New Roman"/>
                <w:snapToGrid w:val="0"/>
                <w:color w:val="000000"/>
                <w:kern w:val="0"/>
                <w:sz w:val="18"/>
                <w:szCs w:val="18"/>
                <w:lang w:val="en-US" w:eastAsia="en-US" w:bidi="ar-SA"/>
              </w:rPr>
              <w:t>HSE</w:t>
            </w:r>
            <w:r>
              <w:rPr>
                <w:rFonts w:ascii="宋体" w:hAnsi="宋体" w:eastAsia="宋体" w:cs="宋体"/>
                <w:snapToGrid w:val="0"/>
                <w:color w:val="000000"/>
                <w:kern w:val="0"/>
                <w:sz w:val="18"/>
                <w:szCs w:val="18"/>
                <w:lang w:val="en-US" w:eastAsia="en-US" w:bidi="ar-SA"/>
              </w:rPr>
              <w:t>值班制度，站长能</w:t>
            </w:r>
            <w:r>
              <w:rPr>
                <w:rFonts w:ascii="宋体" w:hAnsi="宋体" w:eastAsia="宋体" w:cs="宋体"/>
                <w:snapToGrid w:val="0"/>
                <w:color w:val="000000"/>
                <w:spacing w:val="-1"/>
                <w:kern w:val="0"/>
                <w:sz w:val="18"/>
                <w:szCs w:val="18"/>
                <w:lang w:val="en-US" w:eastAsia="en-US" w:bidi="ar-SA"/>
              </w:rPr>
              <w:t>够落实值班制度。</w:t>
            </w:r>
          </w:p>
        </w:tc>
        <w:tc>
          <w:tcPr>
            <w:tcW w:w="721" w:type="dxa"/>
            <w:gridSpan w:val="2"/>
            <w:tcBorders>
              <w:right w:val="single" w:color="000000" w:sz="10" w:space="0"/>
            </w:tcBorders>
            <w:vAlign w:val="top"/>
          </w:tcPr>
          <w:p w14:paraId="6A36F29B">
            <w:pPr>
              <w:widowControl/>
              <w:kinsoku w:val="0"/>
              <w:autoSpaceDE w:val="0"/>
              <w:autoSpaceDN w:val="0"/>
              <w:adjustRightInd w:val="0"/>
              <w:snapToGrid w:val="0"/>
              <w:spacing w:line="356" w:lineRule="auto"/>
              <w:jc w:val="left"/>
              <w:textAlignment w:val="baseline"/>
              <w:rPr>
                <w:rFonts w:ascii="Arial" w:hAnsi="Arial" w:eastAsia="Arial" w:cs="Arial"/>
                <w:snapToGrid w:val="0"/>
                <w:color w:val="000000"/>
                <w:kern w:val="0"/>
                <w:sz w:val="21"/>
                <w:lang w:eastAsia="en-US"/>
              </w:rPr>
            </w:pPr>
          </w:p>
          <w:p w14:paraId="1622A28A">
            <w:pPr>
              <w:widowControl/>
              <w:kinsoku w:val="0"/>
              <w:autoSpaceDE w:val="0"/>
              <w:autoSpaceDN w:val="0"/>
              <w:adjustRightInd w:val="0"/>
              <w:snapToGrid w:val="0"/>
              <w:spacing w:line="356" w:lineRule="auto"/>
              <w:jc w:val="left"/>
              <w:textAlignment w:val="baseline"/>
              <w:rPr>
                <w:rFonts w:ascii="Arial" w:hAnsi="Arial" w:eastAsia="Arial" w:cs="Arial"/>
                <w:snapToGrid w:val="0"/>
                <w:color w:val="000000"/>
                <w:kern w:val="0"/>
                <w:sz w:val="21"/>
                <w:lang w:eastAsia="en-US"/>
              </w:rPr>
            </w:pPr>
          </w:p>
          <w:p w14:paraId="3109C82D">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8D6D7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741" w:type="dxa"/>
            <w:tcBorders>
              <w:left w:val="single" w:color="000000" w:sz="10" w:space="0"/>
            </w:tcBorders>
            <w:vAlign w:val="top"/>
          </w:tcPr>
          <w:p w14:paraId="4FE1B0BD">
            <w:pPr>
              <w:widowControl/>
              <w:kinsoku w:val="0"/>
              <w:autoSpaceDE w:val="0"/>
              <w:autoSpaceDN w:val="0"/>
              <w:adjustRightInd w:val="0"/>
              <w:snapToGrid w:val="0"/>
              <w:spacing w:before="105" w:line="172" w:lineRule="auto"/>
              <w:ind w:left="31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2</w:t>
            </w:r>
          </w:p>
        </w:tc>
        <w:tc>
          <w:tcPr>
            <w:tcW w:w="8460" w:type="dxa"/>
            <w:gridSpan w:val="5"/>
            <w:tcBorders>
              <w:right w:val="single" w:color="000000" w:sz="10" w:space="0"/>
            </w:tcBorders>
            <w:vAlign w:val="top"/>
          </w:tcPr>
          <w:p w14:paraId="5238E97B">
            <w:pPr>
              <w:kinsoku w:val="0"/>
              <w:autoSpaceDE w:val="0"/>
              <w:autoSpaceDN w:val="0"/>
              <w:adjustRightInd w:val="0"/>
              <w:snapToGrid w:val="0"/>
              <w:spacing w:before="76" w:line="182" w:lineRule="auto"/>
              <w:ind w:left="10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安全管理规章制度及操作规程</w:t>
            </w:r>
          </w:p>
        </w:tc>
      </w:tr>
      <w:tr w14:paraId="48046D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4" w:hRule="atLeast"/>
        </w:trPr>
        <w:tc>
          <w:tcPr>
            <w:tcW w:w="741" w:type="dxa"/>
            <w:tcBorders>
              <w:left w:val="single" w:color="000000" w:sz="10" w:space="0"/>
              <w:bottom w:val="single" w:color="000000" w:sz="10" w:space="0"/>
            </w:tcBorders>
            <w:vAlign w:val="top"/>
          </w:tcPr>
          <w:p w14:paraId="67D90257">
            <w:pPr>
              <w:widowControl/>
              <w:kinsoku w:val="0"/>
              <w:autoSpaceDE w:val="0"/>
              <w:autoSpaceDN w:val="0"/>
              <w:adjustRightInd w:val="0"/>
              <w:snapToGrid w:val="0"/>
              <w:spacing w:line="313" w:lineRule="auto"/>
              <w:jc w:val="left"/>
              <w:textAlignment w:val="baseline"/>
              <w:rPr>
                <w:rFonts w:ascii="Arial" w:hAnsi="Arial" w:eastAsia="Arial" w:cs="Arial"/>
                <w:snapToGrid w:val="0"/>
                <w:color w:val="000000"/>
                <w:kern w:val="0"/>
                <w:sz w:val="21"/>
                <w:lang w:eastAsia="en-US"/>
              </w:rPr>
            </w:pPr>
          </w:p>
          <w:p w14:paraId="4D0AF72A">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1"/>
                <w:kern w:val="0"/>
                <w:sz w:val="18"/>
                <w:szCs w:val="18"/>
                <w:lang w:eastAsia="en-US"/>
              </w:rPr>
              <w:t>1</w:t>
            </w:r>
          </w:p>
        </w:tc>
        <w:tc>
          <w:tcPr>
            <w:tcW w:w="3964" w:type="dxa"/>
            <w:tcBorders>
              <w:bottom w:val="single" w:color="000000" w:sz="10" w:space="0"/>
            </w:tcBorders>
            <w:vAlign w:val="top"/>
          </w:tcPr>
          <w:p w14:paraId="352834D5">
            <w:pPr>
              <w:kinsoku w:val="0"/>
              <w:autoSpaceDE w:val="0"/>
              <w:autoSpaceDN w:val="0"/>
              <w:adjustRightInd w:val="0"/>
              <w:snapToGrid w:val="0"/>
              <w:spacing w:before="205" w:line="255" w:lineRule="auto"/>
              <w:ind w:left="102" w:right="105"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从事危险化学品经营的单位，具有健全的安全生</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产规章制度和岗位操作规程。</w:t>
            </w:r>
          </w:p>
        </w:tc>
        <w:tc>
          <w:tcPr>
            <w:tcW w:w="2112" w:type="dxa"/>
            <w:tcBorders>
              <w:bottom w:val="single" w:color="000000" w:sz="10" w:space="0"/>
            </w:tcBorders>
            <w:vAlign w:val="top"/>
          </w:tcPr>
          <w:p w14:paraId="7D7C248A">
            <w:pPr>
              <w:kinsoku w:val="0"/>
              <w:autoSpaceDE w:val="0"/>
              <w:autoSpaceDN w:val="0"/>
              <w:adjustRightInd w:val="0"/>
              <w:snapToGrid w:val="0"/>
              <w:spacing w:before="76" w:line="221"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《危险化学品经营许可</w:t>
            </w:r>
          </w:p>
          <w:p w14:paraId="571F469E">
            <w:pPr>
              <w:kinsoku w:val="0"/>
              <w:autoSpaceDE w:val="0"/>
              <w:autoSpaceDN w:val="0"/>
              <w:adjustRightInd w:val="0"/>
              <w:snapToGrid w:val="0"/>
              <w:spacing w:before="46" w:line="220" w:lineRule="auto"/>
              <w:ind w:left="11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证管理办法》（国家安全</w:t>
            </w:r>
          </w:p>
          <w:p w14:paraId="0913A878">
            <w:pPr>
              <w:kinsoku w:val="0"/>
              <w:autoSpaceDE w:val="0"/>
              <w:autoSpaceDN w:val="0"/>
              <w:adjustRightInd w:val="0"/>
              <w:snapToGrid w:val="0"/>
              <w:spacing w:before="44" w:line="202" w:lineRule="auto"/>
              <w:ind w:left="25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生产监督管理总局令</w:t>
            </w:r>
          </w:p>
        </w:tc>
        <w:tc>
          <w:tcPr>
            <w:tcW w:w="1663" w:type="dxa"/>
            <w:tcBorders>
              <w:bottom w:val="single" w:color="000000" w:sz="10" w:space="0"/>
            </w:tcBorders>
            <w:vAlign w:val="top"/>
          </w:tcPr>
          <w:p w14:paraId="4AB34699">
            <w:pPr>
              <w:kinsoku w:val="0"/>
              <w:autoSpaceDE w:val="0"/>
              <w:autoSpaceDN w:val="0"/>
              <w:adjustRightInd w:val="0"/>
              <w:snapToGrid w:val="0"/>
              <w:spacing w:before="77" w:line="245"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该站的安全生产规</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章制度和岗位操作</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规程基本健全。</w:t>
            </w:r>
          </w:p>
        </w:tc>
        <w:tc>
          <w:tcPr>
            <w:tcW w:w="721" w:type="dxa"/>
            <w:gridSpan w:val="2"/>
            <w:tcBorders>
              <w:bottom w:val="single" w:color="000000" w:sz="10" w:space="0"/>
              <w:right w:val="single" w:color="000000" w:sz="10" w:space="0"/>
            </w:tcBorders>
            <w:vAlign w:val="top"/>
          </w:tcPr>
          <w:p w14:paraId="1F3CAC90">
            <w:pPr>
              <w:widowControl/>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lang w:eastAsia="en-US"/>
              </w:rPr>
            </w:pPr>
          </w:p>
          <w:p w14:paraId="2AEBCC04">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086A0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1" w:hRule="atLeast"/>
        </w:trPr>
        <w:tc>
          <w:tcPr>
            <w:tcW w:w="741" w:type="dxa"/>
            <w:tcBorders>
              <w:top w:val="single" w:color="000000" w:sz="10" w:space="0"/>
              <w:left w:val="single" w:color="000000" w:sz="10" w:space="0"/>
            </w:tcBorders>
            <w:vAlign w:val="top"/>
          </w:tcPr>
          <w:p w14:paraId="34D75A8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18"/>
                <w:szCs w:val="18"/>
                <w:lang w:eastAsia="en-US"/>
              </w:rPr>
            </w:pPr>
          </w:p>
        </w:tc>
        <w:tc>
          <w:tcPr>
            <w:tcW w:w="3964" w:type="dxa"/>
            <w:tcBorders>
              <w:top w:val="single" w:color="000000" w:sz="10" w:space="0"/>
            </w:tcBorders>
            <w:vAlign w:val="top"/>
          </w:tcPr>
          <w:p w14:paraId="7198A55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18"/>
                <w:szCs w:val="18"/>
                <w:lang w:eastAsia="en-US"/>
              </w:rPr>
            </w:pPr>
          </w:p>
        </w:tc>
        <w:tc>
          <w:tcPr>
            <w:tcW w:w="2112" w:type="dxa"/>
            <w:tcBorders>
              <w:top w:val="single" w:color="000000" w:sz="10" w:space="0"/>
            </w:tcBorders>
            <w:vAlign w:val="top"/>
          </w:tcPr>
          <w:p w14:paraId="1790D00C">
            <w:pPr>
              <w:kinsoku w:val="0"/>
              <w:autoSpaceDE w:val="0"/>
              <w:autoSpaceDN w:val="0"/>
              <w:adjustRightInd w:val="0"/>
              <w:snapToGrid w:val="0"/>
              <w:spacing w:before="41" w:line="245" w:lineRule="auto"/>
              <w:ind w:left="112" w:right="25" w:firstLine="3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w:t>
            </w:r>
            <w:r>
              <w:rPr>
                <w:rFonts w:ascii="Times New Roman" w:hAnsi="Times New Roman" w:eastAsia="Times New Roman" w:cs="Times New Roman"/>
                <w:snapToGrid w:val="0"/>
                <w:color w:val="000000"/>
                <w:spacing w:val="-4"/>
                <w:kern w:val="0"/>
                <w:sz w:val="18"/>
                <w:szCs w:val="18"/>
                <w:lang w:val="en-US" w:eastAsia="en-US" w:bidi="ar-SA"/>
              </w:rPr>
              <w:t>2012</w:t>
            </w:r>
            <w:r>
              <w:rPr>
                <w:rFonts w:ascii="宋体" w:hAnsi="宋体" w:eastAsia="宋体" w:cs="宋体"/>
                <w:snapToGrid w:val="0"/>
                <w:color w:val="000000"/>
                <w:spacing w:val="-4"/>
                <w:kern w:val="0"/>
                <w:sz w:val="18"/>
                <w:szCs w:val="18"/>
                <w:lang w:val="en-US" w:eastAsia="en-US" w:bidi="ar-SA"/>
              </w:rPr>
              <w:t>〕第</w:t>
            </w:r>
            <w:r>
              <w:rPr>
                <w:rFonts w:ascii="宋体" w:hAnsi="宋体" w:eastAsia="宋体" w:cs="宋体"/>
                <w:snapToGrid w:val="0"/>
                <w:color w:val="000000"/>
                <w:spacing w:val="-39"/>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55</w:t>
            </w:r>
            <w:r>
              <w:rPr>
                <w:rFonts w:ascii="Times New Roman" w:hAnsi="Times New Roman" w:eastAsia="Times New Roman" w:cs="Times New Roman"/>
                <w:snapToGrid w:val="0"/>
                <w:color w:val="000000"/>
                <w:spacing w:val="1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号、国家</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安监总局令〔</w:t>
            </w:r>
            <w:r>
              <w:rPr>
                <w:rFonts w:ascii="Times New Roman" w:hAnsi="Times New Roman" w:eastAsia="Times New Roman" w:cs="Times New Roman"/>
                <w:snapToGrid w:val="0"/>
                <w:color w:val="000000"/>
                <w:spacing w:val="3"/>
                <w:kern w:val="0"/>
                <w:sz w:val="18"/>
                <w:szCs w:val="18"/>
                <w:lang w:val="en-US" w:eastAsia="en-US" w:bidi="ar-SA"/>
              </w:rPr>
              <w:t>2015</w:t>
            </w:r>
            <w:r>
              <w:rPr>
                <w:rFonts w:ascii="宋体" w:hAnsi="宋体" w:eastAsia="宋体" w:cs="宋体"/>
                <w:snapToGrid w:val="0"/>
                <w:color w:val="000000"/>
                <w:spacing w:val="3"/>
                <w:kern w:val="0"/>
                <w:sz w:val="18"/>
                <w:szCs w:val="18"/>
                <w:lang w:val="en-US" w:eastAsia="en-US" w:bidi="ar-SA"/>
              </w:rPr>
              <w:t xml:space="preserve">〕第  </w:t>
            </w:r>
            <w:r>
              <w:rPr>
                <w:rFonts w:ascii="Times New Roman" w:hAnsi="Times New Roman" w:eastAsia="Times New Roman" w:cs="Times New Roman"/>
                <w:snapToGrid w:val="0"/>
                <w:color w:val="000000"/>
                <w:spacing w:val="-6"/>
                <w:kern w:val="0"/>
                <w:sz w:val="18"/>
                <w:szCs w:val="18"/>
                <w:lang w:val="en-US" w:eastAsia="en-US" w:bidi="ar-SA"/>
              </w:rPr>
              <w:t>79</w:t>
            </w:r>
            <w:r>
              <w:rPr>
                <w:rFonts w:ascii="Times New Roman" w:hAnsi="Times New Roman" w:eastAsia="Times New Roman" w:cs="Times New Roman"/>
                <w:snapToGrid w:val="0"/>
                <w:color w:val="000000"/>
                <w:spacing w:val="14"/>
                <w:w w:val="101"/>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号修订）第六条（三）</w:t>
            </w:r>
          </w:p>
        </w:tc>
        <w:tc>
          <w:tcPr>
            <w:tcW w:w="1663" w:type="dxa"/>
            <w:tcBorders>
              <w:top w:val="single" w:color="000000" w:sz="10" w:space="0"/>
            </w:tcBorders>
            <w:vAlign w:val="top"/>
          </w:tcPr>
          <w:p w14:paraId="7110B05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18"/>
                <w:szCs w:val="18"/>
                <w:lang w:eastAsia="en-US"/>
              </w:rPr>
            </w:pPr>
          </w:p>
        </w:tc>
        <w:tc>
          <w:tcPr>
            <w:tcW w:w="721" w:type="dxa"/>
            <w:gridSpan w:val="2"/>
            <w:tcBorders>
              <w:top w:val="single" w:color="000000" w:sz="10" w:space="0"/>
              <w:right w:val="single" w:color="000000" w:sz="10" w:space="0"/>
            </w:tcBorders>
            <w:vAlign w:val="top"/>
          </w:tcPr>
          <w:p w14:paraId="63B1337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18"/>
                <w:szCs w:val="18"/>
                <w:lang w:eastAsia="en-US"/>
              </w:rPr>
            </w:pPr>
          </w:p>
        </w:tc>
      </w:tr>
      <w:tr w14:paraId="4EE110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725733B8">
            <w:pPr>
              <w:widowControl/>
              <w:kinsoku w:val="0"/>
              <w:autoSpaceDE w:val="0"/>
              <w:autoSpaceDN w:val="0"/>
              <w:adjustRightInd w:val="0"/>
              <w:snapToGrid w:val="0"/>
              <w:spacing w:line="422" w:lineRule="auto"/>
              <w:jc w:val="left"/>
              <w:textAlignment w:val="baseline"/>
              <w:rPr>
                <w:rFonts w:ascii="Arial" w:hAnsi="Arial" w:eastAsia="Arial" w:cs="Arial"/>
                <w:snapToGrid w:val="0"/>
                <w:color w:val="000000"/>
                <w:kern w:val="0"/>
                <w:sz w:val="18"/>
                <w:szCs w:val="18"/>
                <w:lang w:eastAsia="en-US"/>
              </w:rPr>
            </w:pPr>
          </w:p>
          <w:p w14:paraId="29369B0C">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2.2</w:t>
            </w:r>
          </w:p>
        </w:tc>
        <w:tc>
          <w:tcPr>
            <w:tcW w:w="3964" w:type="dxa"/>
            <w:vAlign w:val="top"/>
          </w:tcPr>
          <w:p w14:paraId="42DC4A01">
            <w:pPr>
              <w:kinsoku w:val="0"/>
              <w:autoSpaceDE w:val="0"/>
              <w:autoSpaceDN w:val="0"/>
              <w:adjustRightInd w:val="0"/>
              <w:snapToGrid w:val="0"/>
              <w:spacing w:before="186" w:line="258" w:lineRule="auto"/>
              <w:ind w:left="101"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从业人员在作业过程中，应当严格遵守本单位的安全生产规章制度和操作规程，服从管理，正确</w:t>
            </w:r>
            <w:r>
              <w:rPr>
                <w:rFonts w:ascii="宋体" w:hAnsi="宋体" w:eastAsia="宋体" w:cs="宋体"/>
                <w:snapToGrid w:val="0"/>
                <w:color w:val="000000"/>
                <w:spacing w:val="-1"/>
                <w:kern w:val="0"/>
                <w:sz w:val="18"/>
                <w:szCs w:val="18"/>
                <w:lang w:val="en-US" w:eastAsia="en-US" w:bidi="ar-SA"/>
              </w:rPr>
              <w:t>佩戴和使用劳动防护用品。</w:t>
            </w:r>
          </w:p>
        </w:tc>
        <w:tc>
          <w:tcPr>
            <w:tcW w:w="2112" w:type="dxa"/>
            <w:vAlign w:val="top"/>
          </w:tcPr>
          <w:p w14:paraId="56564AF1">
            <w:pPr>
              <w:kinsoku w:val="0"/>
              <w:autoSpaceDE w:val="0"/>
              <w:autoSpaceDN w:val="0"/>
              <w:adjustRightInd w:val="0"/>
              <w:snapToGrid w:val="0"/>
              <w:spacing w:before="58" w:line="250"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号）第五十七条</w:t>
            </w:r>
          </w:p>
        </w:tc>
        <w:tc>
          <w:tcPr>
            <w:tcW w:w="1663" w:type="dxa"/>
            <w:vAlign w:val="top"/>
          </w:tcPr>
          <w:p w14:paraId="415FA393">
            <w:pPr>
              <w:kinsoku w:val="0"/>
              <w:autoSpaceDE w:val="0"/>
              <w:autoSpaceDN w:val="0"/>
              <w:adjustRightInd w:val="0"/>
              <w:snapToGrid w:val="0"/>
              <w:spacing w:before="186" w:line="258"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该站配备了劳动防</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护用品，职工均能 </w:t>
            </w:r>
            <w:r>
              <w:rPr>
                <w:rFonts w:ascii="宋体" w:hAnsi="宋体" w:eastAsia="宋体" w:cs="宋体"/>
                <w:snapToGrid w:val="0"/>
                <w:color w:val="000000"/>
                <w:spacing w:val="-1"/>
                <w:kern w:val="0"/>
                <w:sz w:val="18"/>
                <w:szCs w:val="18"/>
                <w:lang w:val="en-US" w:eastAsia="en-US" w:bidi="ar-SA"/>
              </w:rPr>
              <w:t>正确佩戴和使用。</w:t>
            </w:r>
          </w:p>
        </w:tc>
        <w:tc>
          <w:tcPr>
            <w:tcW w:w="721" w:type="dxa"/>
            <w:gridSpan w:val="2"/>
            <w:tcBorders>
              <w:right w:val="single" w:color="000000" w:sz="10" w:space="0"/>
            </w:tcBorders>
            <w:vAlign w:val="top"/>
          </w:tcPr>
          <w:p w14:paraId="1B1E5AE9">
            <w:pPr>
              <w:widowControl/>
              <w:kinsoku w:val="0"/>
              <w:autoSpaceDE w:val="0"/>
              <w:autoSpaceDN w:val="0"/>
              <w:adjustRightInd w:val="0"/>
              <w:snapToGrid w:val="0"/>
              <w:spacing w:line="384" w:lineRule="auto"/>
              <w:jc w:val="left"/>
              <w:textAlignment w:val="baseline"/>
              <w:rPr>
                <w:rFonts w:ascii="Arial" w:hAnsi="Arial" w:eastAsia="Arial" w:cs="Arial"/>
                <w:snapToGrid w:val="0"/>
                <w:color w:val="000000"/>
                <w:kern w:val="0"/>
                <w:sz w:val="18"/>
                <w:szCs w:val="18"/>
                <w:lang w:eastAsia="en-US"/>
              </w:rPr>
            </w:pPr>
          </w:p>
          <w:p w14:paraId="44EC2898">
            <w:pPr>
              <w:kinsoku w:val="0"/>
              <w:autoSpaceDE w:val="0"/>
              <w:autoSpaceDN w:val="0"/>
              <w:adjustRightInd w:val="0"/>
              <w:snapToGrid w:val="0"/>
              <w:spacing w:before="59" w:line="220" w:lineRule="auto"/>
              <w:ind w:left="1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CF613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3B1B8708">
            <w:pPr>
              <w:widowControl/>
              <w:kinsoku w:val="0"/>
              <w:autoSpaceDE w:val="0"/>
              <w:autoSpaceDN w:val="0"/>
              <w:adjustRightInd w:val="0"/>
              <w:snapToGrid w:val="0"/>
              <w:spacing w:line="423" w:lineRule="auto"/>
              <w:jc w:val="left"/>
              <w:textAlignment w:val="baseline"/>
              <w:rPr>
                <w:rFonts w:ascii="Arial" w:hAnsi="Arial" w:eastAsia="Arial" w:cs="Arial"/>
                <w:snapToGrid w:val="0"/>
                <w:color w:val="000000"/>
                <w:kern w:val="0"/>
                <w:sz w:val="18"/>
                <w:szCs w:val="18"/>
                <w:lang w:eastAsia="en-US"/>
              </w:rPr>
            </w:pPr>
          </w:p>
          <w:p w14:paraId="6B18847E">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2.3</w:t>
            </w:r>
          </w:p>
        </w:tc>
        <w:tc>
          <w:tcPr>
            <w:tcW w:w="3964" w:type="dxa"/>
            <w:vAlign w:val="top"/>
          </w:tcPr>
          <w:p w14:paraId="0ADBC79E">
            <w:pPr>
              <w:kinsoku w:val="0"/>
              <w:autoSpaceDE w:val="0"/>
              <w:autoSpaceDN w:val="0"/>
              <w:adjustRightInd w:val="0"/>
              <w:snapToGrid w:val="0"/>
              <w:spacing w:before="186" w:line="258"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经营单位必须遵守本法和其他有关安全生产的</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法律、法规，加强安全生产管理，建立、健全安</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全生产责任制和安全生产规章制度。</w:t>
            </w:r>
          </w:p>
        </w:tc>
        <w:tc>
          <w:tcPr>
            <w:tcW w:w="2112" w:type="dxa"/>
            <w:vAlign w:val="top"/>
          </w:tcPr>
          <w:p w14:paraId="21F826D4">
            <w:pPr>
              <w:kinsoku w:val="0"/>
              <w:autoSpaceDE w:val="0"/>
              <w:autoSpaceDN w:val="0"/>
              <w:adjustRightInd w:val="0"/>
              <w:snapToGrid w:val="0"/>
              <w:spacing w:before="57"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p>
          <w:p w14:paraId="6D15E594">
            <w:pPr>
              <w:kinsoku w:val="0"/>
              <w:autoSpaceDE w:val="0"/>
              <w:autoSpaceDN w:val="0"/>
              <w:adjustRightInd w:val="0"/>
              <w:snapToGrid w:val="0"/>
              <w:spacing w:before="47" w:line="220"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生产法》（中华人民共和</w:t>
            </w:r>
          </w:p>
          <w:p w14:paraId="1B2B65AB">
            <w:pPr>
              <w:kinsoku w:val="0"/>
              <w:autoSpaceDE w:val="0"/>
              <w:autoSpaceDN w:val="0"/>
              <w:adjustRightInd w:val="0"/>
              <w:snapToGrid w:val="0"/>
              <w:spacing w:before="44" w:line="219" w:lineRule="auto"/>
              <w:ind w:left="159"/>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国主席令〔</w:t>
            </w:r>
            <w:r>
              <w:rPr>
                <w:rFonts w:ascii="Times New Roman" w:hAnsi="Times New Roman" w:eastAsia="Times New Roman" w:cs="Times New Roman"/>
                <w:snapToGrid w:val="0"/>
                <w:color w:val="000000"/>
                <w:spacing w:val="-3"/>
                <w:kern w:val="0"/>
                <w:sz w:val="18"/>
                <w:szCs w:val="18"/>
                <w:lang w:val="en-US" w:eastAsia="en-US" w:bidi="ar-SA"/>
              </w:rPr>
              <w:t>2021</w:t>
            </w:r>
            <w:r>
              <w:rPr>
                <w:rFonts w:ascii="宋体" w:hAnsi="宋体" w:eastAsia="宋体" w:cs="宋体"/>
                <w:snapToGrid w:val="0"/>
                <w:color w:val="000000"/>
                <w:spacing w:val="-3"/>
                <w:kern w:val="0"/>
                <w:sz w:val="18"/>
                <w:szCs w:val="18"/>
                <w:lang w:val="en-US" w:eastAsia="en-US" w:bidi="ar-SA"/>
              </w:rPr>
              <w:t>〕第</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88</w:t>
            </w:r>
          </w:p>
          <w:p w14:paraId="47E5459E">
            <w:pPr>
              <w:kinsoku w:val="0"/>
              <w:autoSpaceDE w:val="0"/>
              <w:autoSpaceDN w:val="0"/>
              <w:adjustRightInd w:val="0"/>
              <w:snapToGrid w:val="0"/>
              <w:spacing w:before="45" w:line="200" w:lineRule="auto"/>
              <w:ind w:left="6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号）第四条</w:t>
            </w:r>
          </w:p>
        </w:tc>
        <w:tc>
          <w:tcPr>
            <w:tcW w:w="1663" w:type="dxa"/>
            <w:vAlign w:val="top"/>
          </w:tcPr>
          <w:p w14:paraId="58DBCFA0">
            <w:pPr>
              <w:kinsoku w:val="0"/>
              <w:autoSpaceDE w:val="0"/>
              <w:autoSpaceDN w:val="0"/>
              <w:adjustRightInd w:val="0"/>
              <w:snapToGrid w:val="0"/>
              <w:spacing w:before="58" w:line="250" w:lineRule="auto"/>
              <w:ind w:left="119" w:right="92"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该站建立了各岗位</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安全生产责任制和</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6"/>
                <w:kern w:val="0"/>
                <w:sz w:val="18"/>
                <w:szCs w:val="18"/>
                <w:lang w:val="en-US" w:eastAsia="en-US" w:bidi="ar-SA"/>
              </w:rPr>
              <w:t>安全生产规章制</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度。</w:t>
            </w:r>
          </w:p>
        </w:tc>
        <w:tc>
          <w:tcPr>
            <w:tcW w:w="721" w:type="dxa"/>
            <w:gridSpan w:val="2"/>
            <w:tcBorders>
              <w:right w:val="single" w:color="000000" w:sz="10" w:space="0"/>
            </w:tcBorders>
            <w:vAlign w:val="top"/>
          </w:tcPr>
          <w:p w14:paraId="07742716">
            <w:pPr>
              <w:widowControl/>
              <w:kinsoku w:val="0"/>
              <w:autoSpaceDE w:val="0"/>
              <w:autoSpaceDN w:val="0"/>
              <w:adjustRightInd w:val="0"/>
              <w:snapToGrid w:val="0"/>
              <w:spacing w:line="387" w:lineRule="auto"/>
              <w:jc w:val="left"/>
              <w:textAlignment w:val="baseline"/>
              <w:rPr>
                <w:rFonts w:ascii="Arial" w:hAnsi="Arial" w:eastAsia="Arial" w:cs="Arial"/>
                <w:snapToGrid w:val="0"/>
                <w:color w:val="000000"/>
                <w:kern w:val="0"/>
                <w:sz w:val="18"/>
                <w:szCs w:val="18"/>
                <w:lang w:eastAsia="en-US"/>
              </w:rPr>
            </w:pPr>
          </w:p>
          <w:p w14:paraId="54190100">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6C6BB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34AB863E">
            <w:pPr>
              <w:widowControl/>
              <w:kinsoku w:val="0"/>
              <w:autoSpaceDE w:val="0"/>
              <w:autoSpaceDN w:val="0"/>
              <w:adjustRightInd w:val="0"/>
              <w:snapToGrid w:val="0"/>
              <w:spacing w:line="426" w:lineRule="auto"/>
              <w:jc w:val="left"/>
              <w:textAlignment w:val="baseline"/>
              <w:rPr>
                <w:rFonts w:ascii="Arial" w:hAnsi="Arial" w:eastAsia="Arial" w:cs="Arial"/>
                <w:snapToGrid w:val="0"/>
                <w:color w:val="000000"/>
                <w:kern w:val="0"/>
                <w:sz w:val="18"/>
                <w:szCs w:val="18"/>
                <w:lang w:eastAsia="en-US"/>
              </w:rPr>
            </w:pPr>
          </w:p>
          <w:p w14:paraId="55AF7BB5">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2.4</w:t>
            </w:r>
          </w:p>
        </w:tc>
        <w:tc>
          <w:tcPr>
            <w:tcW w:w="3964" w:type="dxa"/>
            <w:vAlign w:val="top"/>
          </w:tcPr>
          <w:p w14:paraId="73104B06">
            <w:pPr>
              <w:kinsoku w:val="0"/>
              <w:autoSpaceDE w:val="0"/>
              <w:autoSpaceDN w:val="0"/>
              <w:adjustRightInd w:val="0"/>
              <w:snapToGrid w:val="0"/>
              <w:spacing w:before="61" w:line="252" w:lineRule="auto"/>
              <w:ind w:left="104" w:right="1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生产经营单位的主要负责人对本单位安全生产</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工作负有下列职责：</w:t>
            </w:r>
          </w:p>
          <w:p w14:paraId="53DBB4D6">
            <w:pPr>
              <w:kinsoku w:val="0"/>
              <w:autoSpaceDE w:val="0"/>
              <w:autoSpaceDN w:val="0"/>
              <w:adjustRightInd w:val="0"/>
              <w:snapToGrid w:val="0"/>
              <w:spacing w:before="25" w:line="233" w:lineRule="auto"/>
              <w:ind w:left="103" w:right="105" w:firstLine="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（一）建立健全并落实本单位全员安全生产责任</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制，加强安全生产标准化建设；</w:t>
            </w:r>
          </w:p>
        </w:tc>
        <w:tc>
          <w:tcPr>
            <w:tcW w:w="2112" w:type="dxa"/>
            <w:vAlign w:val="top"/>
          </w:tcPr>
          <w:p w14:paraId="71AB5AEC">
            <w:pPr>
              <w:kinsoku w:val="0"/>
              <w:autoSpaceDE w:val="0"/>
              <w:autoSpaceDN w:val="0"/>
              <w:adjustRightInd w:val="0"/>
              <w:snapToGrid w:val="0"/>
              <w:spacing w:before="61" w:line="249" w:lineRule="auto"/>
              <w:ind w:left="114" w:right="97" w:firstLine="5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国主席令〔</w:t>
            </w:r>
            <w:r>
              <w:rPr>
                <w:rFonts w:ascii="Times New Roman" w:hAnsi="Times New Roman" w:eastAsia="Times New Roman" w:cs="Times New Roman"/>
                <w:snapToGrid w:val="0"/>
                <w:color w:val="000000"/>
                <w:kern w:val="0"/>
                <w:sz w:val="18"/>
                <w:szCs w:val="18"/>
                <w:lang w:val="en-US" w:eastAsia="en-US" w:bidi="ar-SA"/>
              </w:rPr>
              <w:t>2021</w:t>
            </w:r>
            <w:r>
              <w:rPr>
                <w:rFonts w:ascii="宋体" w:hAnsi="宋体" w:eastAsia="宋体" w:cs="宋体"/>
                <w:snapToGrid w:val="0"/>
                <w:color w:val="000000"/>
                <w:kern w:val="0"/>
                <w:sz w:val="18"/>
                <w:szCs w:val="18"/>
                <w:lang w:val="en-US" w:eastAsia="en-US" w:bidi="ar-SA"/>
              </w:rPr>
              <w:t>〕第</w:t>
            </w:r>
            <w:r>
              <w:rPr>
                <w:rFonts w:ascii="宋体" w:hAnsi="宋体" w:eastAsia="宋体" w:cs="宋体"/>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 xml:space="preserve">88  </w:t>
            </w:r>
            <w:r>
              <w:rPr>
                <w:rFonts w:ascii="宋体" w:hAnsi="宋体" w:eastAsia="宋体" w:cs="宋体"/>
                <w:snapToGrid w:val="0"/>
                <w:color w:val="000000"/>
                <w:spacing w:val="4"/>
                <w:kern w:val="0"/>
                <w:sz w:val="18"/>
                <w:szCs w:val="18"/>
                <w:lang w:val="en-US" w:eastAsia="en-US" w:bidi="ar-SA"/>
              </w:rPr>
              <w:t>号）第二十一条（一）</w:t>
            </w:r>
          </w:p>
        </w:tc>
        <w:tc>
          <w:tcPr>
            <w:tcW w:w="1663" w:type="dxa"/>
            <w:vAlign w:val="top"/>
          </w:tcPr>
          <w:p w14:paraId="6B951EB6">
            <w:pPr>
              <w:kinsoku w:val="0"/>
              <w:autoSpaceDE w:val="0"/>
              <w:autoSpaceDN w:val="0"/>
              <w:adjustRightInd w:val="0"/>
              <w:snapToGrid w:val="0"/>
              <w:spacing w:before="190" w:line="258" w:lineRule="auto"/>
              <w:ind w:left="126" w:right="92" w:hanging="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该站的负责人建立</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了健全的安全生产</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责任制。</w:t>
            </w:r>
          </w:p>
        </w:tc>
        <w:tc>
          <w:tcPr>
            <w:tcW w:w="721" w:type="dxa"/>
            <w:gridSpan w:val="2"/>
            <w:tcBorders>
              <w:right w:val="single" w:color="000000" w:sz="10" w:space="0"/>
            </w:tcBorders>
            <w:vAlign w:val="top"/>
          </w:tcPr>
          <w:p w14:paraId="3F61DEEA">
            <w:pPr>
              <w:widowControl/>
              <w:kinsoku w:val="0"/>
              <w:autoSpaceDE w:val="0"/>
              <w:autoSpaceDN w:val="0"/>
              <w:adjustRightInd w:val="0"/>
              <w:snapToGrid w:val="0"/>
              <w:spacing w:line="388" w:lineRule="auto"/>
              <w:jc w:val="left"/>
              <w:textAlignment w:val="baseline"/>
              <w:rPr>
                <w:rFonts w:ascii="Arial" w:hAnsi="Arial" w:eastAsia="Arial" w:cs="Arial"/>
                <w:snapToGrid w:val="0"/>
                <w:color w:val="000000"/>
                <w:kern w:val="0"/>
                <w:sz w:val="18"/>
                <w:szCs w:val="18"/>
                <w:lang w:eastAsia="en-US"/>
              </w:rPr>
            </w:pPr>
          </w:p>
          <w:p w14:paraId="348AC01A">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F46B9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591A5818">
            <w:pPr>
              <w:widowControl/>
              <w:kinsoku w:val="0"/>
              <w:autoSpaceDE w:val="0"/>
              <w:autoSpaceDN w:val="0"/>
              <w:adjustRightInd w:val="0"/>
              <w:snapToGrid w:val="0"/>
              <w:spacing w:line="427" w:lineRule="auto"/>
              <w:jc w:val="left"/>
              <w:textAlignment w:val="baseline"/>
              <w:rPr>
                <w:rFonts w:ascii="Arial" w:hAnsi="Arial" w:eastAsia="Arial" w:cs="Arial"/>
                <w:snapToGrid w:val="0"/>
                <w:color w:val="000000"/>
                <w:kern w:val="0"/>
                <w:sz w:val="18"/>
                <w:szCs w:val="18"/>
                <w:lang w:eastAsia="en-US"/>
              </w:rPr>
            </w:pPr>
          </w:p>
          <w:p w14:paraId="3FF443B7">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2.5</w:t>
            </w:r>
          </w:p>
        </w:tc>
        <w:tc>
          <w:tcPr>
            <w:tcW w:w="3964" w:type="dxa"/>
            <w:vAlign w:val="top"/>
          </w:tcPr>
          <w:p w14:paraId="5841AECB">
            <w:pPr>
              <w:kinsoku w:val="0"/>
              <w:autoSpaceDE w:val="0"/>
              <w:autoSpaceDN w:val="0"/>
              <w:adjustRightInd w:val="0"/>
              <w:snapToGrid w:val="0"/>
              <w:spacing w:before="191" w:line="258" w:lineRule="auto"/>
              <w:ind w:left="103"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从业人员应当接受安全生产教育和培训，掌握本</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职工作所需的安全生产知识，提高安全生产技</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能，增强事故预防和应急处理能力。</w:t>
            </w:r>
          </w:p>
        </w:tc>
        <w:tc>
          <w:tcPr>
            <w:tcW w:w="2112" w:type="dxa"/>
            <w:vAlign w:val="top"/>
          </w:tcPr>
          <w:p w14:paraId="0C84A5B9">
            <w:pPr>
              <w:kinsoku w:val="0"/>
              <w:autoSpaceDE w:val="0"/>
              <w:autoSpaceDN w:val="0"/>
              <w:adjustRightInd w:val="0"/>
              <w:snapToGrid w:val="0"/>
              <w:spacing w:before="61"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p>
          <w:p w14:paraId="25108929">
            <w:pPr>
              <w:kinsoku w:val="0"/>
              <w:autoSpaceDE w:val="0"/>
              <w:autoSpaceDN w:val="0"/>
              <w:adjustRightInd w:val="0"/>
              <w:snapToGrid w:val="0"/>
              <w:spacing w:before="47" w:line="220"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生产法》（中华人民共和</w:t>
            </w:r>
          </w:p>
          <w:p w14:paraId="5870DD89">
            <w:pPr>
              <w:kinsoku w:val="0"/>
              <w:autoSpaceDE w:val="0"/>
              <w:autoSpaceDN w:val="0"/>
              <w:adjustRightInd w:val="0"/>
              <w:snapToGrid w:val="0"/>
              <w:spacing w:before="44" w:line="219" w:lineRule="auto"/>
              <w:ind w:left="159"/>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国主席令〔</w:t>
            </w:r>
            <w:r>
              <w:rPr>
                <w:rFonts w:ascii="Times New Roman" w:hAnsi="Times New Roman" w:eastAsia="Times New Roman" w:cs="Times New Roman"/>
                <w:snapToGrid w:val="0"/>
                <w:color w:val="000000"/>
                <w:spacing w:val="-3"/>
                <w:kern w:val="0"/>
                <w:sz w:val="18"/>
                <w:szCs w:val="18"/>
                <w:lang w:val="en-US" w:eastAsia="en-US" w:bidi="ar-SA"/>
              </w:rPr>
              <w:t>2021</w:t>
            </w:r>
            <w:r>
              <w:rPr>
                <w:rFonts w:ascii="宋体" w:hAnsi="宋体" w:eastAsia="宋体" w:cs="宋体"/>
                <w:snapToGrid w:val="0"/>
                <w:color w:val="000000"/>
                <w:spacing w:val="-3"/>
                <w:kern w:val="0"/>
                <w:sz w:val="18"/>
                <w:szCs w:val="18"/>
                <w:lang w:val="en-US" w:eastAsia="en-US" w:bidi="ar-SA"/>
              </w:rPr>
              <w:t>〕第</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88</w:t>
            </w:r>
          </w:p>
          <w:p w14:paraId="5BBC4523">
            <w:pPr>
              <w:kinsoku w:val="0"/>
              <w:autoSpaceDE w:val="0"/>
              <w:autoSpaceDN w:val="0"/>
              <w:adjustRightInd w:val="0"/>
              <w:snapToGrid w:val="0"/>
              <w:spacing w:before="45" w:line="196" w:lineRule="auto"/>
              <w:ind w:left="4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号）第五十八条</w:t>
            </w:r>
          </w:p>
        </w:tc>
        <w:tc>
          <w:tcPr>
            <w:tcW w:w="1663" w:type="dxa"/>
            <w:vAlign w:val="top"/>
          </w:tcPr>
          <w:p w14:paraId="5C41D0BC">
            <w:pPr>
              <w:kinsoku w:val="0"/>
              <w:autoSpaceDE w:val="0"/>
              <w:autoSpaceDN w:val="0"/>
              <w:adjustRightInd w:val="0"/>
              <w:snapToGrid w:val="0"/>
              <w:spacing w:before="61" w:line="249" w:lineRule="auto"/>
              <w:ind w:left="120" w:right="47"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该站制定了安全生</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15"/>
                <w:kern w:val="0"/>
                <w:sz w:val="18"/>
                <w:szCs w:val="18"/>
                <w:lang w:val="en-US" w:eastAsia="en-US" w:bidi="ar-SA"/>
              </w:rPr>
              <w:t>产教育、培训制度，</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经常组织开展教育</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培训。</w:t>
            </w:r>
          </w:p>
        </w:tc>
        <w:tc>
          <w:tcPr>
            <w:tcW w:w="721" w:type="dxa"/>
            <w:gridSpan w:val="2"/>
            <w:tcBorders>
              <w:right w:val="single" w:color="000000" w:sz="10" w:space="0"/>
            </w:tcBorders>
            <w:vAlign w:val="top"/>
          </w:tcPr>
          <w:p w14:paraId="16F6269E">
            <w:pPr>
              <w:widowControl/>
              <w:kinsoku w:val="0"/>
              <w:autoSpaceDE w:val="0"/>
              <w:autoSpaceDN w:val="0"/>
              <w:adjustRightInd w:val="0"/>
              <w:snapToGrid w:val="0"/>
              <w:spacing w:line="391" w:lineRule="auto"/>
              <w:jc w:val="left"/>
              <w:textAlignment w:val="baseline"/>
              <w:rPr>
                <w:rFonts w:ascii="Arial" w:hAnsi="Arial" w:eastAsia="Arial" w:cs="Arial"/>
                <w:snapToGrid w:val="0"/>
                <w:color w:val="000000"/>
                <w:kern w:val="0"/>
                <w:sz w:val="18"/>
                <w:szCs w:val="18"/>
                <w:lang w:eastAsia="en-US"/>
              </w:rPr>
            </w:pPr>
          </w:p>
          <w:p w14:paraId="28A9AAE3">
            <w:pPr>
              <w:kinsoku w:val="0"/>
              <w:autoSpaceDE w:val="0"/>
              <w:autoSpaceDN w:val="0"/>
              <w:adjustRightInd w:val="0"/>
              <w:snapToGrid w:val="0"/>
              <w:spacing w:before="59" w:line="220" w:lineRule="auto"/>
              <w:ind w:left="1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B523F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32D2EA29">
            <w:pPr>
              <w:widowControl/>
              <w:kinsoku w:val="0"/>
              <w:autoSpaceDE w:val="0"/>
              <w:autoSpaceDN w:val="0"/>
              <w:adjustRightInd w:val="0"/>
              <w:snapToGrid w:val="0"/>
              <w:spacing w:line="430" w:lineRule="auto"/>
              <w:jc w:val="left"/>
              <w:textAlignment w:val="baseline"/>
              <w:rPr>
                <w:rFonts w:ascii="Arial" w:hAnsi="Arial" w:eastAsia="Arial" w:cs="Arial"/>
                <w:snapToGrid w:val="0"/>
                <w:color w:val="000000"/>
                <w:kern w:val="0"/>
                <w:sz w:val="18"/>
                <w:szCs w:val="18"/>
                <w:lang w:eastAsia="en-US"/>
              </w:rPr>
            </w:pPr>
          </w:p>
          <w:p w14:paraId="1D99751F">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2.6</w:t>
            </w:r>
          </w:p>
        </w:tc>
        <w:tc>
          <w:tcPr>
            <w:tcW w:w="3964" w:type="dxa"/>
            <w:vAlign w:val="top"/>
          </w:tcPr>
          <w:p w14:paraId="041DAC0B">
            <w:pPr>
              <w:kinsoku w:val="0"/>
              <w:autoSpaceDE w:val="0"/>
              <w:autoSpaceDN w:val="0"/>
              <w:adjustRightInd w:val="0"/>
              <w:snapToGrid w:val="0"/>
              <w:spacing w:before="65" w:line="248"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经营单位的主要负责人对本单位安全生产工作</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负有组织建立并落实安全风险分级管控和隐患</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排查治理双重预防工作机制，督促、检查本单位</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的安全生产工作，及时消除生产安全事故隐患；</w:t>
            </w:r>
          </w:p>
        </w:tc>
        <w:tc>
          <w:tcPr>
            <w:tcW w:w="2112" w:type="dxa"/>
            <w:vAlign w:val="top"/>
          </w:tcPr>
          <w:p w14:paraId="29A550C4">
            <w:pPr>
              <w:kinsoku w:val="0"/>
              <w:autoSpaceDE w:val="0"/>
              <w:autoSpaceDN w:val="0"/>
              <w:adjustRightInd w:val="0"/>
              <w:snapToGrid w:val="0"/>
              <w:spacing w:before="65" w:line="248" w:lineRule="auto"/>
              <w:ind w:left="114" w:right="97" w:firstLine="5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国主席令〔</w:t>
            </w:r>
            <w:r>
              <w:rPr>
                <w:rFonts w:ascii="Times New Roman" w:hAnsi="Times New Roman" w:eastAsia="Times New Roman" w:cs="Times New Roman"/>
                <w:snapToGrid w:val="0"/>
                <w:color w:val="000000"/>
                <w:kern w:val="0"/>
                <w:sz w:val="18"/>
                <w:szCs w:val="18"/>
                <w:lang w:val="en-US" w:eastAsia="en-US" w:bidi="ar-SA"/>
              </w:rPr>
              <w:t>2021</w:t>
            </w:r>
            <w:r>
              <w:rPr>
                <w:rFonts w:ascii="宋体" w:hAnsi="宋体" w:eastAsia="宋体" w:cs="宋体"/>
                <w:snapToGrid w:val="0"/>
                <w:color w:val="000000"/>
                <w:kern w:val="0"/>
                <w:sz w:val="18"/>
                <w:szCs w:val="18"/>
                <w:lang w:val="en-US" w:eastAsia="en-US" w:bidi="ar-SA"/>
              </w:rPr>
              <w:t>〕第</w:t>
            </w:r>
            <w:r>
              <w:rPr>
                <w:rFonts w:ascii="宋体" w:hAnsi="宋体" w:eastAsia="宋体" w:cs="宋体"/>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 xml:space="preserve">88  </w:t>
            </w:r>
            <w:r>
              <w:rPr>
                <w:rFonts w:ascii="宋体" w:hAnsi="宋体" w:eastAsia="宋体" w:cs="宋体"/>
                <w:snapToGrid w:val="0"/>
                <w:color w:val="000000"/>
                <w:spacing w:val="4"/>
                <w:kern w:val="0"/>
                <w:sz w:val="18"/>
                <w:szCs w:val="18"/>
                <w:lang w:val="en-US" w:eastAsia="en-US" w:bidi="ar-SA"/>
              </w:rPr>
              <w:t>号）第二十一条（五）</w:t>
            </w:r>
          </w:p>
        </w:tc>
        <w:tc>
          <w:tcPr>
            <w:tcW w:w="1663" w:type="dxa"/>
            <w:vAlign w:val="top"/>
          </w:tcPr>
          <w:p w14:paraId="34AC8D8D">
            <w:pPr>
              <w:kinsoku w:val="0"/>
              <w:autoSpaceDE w:val="0"/>
              <w:autoSpaceDN w:val="0"/>
              <w:adjustRightInd w:val="0"/>
              <w:snapToGrid w:val="0"/>
              <w:spacing w:before="194" w:line="258"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该站的负责人定期</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开展对加油站进行</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检查。</w:t>
            </w:r>
          </w:p>
        </w:tc>
        <w:tc>
          <w:tcPr>
            <w:tcW w:w="721" w:type="dxa"/>
            <w:gridSpan w:val="2"/>
            <w:tcBorders>
              <w:right w:val="single" w:color="000000" w:sz="10" w:space="0"/>
            </w:tcBorders>
            <w:vAlign w:val="top"/>
          </w:tcPr>
          <w:p w14:paraId="09816419">
            <w:pPr>
              <w:widowControl/>
              <w:kinsoku w:val="0"/>
              <w:autoSpaceDE w:val="0"/>
              <w:autoSpaceDN w:val="0"/>
              <w:adjustRightInd w:val="0"/>
              <w:snapToGrid w:val="0"/>
              <w:spacing w:line="392" w:lineRule="auto"/>
              <w:jc w:val="left"/>
              <w:textAlignment w:val="baseline"/>
              <w:rPr>
                <w:rFonts w:ascii="Arial" w:hAnsi="Arial" w:eastAsia="Arial" w:cs="Arial"/>
                <w:snapToGrid w:val="0"/>
                <w:color w:val="000000"/>
                <w:kern w:val="0"/>
                <w:sz w:val="18"/>
                <w:szCs w:val="18"/>
                <w:lang w:eastAsia="en-US"/>
              </w:rPr>
            </w:pPr>
          </w:p>
          <w:p w14:paraId="63FBA7F0">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53990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2" w:hRule="atLeast"/>
        </w:trPr>
        <w:tc>
          <w:tcPr>
            <w:tcW w:w="741" w:type="dxa"/>
            <w:tcBorders>
              <w:left w:val="single" w:color="000000" w:sz="10" w:space="0"/>
            </w:tcBorders>
            <w:vAlign w:val="top"/>
          </w:tcPr>
          <w:p w14:paraId="555724B7">
            <w:pPr>
              <w:widowControl/>
              <w:kinsoku w:val="0"/>
              <w:autoSpaceDE w:val="0"/>
              <w:autoSpaceDN w:val="0"/>
              <w:adjustRightInd w:val="0"/>
              <w:snapToGrid w:val="0"/>
              <w:spacing w:line="345" w:lineRule="auto"/>
              <w:jc w:val="left"/>
              <w:textAlignment w:val="baseline"/>
              <w:rPr>
                <w:rFonts w:ascii="Arial" w:hAnsi="Arial" w:eastAsia="Arial" w:cs="Arial"/>
                <w:snapToGrid w:val="0"/>
                <w:color w:val="000000"/>
                <w:kern w:val="0"/>
                <w:sz w:val="18"/>
                <w:szCs w:val="18"/>
                <w:lang w:eastAsia="en-US"/>
              </w:rPr>
            </w:pPr>
          </w:p>
          <w:p w14:paraId="3341537A">
            <w:pPr>
              <w:widowControl/>
              <w:kinsoku w:val="0"/>
              <w:autoSpaceDE w:val="0"/>
              <w:autoSpaceDN w:val="0"/>
              <w:adjustRightInd w:val="0"/>
              <w:snapToGrid w:val="0"/>
              <w:spacing w:line="346" w:lineRule="auto"/>
              <w:jc w:val="left"/>
              <w:textAlignment w:val="baseline"/>
              <w:rPr>
                <w:rFonts w:ascii="Arial" w:hAnsi="Arial" w:eastAsia="Arial" w:cs="Arial"/>
                <w:snapToGrid w:val="0"/>
                <w:color w:val="000000"/>
                <w:kern w:val="0"/>
                <w:sz w:val="18"/>
                <w:szCs w:val="18"/>
                <w:lang w:eastAsia="en-US"/>
              </w:rPr>
            </w:pPr>
          </w:p>
          <w:p w14:paraId="0936A9AF">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2.7</w:t>
            </w:r>
          </w:p>
        </w:tc>
        <w:tc>
          <w:tcPr>
            <w:tcW w:w="3964" w:type="dxa"/>
            <w:vAlign w:val="top"/>
          </w:tcPr>
          <w:p w14:paraId="45A90AEE">
            <w:pPr>
              <w:widowControl/>
              <w:kinsoku w:val="0"/>
              <w:autoSpaceDE w:val="0"/>
              <w:autoSpaceDN w:val="0"/>
              <w:adjustRightInd w:val="0"/>
              <w:snapToGrid w:val="0"/>
              <w:spacing w:line="396" w:lineRule="auto"/>
              <w:jc w:val="left"/>
              <w:textAlignment w:val="baseline"/>
              <w:rPr>
                <w:rFonts w:ascii="Arial" w:hAnsi="Arial" w:eastAsia="Arial" w:cs="Arial"/>
                <w:snapToGrid w:val="0"/>
                <w:color w:val="000000"/>
                <w:kern w:val="0"/>
                <w:sz w:val="18"/>
                <w:szCs w:val="18"/>
                <w:lang w:eastAsia="en-US"/>
              </w:rPr>
            </w:pPr>
          </w:p>
          <w:p w14:paraId="0AE39A20">
            <w:pPr>
              <w:kinsoku w:val="0"/>
              <w:autoSpaceDE w:val="0"/>
              <w:autoSpaceDN w:val="0"/>
              <w:adjustRightInd w:val="0"/>
              <w:snapToGrid w:val="0"/>
              <w:spacing w:before="58" w:line="257" w:lineRule="auto"/>
              <w:ind w:left="103" w:right="105" w:firstLine="10"/>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当国家安全生产法律法规发生变化或企业生产</w:t>
            </w:r>
            <w:r>
              <w:rPr>
                <w:rFonts w:ascii="宋体" w:hAnsi="宋体" w:eastAsia="宋体" w:cs="宋体"/>
                <w:snapToGrid w:val="0"/>
                <w:color w:val="000000"/>
                <w:spacing w:val="1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经营发生重大变化时，应及时修订安全生产责任</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制。</w:t>
            </w:r>
          </w:p>
        </w:tc>
        <w:tc>
          <w:tcPr>
            <w:tcW w:w="2112" w:type="dxa"/>
            <w:vAlign w:val="top"/>
          </w:tcPr>
          <w:p w14:paraId="22A84716">
            <w:pPr>
              <w:kinsoku w:val="0"/>
              <w:autoSpaceDE w:val="0"/>
              <w:autoSpaceDN w:val="0"/>
              <w:adjustRightInd w:val="0"/>
              <w:snapToGrid w:val="0"/>
              <w:spacing w:before="65"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《国家安全监管总局关</w:t>
            </w:r>
          </w:p>
          <w:p w14:paraId="74359B8B">
            <w:pPr>
              <w:kinsoku w:val="0"/>
              <w:autoSpaceDE w:val="0"/>
              <w:autoSpaceDN w:val="0"/>
              <w:adjustRightInd w:val="0"/>
              <w:snapToGrid w:val="0"/>
              <w:spacing w:before="47"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于印发危险化学品从业</w:t>
            </w:r>
          </w:p>
          <w:p w14:paraId="4830898E">
            <w:pPr>
              <w:kinsoku w:val="0"/>
              <w:autoSpaceDE w:val="0"/>
              <w:autoSpaceDN w:val="0"/>
              <w:adjustRightInd w:val="0"/>
              <w:snapToGrid w:val="0"/>
              <w:spacing w:before="44" w:line="220" w:lineRule="auto"/>
              <w:ind w:left="16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单位安全生产标准化评</w:t>
            </w:r>
          </w:p>
          <w:p w14:paraId="55FECC59">
            <w:pPr>
              <w:kinsoku w:val="0"/>
              <w:autoSpaceDE w:val="0"/>
              <w:autoSpaceDN w:val="0"/>
              <w:adjustRightInd w:val="0"/>
              <w:snapToGrid w:val="0"/>
              <w:spacing w:before="44" w:line="221" w:lineRule="auto"/>
              <w:ind w:left="1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9"/>
                <w:kern w:val="0"/>
                <w:sz w:val="18"/>
                <w:szCs w:val="18"/>
                <w:lang w:val="en-US" w:eastAsia="en-US" w:bidi="ar-SA"/>
              </w:rPr>
              <w:t>审标准的通知》（安监总</w:t>
            </w:r>
          </w:p>
          <w:p w14:paraId="22C02402">
            <w:pPr>
              <w:kinsoku w:val="0"/>
              <w:autoSpaceDE w:val="0"/>
              <w:autoSpaceDN w:val="0"/>
              <w:adjustRightInd w:val="0"/>
              <w:snapToGrid w:val="0"/>
              <w:spacing w:before="46" w:line="220" w:lineRule="auto"/>
              <w:ind w:left="12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管三〔</w:t>
            </w:r>
            <w:r>
              <w:rPr>
                <w:rFonts w:ascii="Times New Roman" w:hAnsi="Times New Roman" w:eastAsia="Times New Roman" w:cs="Times New Roman"/>
                <w:snapToGrid w:val="0"/>
                <w:color w:val="000000"/>
                <w:spacing w:val="-1"/>
                <w:kern w:val="0"/>
                <w:sz w:val="18"/>
                <w:szCs w:val="18"/>
                <w:lang w:val="en-US" w:eastAsia="en-US" w:bidi="ar-SA"/>
              </w:rPr>
              <w:t>2011</w:t>
            </w: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 xml:space="preserve">93  </w:t>
            </w:r>
            <w:r>
              <w:rPr>
                <w:rFonts w:ascii="宋体" w:hAnsi="宋体" w:eastAsia="宋体" w:cs="宋体"/>
                <w:snapToGrid w:val="0"/>
                <w:color w:val="000000"/>
                <w:spacing w:val="-1"/>
                <w:kern w:val="0"/>
                <w:sz w:val="18"/>
                <w:szCs w:val="18"/>
                <w:lang w:val="en-US" w:eastAsia="en-US" w:bidi="ar-SA"/>
              </w:rPr>
              <w:t>号）评</w:t>
            </w:r>
          </w:p>
          <w:p w14:paraId="76482EE7">
            <w:pPr>
              <w:kinsoku w:val="0"/>
              <w:autoSpaceDE w:val="0"/>
              <w:autoSpaceDN w:val="0"/>
              <w:adjustRightInd w:val="0"/>
              <w:snapToGrid w:val="0"/>
              <w:spacing w:before="45" w:line="190" w:lineRule="auto"/>
              <w:ind w:left="665"/>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审标准</w:t>
            </w:r>
            <w:r>
              <w:rPr>
                <w:rFonts w:ascii="宋体" w:hAnsi="宋体" w:eastAsia="宋体" w:cs="宋体"/>
                <w:snapToGrid w:val="0"/>
                <w:color w:val="000000"/>
                <w:spacing w:val="-41"/>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4.3</w:t>
            </w:r>
          </w:p>
        </w:tc>
        <w:tc>
          <w:tcPr>
            <w:tcW w:w="1663" w:type="dxa"/>
            <w:vAlign w:val="top"/>
          </w:tcPr>
          <w:p w14:paraId="34387C52">
            <w:pPr>
              <w:widowControl/>
              <w:kinsoku w:val="0"/>
              <w:autoSpaceDE w:val="0"/>
              <w:autoSpaceDN w:val="0"/>
              <w:adjustRightInd w:val="0"/>
              <w:snapToGrid w:val="0"/>
              <w:spacing w:line="395" w:lineRule="auto"/>
              <w:jc w:val="left"/>
              <w:textAlignment w:val="baseline"/>
              <w:rPr>
                <w:rFonts w:ascii="Arial" w:hAnsi="Arial" w:eastAsia="Arial" w:cs="Arial"/>
                <w:snapToGrid w:val="0"/>
                <w:color w:val="000000"/>
                <w:kern w:val="0"/>
                <w:sz w:val="18"/>
                <w:szCs w:val="18"/>
                <w:lang w:eastAsia="en-US"/>
              </w:rPr>
            </w:pPr>
          </w:p>
          <w:p w14:paraId="2F829347">
            <w:pPr>
              <w:kinsoku w:val="0"/>
              <w:autoSpaceDE w:val="0"/>
              <w:autoSpaceDN w:val="0"/>
              <w:adjustRightInd w:val="0"/>
              <w:snapToGrid w:val="0"/>
              <w:spacing w:before="59" w:line="257"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该加油站安全生产</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责任制符合当前生</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产需要。</w:t>
            </w:r>
          </w:p>
        </w:tc>
        <w:tc>
          <w:tcPr>
            <w:tcW w:w="721" w:type="dxa"/>
            <w:gridSpan w:val="2"/>
            <w:tcBorders>
              <w:right w:val="single" w:color="000000" w:sz="10" w:space="0"/>
            </w:tcBorders>
            <w:vAlign w:val="top"/>
          </w:tcPr>
          <w:p w14:paraId="65AF9E1E">
            <w:pPr>
              <w:widowControl/>
              <w:kinsoku w:val="0"/>
              <w:autoSpaceDE w:val="0"/>
              <w:autoSpaceDN w:val="0"/>
              <w:adjustRightInd w:val="0"/>
              <w:snapToGrid w:val="0"/>
              <w:spacing w:line="326" w:lineRule="auto"/>
              <w:jc w:val="left"/>
              <w:textAlignment w:val="baseline"/>
              <w:rPr>
                <w:rFonts w:ascii="Arial" w:hAnsi="Arial" w:eastAsia="Arial" w:cs="Arial"/>
                <w:snapToGrid w:val="0"/>
                <w:color w:val="000000"/>
                <w:kern w:val="0"/>
                <w:sz w:val="18"/>
                <w:szCs w:val="18"/>
                <w:lang w:eastAsia="en-US"/>
              </w:rPr>
            </w:pPr>
          </w:p>
          <w:p w14:paraId="5AD161AB">
            <w:pPr>
              <w:widowControl/>
              <w:kinsoku w:val="0"/>
              <w:autoSpaceDE w:val="0"/>
              <w:autoSpaceDN w:val="0"/>
              <w:adjustRightInd w:val="0"/>
              <w:snapToGrid w:val="0"/>
              <w:spacing w:line="327" w:lineRule="auto"/>
              <w:jc w:val="left"/>
              <w:textAlignment w:val="baseline"/>
              <w:rPr>
                <w:rFonts w:ascii="Arial" w:hAnsi="Arial" w:eastAsia="Arial" w:cs="Arial"/>
                <w:snapToGrid w:val="0"/>
                <w:color w:val="000000"/>
                <w:kern w:val="0"/>
                <w:sz w:val="18"/>
                <w:szCs w:val="18"/>
                <w:lang w:eastAsia="en-US"/>
              </w:rPr>
            </w:pPr>
          </w:p>
          <w:p w14:paraId="36A6FC96">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C61EA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3" w:hRule="atLeast"/>
        </w:trPr>
        <w:tc>
          <w:tcPr>
            <w:tcW w:w="741" w:type="dxa"/>
            <w:tcBorders>
              <w:left w:val="single" w:color="000000" w:sz="10" w:space="0"/>
            </w:tcBorders>
            <w:vAlign w:val="top"/>
          </w:tcPr>
          <w:p w14:paraId="4141E373">
            <w:pPr>
              <w:widowControl/>
              <w:kinsoku w:val="0"/>
              <w:autoSpaceDE w:val="0"/>
              <w:autoSpaceDN w:val="0"/>
              <w:adjustRightInd w:val="0"/>
              <w:snapToGrid w:val="0"/>
              <w:spacing w:line="282" w:lineRule="auto"/>
              <w:jc w:val="left"/>
              <w:textAlignment w:val="baseline"/>
              <w:rPr>
                <w:rFonts w:ascii="Arial" w:hAnsi="Arial" w:eastAsia="Arial" w:cs="Arial"/>
                <w:snapToGrid w:val="0"/>
                <w:color w:val="000000"/>
                <w:kern w:val="0"/>
                <w:sz w:val="18"/>
                <w:szCs w:val="18"/>
                <w:lang w:eastAsia="en-US"/>
              </w:rPr>
            </w:pPr>
          </w:p>
          <w:p w14:paraId="3B751A27">
            <w:pPr>
              <w:widowControl/>
              <w:kinsoku w:val="0"/>
              <w:autoSpaceDE w:val="0"/>
              <w:autoSpaceDN w:val="0"/>
              <w:adjustRightInd w:val="0"/>
              <w:snapToGrid w:val="0"/>
              <w:spacing w:line="283" w:lineRule="auto"/>
              <w:jc w:val="left"/>
              <w:textAlignment w:val="baseline"/>
              <w:rPr>
                <w:rFonts w:ascii="Arial" w:hAnsi="Arial" w:eastAsia="Arial" w:cs="Arial"/>
                <w:snapToGrid w:val="0"/>
                <w:color w:val="000000"/>
                <w:kern w:val="0"/>
                <w:sz w:val="18"/>
                <w:szCs w:val="18"/>
                <w:lang w:eastAsia="en-US"/>
              </w:rPr>
            </w:pPr>
          </w:p>
          <w:p w14:paraId="2682C911">
            <w:pPr>
              <w:widowControl/>
              <w:kinsoku w:val="0"/>
              <w:autoSpaceDE w:val="0"/>
              <w:autoSpaceDN w:val="0"/>
              <w:adjustRightInd w:val="0"/>
              <w:snapToGrid w:val="0"/>
              <w:spacing w:before="51"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2.8</w:t>
            </w:r>
          </w:p>
        </w:tc>
        <w:tc>
          <w:tcPr>
            <w:tcW w:w="3964" w:type="dxa"/>
            <w:vAlign w:val="top"/>
          </w:tcPr>
          <w:p w14:paraId="45F0C298">
            <w:pPr>
              <w:kinsoku w:val="0"/>
              <w:autoSpaceDE w:val="0"/>
              <w:autoSpaceDN w:val="0"/>
              <w:adjustRightInd w:val="0"/>
              <w:snapToGrid w:val="0"/>
              <w:spacing w:before="68" w:line="260" w:lineRule="auto"/>
              <w:ind w:left="103" w:right="105" w:firstLine="13"/>
              <w:jc w:val="both"/>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kern w:val="0"/>
                <w:sz w:val="18"/>
                <w:szCs w:val="18"/>
                <w:lang w:val="en-US" w:eastAsia="en-US" w:bidi="ar-SA"/>
              </w:rPr>
              <w:t>1.</w:t>
            </w:r>
            <w:r>
              <w:rPr>
                <w:rFonts w:ascii="宋体" w:hAnsi="宋体" w:eastAsia="宋体" w:cs="宋体"/>
                <w:snapToGrid w:val="0"/>
                <w:color w:val="000000"/>
                <w:kern w:val="0"/>
                <w:sz w:val="18"/>
                <w:szCs w:val="18"/>
                <w:lang w:val="en-US" w:eastAsia="en-US" w:bidi="ar-SA"/>
              </w:rPr>
              <w:t>企业应建立并不断完善危险作业许可制度，规</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范动火、进入受限空间、动土、临时用电、高处</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作业、断路、吊装、抽堵盲板等特殊作业的安全</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条件和审批程序；</w:t>
            </w:r>
          </w:p>
          <w:p w14:paraId="06096687">
            <w:pPr>
              <w:kinsoku w:val="0"/>
              <w:autoSpaceDE w:val="0"/>
              <w:autoSpaceDN w:val="0"/>
              <w:adjustRightInd w:val="0"/>
              <w:snapToGrid w:val="0"/>
              <w:spacing w:before="27" w:line="188" w:lineRule="auto"/>
              <w:ind w:left="99"/>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2.</w:t>
            </w:r>
            <w:r>
              <w:rPr>
                <w:rFonts w:ascii="宋体" w:hAnsi="宋体" w:eastAsia="宋体" w:cs="宋体"/>
                <w:snapToGrid w:val="0"/>
                <w:color w:val="000000"/>
                <w:spacing w:val="-1"/>
                <w:kern w:val="0"/>
                <w:sz w:val="18"/>
                <w:szCs w:val="18"/>
                <w:lang w:val="en-US" w:eastAsia="en-US" w:bidi="ar-SA"/>
              </w:rPr>
              <w:t>实施特殊作业前，必须办理审批手续。</w:t>
            </w:r>
          </w:p>
        </w:tc>
        <w:tc>
          <w:tcPr>
            <w:tcW w:w="2112" w:type="dxa"/>
            <w:vAlign w:val="top"/>
          </w:tcPr>
          <w:p w14:paraId="4233BC70">
            <w:pPr>
              <w:kinsoku w:val="0"/>
              <w:autoSpaceDE w:val="0"/>
              <w:autoSpaceDN w:val="0"/>
              <w:adjustRightInd w:val="0"/>
              <w:snapToGrid w:val="0"/>
              <w:spacing w:before="199" w:line="257" w:lineRule="auto"/>
              <w:ind w:left="113" w:right="25" w:firstLine="56"/>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《关于加强化工过程安</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全管理的指导意见》（安</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监总管三〔</w:t>
            </w:r>
            <w:r>
              <w:rPr>
                <w:rFonts w:ascii="Times New Roman" w:hAnsi="Times New Roman" w:eastAsia="Times New Roman" w:cs="Times New Roman"/>
                <w:snapToGrid w:val="0"/>
                <w:color w:val="000000"/>
                <w:spacing w:val="-7"/>
                <w:kern w:val="0"/>
                <w:sz w:val="18"/>
                <w:szCs w:val="18"/>
                <w:lang w:val="en-US" w:eastAsia="en-US" w:bidi="ar-SA"/>
              </w:rPr>
              <w:t>2013</w:t>
            </w:r>
            <w:r>
              <w:rPr>
                <w:rFonts w:ascii="宋体" w:hAnsi="宋体" w:eastAsia="宋体" w:cs="宋体"/>
                <w:snapToGrid w:val="0"/>
                <w:color w:val="000000"/>
                <w:spacing w:val="-7"/>
                <w:kern w:val="0"/>
                <w:sz w:val="18"/>
                <w:szCs w:val="18"/>
                <w:lang w:val="en-US" w:eastAsia="en-US" w:bidi="ar-SA"/>
              </w:rPr>
              <w:t>〕</w:t>
            </w:r>
            <w:r>
              <w:rPr>
                <w:rFonts w:ascii="Times New Roman" w:hAnsi="Times New Roman" w:eastAsia="Times New Roman" w:cs="Times New Roman"/>
                <w:snapToGrid w:val="0"/>
                <w:color w:val="000000"/>
                <w:spacing w:val="-7"/>
                <w:kern w:val="0"/>
                <w:sz w:val="18"/>
                <w:szCs w:val="18"/>
                <w:lang w:val="en-US" w:eastAsia="en-US" w:bidi="ar-SA"/>
              </w:rPr>
              <w:t xml:space="preserve">88  </w:t>
            </w:r>
            <w:r>
              <w:rPr>
                <w:rFonts w:ascii="宋体" w:hAnsi="宋体" w:eastAsia="宋体" w:cs="宋体"/>
                <w:snapToGrid w:val="0"/>
                <w:color w:val="000000"/>
                <w:spacing w:val="-7"/>
                <w:kern w:val="0"/>
                <w:sz w:val="18"/>
                <w:szCs w:val="18"/>
                <w:lang w:val="en-US" w:eastAsia="en-US" w:bidi="ar-SA"/>
              </w:rPr>
              <w:t>号）</w:t>
            </w:r>
          </w:p>
          <w:p w14:paraId="57AC9869">
            <w:pPr>
              <w:kinsoku w:val="0"/>
              <w:autoSpaceDE w:val="0"/>
              <w:autoSpaceDN w:val="0"/>
              <w:adjustRightInd w:val="0"/>
              <w:snapToGrid w:val="0"/>
              <w:spacing w:before="28" w:line="220" w:lineRule="auto"/>
              <w:ind w:left="7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第十八条</w:t>
            </w:r>
          </w:p>
        </w:tc>
        <w:tc>
          <w:tcPr>
            <w:tcW w:w="1663" w:type="dxa"/>
            <w:vAlign w:val="top"/>
          </w:tcPr>
          <w:p w14:paraId="21ADBD9B">
            <w:pPr>
              <w:widowControl/>
              <w:kinsoku w:val="0"/>
              <w:autoSpaceDE w:val="0"/>
              <w:autoSpaceDN w:val="0"/>
              <w:adjustRightInd w:val="0"/>
              <w:snapToGrid w:val="0"/>
              <w:spacing w:line="399" w:lineRule="auto"/>
              <w:jc w:val="left"/>
              <w:textAlignment w:val="baseline"/>
              <w:rPr>
                <w:rFonts w:ascii="Arial" w:hAnsi="Arial" w:eastAsia="Arial" w:cs="Arial"/>
                <w:snapToGrid w:val="0"/>
                <w:color w:val="000000"/>
                <w:kern w:val="0"/>
                <w:sz w:val="18"/>
                <w:szCs w:val="18"/>
                <w:lang w:eastAsia="en-US"/>
              </w:rPr>
            </w:pPr>
          </w:p>
          <w:p w14:paraId="5FC198F8">
            <w:pPr>
              <w:kinsoku w:val="0"/>
              <w:autoSpaceDE w:val="0"/>
              <w:autoSpaceDN w:val="0"/>
              <w:adjustRightInd w:val="0"/>
              <w:snapToGrid w:val="0"/>
              <w:spacing w:before="58" w:line="252" w:lineRule="auto"/>
              <w:ind w:left="119" w:right="65" w:firstLine="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该站建立有施工作</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业</w:t>
            </w:r>
            <w:r>
              <w:rPr>
                <w:rFonts w:ascii="宋体" w:hAnsi="宋体" w:eastAsia="宋体" w:cs="宋体"/>
                <w:snapToGrid w:val="0"/>
                <w:color w:val="000000"/>
                <w:spacing w:val="-41"/>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HSE</w:t>
            </w:r>
            <w:r>
              <w:rPr>
                <w:rFonts w:ascii="Times New Roman" w:hAnsi="Times New Roman" w:eastAsia="Times New Roman" w:cs="Times New Roman"/>
                <w:snapToGrid w:val="0"/>
                <w:color w:val="000000"/>
                <w:spacing w:val="11"/>
                <w:w w:val="101"/>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管理规定。</w:t>
            </w:r>
          </w:p>
        </w:tc>
        <w:tc>
          <w:tcPr>
            <w:tcW w:w="721" w:type="dxa"/>
            <w:gridSpan w:val="2"/>
            <w:tcBorders>
              <w:right w:val="single" w:color="000000" w:sz="10" w:space="0"/>
            </w:tcBorders>
            <w:vAlign w:val="top"/>
          </w:tcPr>
          <w:p w14:paraId="1070224B">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18"/>
                <w:szCs w:val="18"/>
                <w:lang w:eastAsia="en-US"/>
              </w:rPr>
            </w:pPr>
          </w:p>
          <w:p w14:paraId="186A6E11">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18"/>
                <w:szCs w:val="18"/>
                <w:lang w:eastAsia="en-US"/>
              </w:rPr>
            </w:pPr>
          </w:p>
          <w:p w14:paraId="36E081D7">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7C7B1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3" w:hRule="atLeast"/>
        </w:trPr>
        <w:tc>
          <w:tcPr>
            <w:tcW w:w="741" w:type="dxa"/>
            <w:tcBorders>
              <w:left w:val="single" w:color="000000" w:sz="10" w:space="0"/>
            </w:tcBorders>
            <w:vAlign w:val="top"/>
          </w:tcPr>
          <w:p w14:paraId="50E2429B">
            <w:pPr>
              <w:widowControl/>
              <w:kinsoku w:val="0"/>
              <w:autoSpaceDE w:val="0"/>
              <w:autoSpaceDN w:val="0"/>
              <w:adjustRightInd w:val="0"/>
              <w:snapToGrid w:val="0"/>
              <w:spacing w:line="283" w:lineRule="auto"/>
              <w:jc w:val="left"/>
              <w:textAlignment w:val="baseline"/>
              <w:rPr>
                <w:rFonts w:ascii="Arial" w:hAnsi="Arial" w:eastAsia="Arial" w:cs="Arial"/>
                <w:snapToGrid w:val="0"/>
                <w:color w:val="000000"/>
                <w:kern w:val="0"/>
                <w:sz w:val="18"/>
                <w:szCs w:val="18"/>
                <w:lang w:eastAsia="en-US"/>
              </w:rPr>
            </w:pPr>
          </w:p>
          <w:p w14:paraId="33859D8D">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18"/>
                <w:szCs w:val="18"/>
                <w:lang w:eastAsia="en-US"/>
              </w:rPr>
            </w:pPr>
          </w:p>
          <w:p w14:paraId="5D6689E2">
            <w:pPr>
              <w:widowControl/>
              <w:kinsoku w:val="0"/>
              <w:autoSpaceDE w:val="0"/>
              <w:autoSpaceDN w:val="0"/>
              <w:adjustRightInd w:val="0"/>
              <w:snapToGrid w:val="0"/>
              <w:spacing w:before="52" w:line="188" w:lineRule="auto"/>
              <w:ind w:left="24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2.9</w:t>
            </w:r>
          </w:p>
        </w:tc>
        <w:tc>
          <w:tcPr>
            <w:tcW w:w="3964" w:type="dxa"/>
            <w:vAlign w:val="top"/>
          </w:tcPr>
          <w:p w14:paraId="456D1675">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18"/>
                <w:szCs w:val="18"/>
                <w:lang w:eastAsia="en-US"/>
              </w:rPr>
            </w:pPr>
          </w:p>
          <w:p w14:paraId="2F52C5E7">
            <w:pPr>
              <w:kinsoku w:val="0"/>
              <w:autoSpaceDE w:val="0"/>
              <w:autoSpaceDN w:val="0"/>
              <w:adjustRightInd w:val="0"/>
              <w:snapToGrid w:val="0"/>
              <w:spacing w:before="59" w:line="257" w:lineRule="auto"/>
              <w:ind w:left="101" w:right="10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储罐切水作业、液化烃充装作业、安全风险较大</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的设备检维修等危险作业应制定相应的作业程</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序，作业时应严格执行作业程序。</w:t>
            </w:r>
          </w:p>
        </w:tc>
        <w:tc>
          <w:tcPr>
            <w:tcW w:w="2112" w:type="dxa"/>
            <w:vAlign w:val="top"/>
          </w:tcPr>
          <w:p w14:paraId="511A63E0">
            <w:pPr>
              <w:kinsoku w:val="0"/>
              <w:autoSpaceDE w:val="0"/>
              <w:autoSpaceDN w:val="0"/>
              <w:adjustRightInd w:val="0"/>
              <w:snapToGrid w:val="0"/>
              <w:spacing w:before="69" w:line="251" w:lineRule="auto"/>
              <w:ind w:left="113" w:right="78" w:firstLine="31"/>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3"/>
                <w:kern w:val="0"/>
                <w:sz w:val="18"/>
                <w:szCs w:val="18"/>
                <w:lang w:val="en-US" w:eastAsia="en-US" w:bidi="ar-SA"/>
              </w:rPr>
              <w:t>《化工（危险化学品）企</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业保障生产安全十条规</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10"/>
                <w:kern w:val="0"/>
                <w:sz w:val="18"/>
                <w:szCs w:val="18"/>
                <w:lang w:val="en-US" w:eastAsia="en-US" w:bidi="ar-SA"/>
              </w:rPr>
              <w:t>定》和《油气罐区防火防</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10"/>
                <w:kern w:val="0"/>
                <w:sz w:val="18"/>
                <w:szCs w:val="18"/>
                <w:lang w:val="en-US" w:eastAsia="en-US" w:bidi="ar-SA"/>
              </w:rPr>
              <w:t>爆十条规定》的通知（安</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11"/>
                <w:kern w:val="0"/>
                <w:sz w:val="18"/>
                <w:szCs w:val="18"/>
                <w:lang w:val="en-US" w:eastAsia="en-US" w:bidi="ar-SA"/>
              </w:rPr>
              <w:t>监总政法﹝</w:t>
            </w:r>
            <w:r>
              <w:rPr>
                <w:rFonts w:ascii="Times New Roman" w:hAnsi="Times New Roman" w:eastAsia="Times New Roman" w:cs="Times New Roman"/>
                <w:snapToGrid w:val="0"/>
                <w:color w:val="000000"/>
                <w:spacing w:val="-11"/>
                <w:kern w:val="0"/>
                <w:sz w:val="18"/>
                <w:szCs w:val="18"/>
                <w:lang w:val="en-US" w:eastAsia="en-US" w:bidi="ar-SA"/>
              </w:rPr>
              <w:t>2017</w:t>
            </w:r>
            <w:r>
              <w:rPr>
                <w:rFonts w:ascii="宋体" w:hAnsi="宋体" w:eastAsia="宋体" w:cs="宋体"/>
                <w:snapToGrid w:val="0"/>
                <w:color w:val="000000"/>
                <w:spacing w:val="-11"/>
                <w:kern w:val="0"/>
                <w:sz w:val="18"/>
                <w:szCs w:val="18"/>
                <w:lang w:val="en-US" w:eastAsia="en-US" w:bidi="ar-SA"/>
              </w:rPr>
              <w:t>﹞</w:t>
            </w:r>
            <w:r>
              <w:rPr>
                <w:rFonts w:ascii="Times New Roman" w:hAnsi="Times New Roman" w:eastAsia="Times New Roman" w:cs="Times New Roman"/>
                <w:snapToGrid w:val="0"/>
                <w:color w:val="000000"/>
                <w:spacing w:val="-11"/>
                <w:kern w:val="0"/>
                <w:sz w:val="18"/>
                <w:szCs w:val="18"/>
                <w:lang w:val="en-US" w:eastAsia="en-US" w:bidi="ar-SA"/>
              </w:rPr>
              <w:t>15</w:t>
            </w:r>
            <w:r>
              <w:rPr>
                <w:rFonts w:ascii="Times New Roman" w:hAnsi="Times New Roman" w:eastAsia="Times New Roman" w:cs="Times New Roman"/>
                <w:snapToGrid w:val="0"/>
                <w:color w:val="000000"/>
                <w:spacing w:val="42"/>
                <w:w w:val="101"/>
                <w:kern w:val="0"/>
                <w:sz w:val="18"/>
                <w:szCs w:val="18"/>
                <w:lang w:val="en-US" w:eastAsia="en-US" w:bidi="ar-SA"/>
              </w:rPr>
              <w:t xml:space="preserve"> </w:t>
            </w:r>
            <w:r>
              <w:rPr>
                <w:rFonts w:ascii="宋体" w:hAnsi="宋体" w:eastAsia="宋体" w:cs="宋体"/>
                <w:snapToGrid w:val="0"/>
                <w:color w:val="000000"/>
                <w:spacing w:val="-11"/>
                <w:kern w:val="0"/>
                <w:sz w:val="18"/>
                <w:szCs w:val="18"/>
                <w:lang w:val="en-US" w:eastAsia="en-US" w:bidi="ar-SA"/>
              </w:rPr>
              <w:t>号）</w:t>
            </w:r>
          </w:p>
        </w:tc>
        <w:tc>
          <w:tcPr>
            <w:tcW w:w="1663" w:type="dxa"/>
            <w:vAlign w:val="top"/>
          </w:tcPr>
          <w:p w14:paraId="6510A253">
            <w:pPr>
              <w:widowControl/>
              <w:kinsoku w:val="0"/>
              <w:autoSpaceDE w:val="0"/>
              <w:autoSpaceDN w:val="0"/>
              <w:adjustRightInd w:val="0"/>
              <w:snapToGrid w:val="0"/>
              <w:spacing w:line="270" w:lineRule="auto"/>
              <w:jc w:val="left"/>
              <w:textAlignment w:val="baseline"/>
              <w:rPr>
                <w:rFonts w:ascii="Arial" w:hAnsi="Arial" w:eastAsia="Arial" w:cs="Arial"/>
                <w:snapToGrid w:val="0"/>
                <w:color w:val="000000"/>
                <w:kern w:val="0"/>
                <w:sz w:val="18"/>
                <w:szCs w:val="18"/>
                <w:lang w:eastAsia="en-US"/>
              </w:rPr>
            </w:pPr>
          </w:p>
          <w:p w14:paraId="5E4C7DF5">
            <w:pPr>
              <w:kinsoku w:val="0"/>
              <w:autoSpaceDE w:val="0"/>
              <w:autoSpaceDN w:val="0"/>
              <w:adjustRightInd w:val="0"/>
              <w:snapToGrid w:val="0"/>
              <w:spacing w:before="59" w:line="257" w:lineRule="auto"/>
              <w:ind w:left="119" w:right="92"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该站储罐清洗作业</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均委托有资质社会</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机构进行。</w:t>
            </w:r>
          </w:p>
        </w:tc>
        <w:tc>
          <w:tcPr>
            <w:tcW w:w="721" w:type="dxa"/>
            <w:gridSpan w:val="2"/>
            <w:tcBorders>
              <w:right w:val="single" w:color="000000" w:sz="10" w:space="0"/>
            </w:tcBorders>
            <w:vAlign w:val="top"/>
          </w:tcPr>
          <w:p w14:paraId="3C1D4142">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18"/>
                <w:szCs w:val="18"/>
                <w:lang w:eastAsia="en-US"/>
              </w:rPr>
            </w:pPr>
          </w:p>
          <w:p w14:paraId="7EFC7D19">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18"/>
                <w:szCs w:val="18"/>
                <w:lang w:eastAsia="en-US"/>
              </w:rPr>
            </w:pPr>
          </w:p>
          <w:p w14:paraId="5050CE05">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DC2B7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1" w:hRule="atLeast"/>
        </w:trPr>
        <w:tc>
          <w:tcPr>
            <w:tcW w:w="741" w:type="dxa"/>
            <w:tcBorders>
              <w:left w:val="single" w:color="000000" w:sz="10" w:space="0"/>
            </w:tcBorders>
            <w:vAlign w:val="top"/>
          </w:tcPr>
          <w:p w14:paraId="00632918">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18"/>
                <w:szCs w:val="18"/>
                <w:lang w:eastAsia="en-US"/>
              </w:rPr>
            </w:pPr>
          </w:p>
          <w:p w14:paraId="1173C6FD">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18"/>
                <w:szCs w:val="18"/>
                <w:lang w:eastAsia="en-US"/>
              </w:rPr>
            </w:pPr>
          </w:p>
          <w:p w14:paraId="2DFAA419">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18"/>
                <w:szCs w:val="18"/>
                <w:lang w:eastAsia="en-US"/>
              </w:rPr>
            </w:pPr>
          </w:p>
          <w:p w14:paraId="55E5301E">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18"/>
                <w:szCs w:val="18"/>
                <w:lang w:eastAsia="en-US"/>
              </w:rPr>
            </w:pPr>
          </w:p>
          <w:p w14:paraId="3180F627">
            <w:pPr>
              <w:widowControl/>
              <w:kinsoku w:val="0"/>
              <w:autoSpaceDE w:val="0"/>
              <w:autoSpaceDN w:val="0"/>
              <w:adjustRightInd w:val="0"/>
              <w:snapToGrid w:val="0"/>
              <w:spacing w:before="51" w:line="188" w:lineRule="auto"/>
              <w:ind w:left="19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2.10</w:t>
            </w:r>
          </w:p>
        </w:tc>
        <w:tc>
          <w:tcPr>
            <w:tcW w:w="3964" w:type="dxa"/>
            <w:vAlign w:val="top"/>
          </w:tcPr>
          <w:p w14:paraId="4C165A0E">
            <w:pPr>
              <w:kinsoku w:val="0"/>
              <w:autoSpaceDE w:val="0"/>
              <w:autoSpaceDN w:val="0"/>
              <w:adjustRightInd w:val="0"/>
              <w:snapToGrid w:val="0"/>
              <w:spacing w:before="73" w:line="220" w:lineRule="auto"/>
              <w:ind w:left="1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站内应制定以下消防安全制度：</w:t>
            </w:r>
          </w:p>
          <w:p w14:paraId="739B744D">
            <w:pPr>
              <w:kinsoku w:val="0"/>
              <w:autoSpaceDE w:val="0"/>
              <w:autoSpaceDN w:val="0"/>
              <w:adjustRightInd w:val="0"/>
              <w:snapToGrid w:val="0"/>
              <w:spacing w:before="44" w:line="220" w:lineRule="auto"/>
              <w:ind w:left="46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a</w:t>
            </w:r>
            <w:r>
              <w:rPr>
                <w:rFonts w:ascii="宋体" w:hAnsi="宋体" w:eastAsia="宋体" w:cs="宋体"/>
                <w:snapToGrid w:val="0"/>
                <w:color w:val="000000"/>
                <w:spacing w:val="-1"/>
                <w:kern w:val="0"/>
                <w:sz w:val="18"/>
                <w:szCs w:val="18"/>
                <w:lang w:val="en-US" w:eastAsia="en-US" w:bidi="ar-SA"/>
              </w:rPr>
              <w:t>）防火检查、巡查制度；</w:t>
            </w:r>
          </w:p>
          <w:p w14:paraId="1628F373">
            <w:pPr>
              <w:kinsoku w:val="0"/>
              <w:autoSpaceDE w:val="0"/>
              <w:autoSpaceDN w:val="0"/>
              <w:adjustRightInd w:val="0"/>
              <w:snapToGrid w:val="0"/>
              <w:spacing w:before="18" w:line="270" w:lineRule="exact"/>
              <w:ind w:left="45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position w:val="2"/>
                <w:sz w:val="18"/>
                <w:szCs w:val="18"/>
                <w:lang w:val="en-US" w:eastAsia="en-US" w:bidi="ar-SA"/>
              </w:rPr>
              <w:t>b</w:t>
            </w:r>
            <w:r>
              <w:rPr>
                <w:rFonts w:ascii="宋体" w:hAnsi="宋体" w:eastAsia="宋体" w:cs="宋体"/>
                <w:snapToGrid w:val="0"/>
                <w:color w:val="000000"/>
                <w:spacing w:val="-1"/>
                <w:kern w:val="0"/>
                <w:position w:val="2"/>
                <w:sz w:val="18"/>
                <w:szCs w:val="18"/>
                <w:lang w:val="en-US" w:eastAsia="en-US" w:bidi="ar-SA"/>
              </w:rPr>
              <w:t>）消防安全教育、培训制度；</w:t>
            </w:r>
          </w:p>
          <w:p w14:paraId="5FF45462">
            <w:pPr>
              <w:kinsoku w:val="0"/>
              <w:autoSpaceDE w:val="0"/>
              <w:autoSpaceDN w:val="0"/>
              <w:adjustRightInd w:val="0"/>
              <w:snapToGrid w:val="0"/>
              <w:spacing w:before="17" w:line="220" w:lineRule="auto"/>
              <w:ind w:left="46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c</w:t>
            </w:r>
            <w:r>
              <w:rPr>
                <w:rFonts w:ascii="宋体" w:hAnsi="宋体" w:eastAsia="宋体" w:cs="宋体"/>
                <w:snapToGrid w:val="0"/>
                <w:color w:val="000000"/>
                <w:spacing w:val="-1"/>
                <w:kern w:val="0"/>
                <w:sz w:val="18"/>
                <w:szCs w:val="18"/>
                <w:lang w:val="en-US" w:eastAsia="en-US" w:bidi="ar-SA"/>
              </w:rPr>
              <w:t>）用火、用电安全管理制度；</w:t>
            </w:r>
          </w:p>
          <w:p w14:paraId="6F4324F6">
            <w:pPr>
              <w:kinsoku w:val="0"/>
              <w:autoSpaceDE w:val="0"/>
              <w:autoSpaceDN w:val="0"/>
              <w:adjustRightInd w:val="0"/>
              <w:snapToGrid w:val="0"/>
              <w:spacing w:before="17" w:line="258" w:lineRule="auto"/>
              <w:ind w:left="461" w:right="6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d</w:t>
            </w:r>
            <w:r>
              <w:rPr>
                <w:rFonts w:ascii="宋体" w:hAnsi="宋体" w:eastAsia="宋体" w:cs="宋体"/>
                <w:snapToGrid w:val="0"/>
                <w:color w:val="000000"/>
                <w:spacing w:val="-4"/>
                <w:kern w:val="0"/>
                <w:sz w:val="18"/>
                <w:szCs w:val="18"/>
                <w:lang w:val="en-US" w:eastAsia="en-US" w:bidi="ar-SA"/>
              </w:rPr>
              <w:t>）电气设备、电气线路的检查和管理制度：</w:t>
            </w:r>
            <w:r>
              <w:rPr>
                <w:rFonts w:ascii="宋体" w:hAnsi="宋体" w:eastAsia="宋体" w:cs="宋体"/>
                <w:snapToGrid w:val="0"/>
                <w:color w:val="000000"/>
                <w:spacing w:val="6"/>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e</w:t>
            </w:r>
            <w:r>
              <w:rPr>
                <w:rFonts w:ascii="宋体" w:hAnsi="宋体" w:eastAsia="宋体" w:cs="宋体"/>
                <w:snapToGrid w:val="0"/>
                <w:color w:val="000000"/>
                <w:spacing w:val="-1"/>
                <w:kern w:val="0"/>
                <w:sz w:val="18"/>
                <w:szCs w:val="18"/>
                <w:lang w:val="en-US" w:eastAsia="en-US" w:bidi="ar-SA"/>
              </w:rPr>
              <w:t>）输油、输气线路的检查和管理制度；</w:t>
            </w:r>
          </w:p>
          <w:p w14:paraId="144C3226">
            <w:pPr>
              <w:kinsoku w:val="0"/>
              <w:autoSpaceDE w:val="0"/>
              <w:autoSpaceDN w:val="0"/>
              <w:adjustRightInd w:val="0"/>
              <w:snapToGrid w:val="0"/>
              <w:spacing w:before="18" w:line="253" w:lineRule="auto"/>
              <w:ind w:left="460" w:right="792" w:firstLine="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f</w:t>
            </w:r>
            <w:r>
              <w:rPr>
                <w:rFonts w:ascii="宋体" w:hAnsi="宋体" w:eastAsia="宋体" w:cs="宋体"/>
                <w:snapToGrid w:val="0"/>
                <w:color w:val="000000"/>
                <w:spacing w:val="-4"/>
                <w:kern w:val="0"/>
                <w:sz w:val="18"/>
                <w:szCs w:val="18"/>
                <w:lang w:val="en-US" w:eastAsia="en-US" w:bidi="ar-SA"/>
              </w:rPr>
              <w:t>）灭火和应急疏散预案演练制度；</w:t>
            </w:r>
            <w:r>
              <w:rPr>
                <w:rFonts w:ascii="宋体" w:hAnsi="宋体" w:eastAsia="宋体" w:cs="宋体"/>
                <w:snapToGrid w:val="0"/>
                <w:color w:val="000000"/>
                <w:spacing w:val="7"/>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g</w:t>
            </w:r>
            <w:r>
              <w:rPr>
                <w:rFonts w:ascii="宋体" w:hAnsi="宋体" w:eastAsia="宋体" w:cs="宋体"/>
                <w:snapToGrid w:val="0"/>
                <w:color w:val="000000"/>
                <w:spacing w:val="-1"/>
                <w:kern w:val="0"/>
                <w:sz w:val="18"/>
                <w:szCs w:val="18"/>
                <w:lang w:val="en-US" w:eastAsia="en-US" w:bidi="ar-SA"/>
              </w:rPr>
              <w:t>）火灾隐患整改制度；</w:t>
            </w:r>
          </w:p>
          <w:p w14:paraId="275B3060">
            <w:pPr>
              <w:kinsoku w:val="0"/>
              <w:autoSpaceDE w:val="0"/>
              <w:autoSpaceDN w:val="0"/>
              <w:adjustRightInd w:val="0"/>
              <w:snapToGrid w:val="0"/>
              <w:spacing w:before="26" w:line="211" w:lineRule="auto"/>
              <w:ind w:left="45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h</w:t>
            </w:r>
            <w:r>
              <w:rPr>
                <w:rFonts w:ascii="宋体" w:hAnsi="宋体" w:eastAsia="宋体" w:cs="宋体"/>
                <w:snapToGrid w:val="0"/>
                <w:color w:val="000000"/>
                <w:spacing w:val="-1"/>
                <w:kern w:val="0"/>
                <w:sz w:val="18"/>
                <w:szCs w:val="18"/>
                <w:lang w:val="en-US" w:eastAsia="en-US" w:bidi="ar-SA"/>
              </w:rPr>
              <w:t>）其他必要的消防安全制度。</w:t>
            </w:r>
          </w:p>
        </w:tc>
        <w:tc>
          <w:tcPr>
            <w:tcW w:w="2112" w:type="dxa"/>
            <w:vAlign w:val="top"/>
          </w:tcPr>
          <w:p w14:paraId="0617D3DD">
            <w:pPr>
              <w:widowControl/>
              <w:kinsoku w:val="0"/>
              <w:autoSpaceDE w:val="0"/>
              <w:autoSpaceDN w:val="0"/>
              <w:adjustRightInd w:val="0"/>
              <w:snapToGrid w:val="0"/>
              <w:spacing w:line="330" w:lineRule="auto"/>
              <w:jc w:val="left"/>
              <w:textAlignment w:val="baseline"/>
              <w:rPr>
                <w:rFonts w:ascii="Arial" w:hAnsi="Arial" w:eastAsia="Arial" w:cs="Arial"/>
                <w:snapToGrid w:val="0"/>
                <w:color w:val="000000"/>
                <w:kern w:val="0"/>
                <w:sz w:val="18"/>
                <w:szCs w:val="18"/>
                <w:lang w:eastAsia="en-US"/>
              </w:rPr>
            </w:pPr>
          </w:p>
          <w:p w14:paraId="459DE0F1">
            <w:pPr>
              <w:widowControl/>
              <w:kinsoku w:val="0"/>
              <w:autoSpaceDE w:val="0"/>
              <w:autoSpaceDN w:val="0"/>
              <w:adjustRightInd w:val="0"/>
              <w:snapToGrid w:val="0"/>
              <w:spacing w:line="331" w:lineRule="auto"/>
              <w:jc w:val="left"/>
              <w:textAlignment w:val="baseline"/>
              <w:rPr>
                <w:rFonts w:ascii="Arial" w:hAnsi="Arial" w:eastAsia="Arial" w:cs="Arial"/>
                <w:snapToGrid w:val="0"/>
                <w:color w:val="000000"/>
                <w:kern w:val="0"/>
                <w:sz w:val="18"/>
                <w:szCs w:val="18"/>
                <w:lang w:eastAsia="en-US"/>
              </w:rPr>
            </w:pPr>
          </w:p>
          <w:p w14:paraId="67651E10">
            <w:pPr>
              <w:kinsoku w:val="0"/>
              <w:autoSpaceDE w:val="0"/>
              <w:autoSpaceDN w:val="0"/>
              <w:adjustRightInd w:val="0"/>
              <w:snapToGrid w:val="0"/>
              <w:spacing w:before="58" w:line="252" w:lineRule="auto"/>
              <w:ind w:left="618" w:right="150" w:hanging="44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《汽车加油加气站消防</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安全管理》</w:t>
            </w:r>
          </w:p>
          <w:p w14:paraId="485C6EDB">
            <w:pPr>
              <w:kinsoku w:val="0"/>
              <w:autoSpaceDE w:val="0"/>
              <w:autoSpaceDN w:val="0"/>
              <w:adjustRightInd w:val="0"/>
              <w:snapToGrid w:val="0"/>
              <w:spacing w:before="1" w:line="273" w:lineRule="auto"/>
              <w:ind w:left="659" w:right="463" w:hanging="18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XF/T3004-2020</w:t>
            </w:r>
            <w:r>
              <w:rPr>
                <w:rFonts w:ascii="Times New Roman" w:hAnsi="Times New Roman" w:eastAsia="Times New Roman" w:cs="Times New Roman"/>
                <w:snapToGrid w:val="0"/>
                <w:color w:val="000000"/>
                <w:spacing w:val="10"/>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第</w:t>
            </w:r>
            <w:r>
              <w:rPr>
                <w:rFonts w:ascii="宋体" w:hAnsi="宋体" w:eastAsia="宋体" w:cs="宋体"/>
                <w:snapToGrid w:val="0"/>
                <w:color w:val="000000"/>
                <w:spacing w:val="-34"/>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6.</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1.</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1</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条</w:t>
            </w:r>
          </w:p>
        </w:tc>
        <w:tc>
          <w:tcPr>
            <w:tcW w:w="1663" w:type="dxa"/>
            <w:vAlign w:val="top"/>
          </w:tcPr>
          <w:p w14:paraId="5C89479E">
            <w:pPr>
              <w:widowControl/>
              <w:kinsoku w:val="0"/>
              <w:autoSpaceDE w:val="0"/>
              <w:autoSpaceDN w:val="0"/>
              <w:adjustRightInd w:val="0"/>
              <w:snapToGrid w:val="0"/>
              <w:spacing w:line="330" w:lineRule="auto"/>
              <w:jc w:val="left"/>
              <w:textAlignment w:val="baseline"/>
              <w:rPr>
                <w:rFonts w:ascii="Arial" w:hAnsi="Arial" w:eastAsia="Arial" w:cs="Arial"/>
                <w:snapToGrid w:val="0"/>
                <w:color w:val="000000"/>
                <w:kern w:val="0"/>
                <w:sz w:val="18"/>
                <w:szCs w:val="18"/>
                <w:lang w:eastAsia="en-US"/>
              </w:rPr>
            </w:pPr>
          </w:p>
          <w:p w14:paraId="624CAFAD">
            <w:pPr>
              <w:widowControl/>
              <w:kinsoku w:val="0"/>
              <w:autoSpaceDE w:val="0"/>
              <w:autoSpaceDN w:val="0"/>
              <w:adjustRightInd w:val="0"/>
              <w:snapToGrid w:val="0"/>
              <w:spacing w:line="331" w:lineRule="auto"/>
              <w:jc w:val="left"/>
              <w:textAlignment w:val="baseline"/>
              <w:rPr>
                <w:rFonts w:ascii="Arial" w:hAnsi="Arial" w:eastAsia="Arial" w:cs="Arial"/>
                <w:snapToGrid w:val="0"/>
                <w:color w:val="000000"/>
                <w:kern w:val="0"/>
                <w:sz w:val="18"/>
                <w:szCs w:val="18"/>
                <w:lang w:eastAsia="en-US"/>
              </w:rPr>
            </w:pPr>
          </w:p>
          <w:p w14:paraId="3E2A2F22">
            <w:pPr>
              <w:kinsoku w:val="0"/>
              <w:autoSpaceDE w:val="0"/>
              <w:autoSpaceDN w:val="0"/>
              <w:adjustRightInd w:val="0"/>
              <w:snapToGrid w:val="0"/>
              <w:spacing w:before="58" w:line="260" w:lineRule="auto"/>
              <w:ind w:left="119" w:right="92"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该加油站有消防安</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全管理制度，安全</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教育培训制度等制</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度。</w:t>
            </w:r>
          </w:p>
        </w:tc>
        <w:tc>
          <w:tcPr>
            <w:tcW w:w="721" w:type="dxa"/>
            <w:gridSpan w:val="2"/>
            <w:tcBorders>
              <w:right w:val="single" w:color="000000" w:sz="10" w:space="0"/>
            </w:tcBorders>
            <w:vAlign w:val="top"/>
          </w:tcPr>
          <w:p w14:paraId="630F8FBA">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18"/>
                <w:szCs w:val="18"/>
                <w:lang w:eastAsia="en-US"/>
              </w:rPr>
            </w:pPr>
          </w:p>
          <w:p w14:paraId="526BD052">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18"/>
                <w:szCs w:val="18"/>
                <w:lang w:eastAsia="en-US"/>
              </w:rPr>
            </w:pPr>
          </w:p>
          <w:p w14:paraId="1A7D4017">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18"/>
                <w:szCs w:val="18"/>
                <w:lang w:eastAsia="en-US"/>
              </w:rPr>
            </w:pPr>
          </w:p>
          <w:p w14:paraId="532B8E2B">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18"/>
                <w:szCs w:val="18"/>
                <w:lang w:eastAsia="en-US"/>
              </w:rPr>
            </w:pPr>
          </w:p>
          <w:p w14:paraId="10970C24">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F3BB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4" w:hRule="atLeast"/>
        </w:trPr>
        <w:tc>
          <w:tcPr>
            <w:tcW w:w="741" w:type="dxa"/>
            <w:tcBorders>
              <w:left w:val="single" w:color="000000" w:sz="10" w:space="0"/>
              <w:bottom w:val="single" w:color="000000" w:sz="10" w:space="0"/>
            </w:tcBorders>
            <w:vAlign w:val="top"/>
          </w:tcPr>
          <w:p w14:paraId="5CF15D34">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18"/>
                <w:szCs w:val="18"/>
                <w:lang w:eastAsia="en-US"/>
              </w:rPr>
            </w:pPr>
          </w:p>
          <w:p w14:paraId="789B2FD7">
            <w:pPr>
              <w:widowControl/>
              <w:kinsoku w:val="0"/>
              <w:autoSpaceDE w:val="0"/>
              <w:autoSpaceDN w:val="0"/>
              <w:adjustRightInd w:val="0"/>
              <w:snapToGrid w:val="0"/>
              <w:spacing w:line="287" w:lineRule="auto"/>
              <w:jc w:val="left"/>
              <w:textAlignment w:val="baseline"/>
              <w:rPr>
                <w:rFonts w:ascii="Arial" w:hAnsi="Arial" w:eastAsia="Arial" w:cs="Arial"/>
                <w:snapToGrid w:val="0"/>
                <w:color w:val="000000"/>
                <w:kern w:val="0"/>
                <w:sz w:val="18"/>
                <w:szCs w:val="18"/>
                <w:lang w:eastAsia="en-US"/>
              </w:rPr>
            </w:pPr>
          </w:p>
          <w:p w14:paraId="55C9DE91">
            <w:pPr>
              <w:widowControl/>
              <w:kinsoku w:val="0"/>
              <w:autoSpaceDE w:val="0"/>
              <w:autoSpaceDN w:val="0"/>
              <w:adjustRightInd w:val="0"/>
              <w:snapToGrid w:val="0"/>
              <w:spacing w:before="52" w:line="188" w:lineRule="auto"/>
              <w:ind w:left="19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6"/>
                <w:kern w:val="0"/>
                <w:sz w:val="18"/>
                <w:szCs w:val="18"/>
                <w:lang w:eastAsia="en-US"/>
              </w:rPr>
              <w:t>2.</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6"/>
                <w:kern w:val="0"/>
                <w:sz w:val="18"/>
                <w:szCs w:val="18"/>
                <w:lang w:eastAsia="en-US"/>
              </w:rPr>
              <w:t>11</w:t>
            </w:r>
          </w:p>
        </w:tc>
        <w:tc>
          <w:tcPr>
            <w:tcW w:w="3964" w:type="dxa"/>
            <w:tcBorders>
              <w:bottom w:val="single" w:color="000000" w:sz="10" w:space="0"/>
            </w:tcBorders>
            <w:vAlign w:val="top"/>
          </w:tcPr>
          <w:p w14:paraId="02116A00">
            <w:pPr>
              <w:kinsoku w:val="0"/>
              <w:autoSpaceDE w:val="0"/>
              <w:autoSpaceDN w:val="0"/>
              <w:adjustRightInd w:val="0"/>
              <w:snapToGrid w:val="0"/>
              <w:spacing w:before="76" w:line="220" w:lineRule="auto"/>
              <w:ind w:left="1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站内应制定以下安全操作规程：</w:t>
            </w:r>
          </w:p>
          <w:p w14:paraId="6CE5CBBE">
            <w:pPr>
              <w:kinsoku w:val="0"/>
              <w:autoSpaceDE w:val="0"/>
              <w:autoSpaceDN w:val="0"/>
              <w:adjustRightInd w:val="0"/>
              <w:snapToGrid w:val="0"/>
              <w:spacing w:before="47" w:line="220" w:lineRule="auto"/>
              <w:ind w:left="46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a</w:t>
            </w:r>
            <w:r>
              <w:rPr>
                <w:rFonts w:ascii="宋体" w:hAnsi="宋体" w:eastAsia="宋体" w:cs="宋体"/>
                <w:snapToGrid w:val="0"/>
                <w:color w:val="000000"/>
                <w:spacing w:val="-1"/>
                <w:kern w:val="0"/>
                <w:sz w:val="18"/>
                <w:szCs w:val="18"/>
                <w:lang w:val="en-US" w:eastAsia="en-US" w:bidi="ar-SA"/>
              </w:rPr>
              <w:t>）加油、加气作业安全操作规程；</w:t>
            </w:r>
          </w:p>
          <w:p w14:paraId="3B888A08">
            <w:pPr>
              <w:kinsoku w:val="0"/>
              <w:autoSpaceDE w:val="0"/>
              <w:autoSpaceDN w:val="0"/>
              <w:adjustRightInd w:val="0"/>
              <w:snapToGrid w:val="0"/>
              <w:spacing w:before="18" w:line="270" w:lineRule="exact"/>
              <w:ind w:left="45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position w:val="2"/>
                <w:sz w:val="18"/>
                <w:szCs w:val="18"/>
                <w:lang w:val="en-US" w:eastAsia="en-US" w:bidi="ar-SA"/>
              </w:rPr>
              <w:t>b</w:t>
            </w:r>
            <w:r>
              <w:rPr>
                <w:rFonts w:ascii="宋体" w:hAnsi="宋体" w:eastAsia="宋体" w:cs="宋体"/>
                <w:snapToGrid w:val="0"/>
                <w:color w:val="000000"/>
                <w:spacing w:val="-1"/>
                <w:kern w:val="0"/>
                <w:position w:val="2"/>
                <w:sz w:val="18"/>
                <w:szCs w:val="18"/>
                <w:lang w:val="en-US" w:eastAsia="en-US" w:bidi="ar-SA"/>
              </w:rPr>
              <w:t>）卸油、卸气作业安全操作规程；</w:t>
            </w:r>
          </w:p>
          <w:p w14:paraId="1A8B4494">
            <w:pPr>
              <w:kinsoku w:val="0"/>
              <w:autoSpaceDE w:val="0"/>
              <w:autoSpaceDN w:val="0"/>
              <w:adjustRightInd w:val="0"/>
              <w:snapToGrid w:val="0"/>
              <w:spacing w:before="14" w:line="235" w:lineRule="auto"/>
              <w:ind w:left="101" w:right="105" w:firstLine="359"/>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c</w:t>
            </w:r>
            <w:r>
              <w:rPr>
                <w:rFonts w:ascii="宋体" w:hAnsi="宋体" w:eastAsia="宋体" w:cs="宋体"/>
                <w:snapToGrid w:val="0"/>
                <w:color w:val="000000"/>
                <w:spacing w:val="3"/>
                <w:kern w:val="0"/>
                <w:sz w:val="18"/>
                <w:szCs w:val="18"/>
                <w:lang w:val="en-US" w:eastAsia="en-US" w:bidi="ar-SA"/>
              </w:rPr>
              <w:t>）各种设备的计量、使用、维护、检修作</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业安全操能规程。</w:t>
            </w:r>
          </w:p>
        </w:tc>
        <w:tc>
          <w:tcPr>
            <w:tcW w:w="2112" w:type="dxa"/>
            <w:tcBorders>
              <w:bottom w:val="single" w:color="000000" w:sz="10" w:space="0"/>
            </w:tcBorders>
            <w:vAlign w:val="top"/>
          </w:tcPr>
          <w:p w14:paraId="26BDBB91">
            <w:pPr>
              <w:kinsoku w:val="0"/>
              <w:autoSpaceDE w:val="0"/>
              <w:autoSpaceDN w:val="0"/>
              <w:adjustRightInd w:val="0"/>
              <w:snapToGrid w:val="0"/>
              <w:spacing w:before="205" w:line="254" w:lineRule="auto"/>
              <w:ind w:left="618" w:right="150" w:hanging="44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《汽车加油加气站消防</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安全管理》</w:t>
            </w:r>
          </w:p>
          <w:p w14:paraId="10A95E33">
            <w:pPr>
              <w:kinsoku w:val="0"/>
              <w:autoSpaceDE w:val="0"/>
              <w:autoSpaceDN w:val="0"/>
              <w:adjustRightInd w:val="0"/>
              <w:snapToGrid w:val="0"/>
              <w:spacing w:line="272" w:lineRule="auto"/>
              <w:ind w:left="659" w:right="463" w:hanging="18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XF/T3004-2020</w:t>
            </w:r>
            <w:r>
              <w:rPr>
                <w:rFonts w:ascii="Times New Roman" w:hAnsi="Times New Roman" w:eastAsia="Times New Roman" w:cs="Times New Roman"/>
                <w:snapToGrid w:val="0"/>
                <w:color w:val="000000"/>
                <w:spacing w:val="10"/>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第</w:t>
            </w:r>
            <w:r>
              <w:rPr>
                <w:rFonts w:ascii="宋体" w:hAnsi="宋体" w:eastAsia="宋体" w:cs="宋体"/>
                <w:snapToGrid w:val="0"/>
                <w:color w:val="000000"/>
                <w:spacing w:val="-34"/>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6.2.</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1</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条</w:t>
            </w:r>
          </w:p>
        </w:tc>
        <w:tc>
          <w:tcPr>
            <w:tcW w:w="1663" w:type="dxa"/>
            <w:tcBorders>
              <w:bottom w:val="single" w:color="000000" w:sz="10" w:space="0"/>
            </w:tcBorders>
            <w:vAlign w:val="top"/>
          </w:tcPr>
          <w:p w14:paraId="30FB33FA">
            <w:pPr>
              <w:kinsoku w:val="0"/>
              <w:autoSpaceDE w:val="0"/>
              <w:autoSpaceDN w:val="0"/>
              <w:adjustRightInd w:val="0"/>
              <w:snapToGrid w:val="0"/>
              <w:spacing w:before="206" w:line="260" w:lineRule="auto"/>
              <w:ind w:left="119" w:right="92" w:firstLine="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该加油站有加油作</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业安全操作规程、</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卸油作业安全操作</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规程等操作规程。</w:t>
            </w:r>
          </w:p>
        </w:tc>
        <w:tc>
          <w:tcPr>
            <w:tcW w:w="721" w:type="dxa"/>
            <w:gridSpan w:val="2"/>
            <w:tcBorders>
              <w:bottom w:val="single" w:color="000000" w:sz="10" w:space="0"/>
              <w:right w:val="single" w:color="000000" w:sz="10" w:space="0"/>
            </w:tcBorders>
            <w:vAlign w:val="top"/>
          </w:tcPr>
          <w:p w14:paraId="4FBE63CB">
            <w:pPr>
              <w:widowControl/>
              <w:kinsoku w:val="0"/>
              <w:autoSpaceDE w:val="0"/>
              <w:autoSpaceDN w:val="0"/>
              <w:adjustRightInd w:val="0"/>
              <w:snapToGrid w:val="0"/>
              <w:spacing w:line="267" w:lineRule="auto"/>
              <w:jc w:val="left"/>
              <w:textAlignment w:val="baseline"/>
              <w:rPr>
                <w:rFonts w:ascii="Arial" w:hAnsi="Arial" w:eastAsia="Arial" w:cs="Arial"/>
                <w:snapToGrid w:val="0"/>
                <w:color w:val="000000"/>
                <w:kern w:val="0"/>
                <w:sz w:val="18"/>
                <w:szCs w:val="18"/>
                <w:lang w:eastAsia="en-US"/>
              </w:rPr>
            </w:pPr>
          </w:p>
          <w:p w14:paraId="1FBCD73D">
            <w:pPr>
              <w:widowControl/>
              <w:kinsoku w:val="0"/>
              <w:autoSpaceDE w:val="0"/>
              <w:autoSpaceDN w:val="0"/>
              <w:adjustRightInd w:val="0"/>
              <w:snapToGrid w:val="0"/>
              <w:spacing w:line="268" w:lineRule="auto"/>
              <w:jc w:val="left"/>
              <w:textAlignment w:val="baseline"/>
              <w:rPr>
                <w:rFonts w:ascii="Arial" w:hAnsi="Arial" w:eastAsia="Arial" w:cs="Arial"/>
                <w:snapToGrid w:val="0"/>
                <w:color w:val="000000"/>
                <w:kern w:val="0"/>
                <w:sz w:val="18"/>
                <w:szCs w:val="18"/>
                <w:lang w:eastAsia="en-US"/>
              </w:rPr>
            </w:pPr>
          </w:p>
          <w:p w14:paraId="0A3C8506">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78AEFA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trPr>
        <w:tc>
          <w:tcPr>
            <w:tcW w:w="741" w:type="dxa"/>
            <w:tcBorders>
              <w:top w:val="single" w:color="000000" w:sz="10" w:space="0"/>
              <w:left w:val="single" w:color="000000" w:sz="10" w:space="0"/>
            </w:tcBorders>
            <w:vAlign w:val="top"/>
          </w:tcPr>
          <w:p w14:paraId="1FE132A6">
            <w:pPr>
              <w:widowControl/>
              <w:kinsoku w:val="0"/>
              <w:autoSpaceDE w:val="0"/>
              <w:autoSpaceDN w:val="0"/>
              <w:adjustRightInd w:val="0"/>
              <w:snapToGrid w:val="0"/>
              <w:spacing w:before="90" w:line="188" w:lineRule="auto"/>
              <w:ind w:left="31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3</w:t>
            </w:r>
          </w:p>
        </w:tc>
        <w:tc>
          <w:tcPr>
            <w:tcW w:w="8460" w:type="dxa"/>
            <w:gridSpan w:val="5"/>
            <w:tcBorders>
              <w:top w:val="single" w:color="000000" w:sz="10" w:space="0"/>
              <w:right w:val="single" w:color="000000" w:sz="10" w:space="0"/>
            </w:tcBorders>
            <w:vAlign w:val="top"/>
          </w:tcPr>
          <w:p w14:paraId="77347456">
            <w:pPr>
              <w:kinsoku w:val="0"/>
              <w:autoSpaceDE w:val="0"/>
              <w:autoSpaceDN w:val="0"/>
              <w:adjustRightInd w:val="0"/>
              <w:snapToGrid w:val="0"/>
              <w:spacing w:before="59" w:line="205" w:lineRule="auto"/>
              <w:ind w:left="10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安全生产管理机构的设置和从业人员</w:t>
            </w:r>
          </w:p>
        </w:tc>
      </w:tr>
      <w:tr w14:paraId="18ED98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1" w:hRule="atLeast"/>
        </w:trPr>
        <w:tc>
          <w:tcPr>
            <w:tcW w:w="741" w:type="dxa"/>
            <w:tcBorders>
              <w:left w:val="single" w:color="000000" w:sz="10" w:space="0"/>
            </w:tcBorders>
            <w:vAlign w:val="top"/>
          </w:tcPr>
          <w:p w14:paraId="444FFAE0">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18E0C76D">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0C2B1431">
            <w:pPr>
              <w:widowControl/>
              <w:kinsoku w:val="0"/>
              <w:autoSpaceDE w:val="0"/>
              <w:autoSpaceDN w:val="0"/>
              <w:adjustRightInd w:val="0"/>
              <w:snapToGrid w:val="0"/>
              <w:spacing w:line="267" w:lineRule="auto"/>
              <w:jc w:val="left"/>
              <w:textAlignment w:val="baseline"/>
              <w:rPr>
                <w:rFonts w:ascii="Arial" w:hAnsi="Arial" w:eastAsia="Arial" w:cs="Arial"/>
                <w:snapToGrid w:val="0"/>
                <w:color w:val="000000"/>
                <w:kern w:val="0"/>
                <w:sz w:val="21"/>
                <w:lang w:eastAsia="en-US"/>
              </w:rPr>
            </w:pPr>
          </w:p>
          <w:p w14:paraId="3B15C286">
            <w:pPr>
              <w:widowControl/>
              <w:kinsoku w:val="0"/>
              <w:autoSpaceDE w:val="0"/>
              <w:autoSpaceDN w:val="0"/>
              <w:adjustRightInd w:val="0"/>
              <w:snapToGrid w:val="0"/>
              <w:spacing w:line="267" w:lineRule="auto"/>
              <w:jc w:val="left"/>
              <w:textAlignment w:val="baseline"/>
              <w:rPr>
                <w:rFonts w:ascii="Arial" w:hAnsi="Arial" w:eastAsia="Arial" w:cs="Arial"/>
                <w:snapToGrid w:val="0"/>
                <w:color w:val="000000"/>
                <w:kern w:val="0"/>
                <w:sz w:val="21"/>
                <w:lang w:eastAsia="en-US"/>
              </w:rPr>
            </w:pPr>
          </w:p>
          <w:p w14:paraId="508A60B4">
            <w:pPr>
              <w:widowControl/>
              <w:kinsoku w:val="0"/>
              <w:autoSpaceDE w:val="0"/>
              <w:autoSpaceDN w:val="0"/>
              <w:adjustRightInd w:val="0"/>
              <w:snapToGrid w:val="0"/>
              <w:spacing w:before="52"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3.</w:t>
            </w:r>
            <w:r>
              <w:rPr>
                <w:rFonts w:ascii="Times New Roman" w:hAnsi="Times New Roman" w:eastAsia="Times New Roman" w:cs="Times New Roman"/>
                <w:snapToGrid w:val="0"/>
                <w:color w:val="000000"/>
                <w:spacing w:val="-22"/>
                <w:kern w:val="0"/>
                <w:sz w:val="18"/>
                <w:szCs w:val="18"/>
                <w:lang w:eastAsia="en-US"/>
              </w:rPr>
              <w:t xml:space="preserve"> </w:t>
            </w:r>
            <w:r>
              <w:rPr>
                <w:rFonts w:ascii="Times New Roman" w:hAnsi="Times New Roman" w:eastAsia="Times New Roman" w:cs="Times New Roman"/>
                <w:snapToGrid w:val="0"/>
                <w:color w:val="000000"/>
                <w:spacing w:val="-3"/>
                <w:kern w:val="0"/>
                <w:sz w:val="18"/>
                <w:szCs w:val="18"/>
                <w:lang w:eastAsia="en-US"/>
              </w:rPr>
              <w:t>1</w:t>
            </w:r>
          </w:p>
        </w:tc>
        <w:tc>
          <w:tcPr>
            <w:tcW w:w="3964" w:type="dxa"/>
            <w:vAlign w:val="top"/>
          </w:tcPr>
          <w:p w14:paraId="32CDAFF3">
            <w:pPr>
              <w:kinsoku w:val="0"/>
              <w:autoSpaceDE w:val="0"/>
              <w:autoSpaceDN w:val="0"/>
              <w:adjustRightInd w:val="0"/>
              <w:snapToGrid w:val="0"/>
              <w:spacing w:before="55" w:line="260" w:lineRule="auto"/>
              <w:ind w:left="101" w:right="10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矿山、金属冶炼、建筑施工、运输单位和危险物</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品的生产、经营、储存、装卸单位，应当设置安</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全生产管理机构或者配备专职安全生产管理人</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员。</w:t>
            </w:r>
          </w:p>
          <w:p w14:paraId="6632D735">
            <w:pPr>
              <w:kinsoku w:val="0"/>
              <w:autoSpaceDE w:val="0"/>
              <w:autoSpaceDN w:val="0"/>
              <w:adjustRightInd w:val="0"/>
              <w:snapToGrid w:val="0"/>
              <w:spacing w:before="28" w:line="253" w:lineRule="auto"/>
              <w:ind w:left="103"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前款规定以外的其他生产经营单位，从业人员超</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过一百人的，应当设置安全生产管理机构或者配</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备专职安全生产管理人员；从业人员在一百人以</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下的，应当配备专职或者兼职的安全生产管理人</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员。</w:t>
            </w:r>
          </w:p>
        </w:tc>
        <w:tc>
          <w:tcPr>
            <w:tcW w:w="2112" w:type="dxa"/>
            <w:vAlign w:val="top"/>
          </w:tcPr>
          <w:p w14:paraId="3C24536F">
            <w:pPr>
              <w:widowControl/>
              <w:kinsoku w:val="0"/>
              <w:autoSpaceDE w:val="0"/>
              <w:autoSpaceDN w:val="0"/>
              <w:adjustRightInd w:val="0"/>
              <w:snapToGrid w:val="0"/>
              <w:spacing w:line="321" w:lineRule="auto"/>
              <w:jc w:val="left"/>
              <w:textAlignment w:val="baseline"/>
              <w:rPr>
                <w:rFonts w:ascii="Arial" w:hAnsi="Arial" w:eastAsia="Arial" w:cs="Arial"/>
                <w:snapToGrid w:val="0"/>
                <w:color w:val="000000"/>
                <w:kern w:val="0"/>
                <w:sz w:val="21"/>
                <w:lang w:eastAsia="en-US"/>
              </w:rPr>
            </w:pPr>
          </w:p>
          <w:p w14:paraId="3411EF8A">
            <w:pPr>
              <w:widowControl/>
              <w:kinsoku w:val="0"/>
              <w:autoSpaceDE w:val="0"/>
              <w:autoSpaceDN w:val="0"/>
              <w:adjustRightInd w:val="0"/>
              <w:snapToGrid w:val="0"/>
              <w:spacing w:line="321" w:lineRule="auto"/>
              <w:jc w:val="left"/>
              <w:textAlignment w:val="baseline"/>
              <w:rPr>
                <w:rFonts w:ascii="Arial" w:hAnsi="Arial" w:eastAsia="Arial" w:cs="Arial"/>
                <w:snapToGrid w:val="0"/>
                <w:color w:val="000000"/>
                <w:kern w:val="0"/>
                <w:sz w:val="21"/>
                <w:lang w:eastAsia="en-US"/>
              </w:rPr>
            </w:pPr>
          </w:p>
          <w:p w14:paraId="51690599">
            <w:pPr>
              <w:kinsoku w:val="0"/>
              <w:autoSpaceDE w:val="0"/>
              <w:autoSpaceDN w:val="0"/>
              <w:adjustRightInd w:val="0"/>
              <w:snapToGrid w:val="0"/>
              <w:spacing w:before="58"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p>
          <w:p w14:paraId="611FE6B5">
            <w:pPr>
              <w:kinsoku w:val="0"/>
              <w:autoSpaceDE w:val="0"/>
              <w:autoSpaceDN w:val="0"/>
              <w:adjustRightInd w:val="0"/>
              <w:snapToGrid w:val="0"/>
              <w:spacing w:before="47" w:line="220"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生产法》（中华人民共和</w:t>
            </w:r>
          </w:p>
          <w:p w14:paraId="503872F6">
            <w:pPr>
              <w:kinsoku w:val="0"/>
              <w:autoSpaceDE w:val="0"/>
              <w:autoSpaceDN w:val="0"/>
              <w:adjustRightInd w:val="0"/>
              <w:snapToGrid w:val="0"/>
              <w:spacing w:before="44" w:line="219" w:lineRule="auto"/>
              <w:ind w:left="159"/>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国主席令〔</w:t>
            </w:r>
            <w:r>
              <w:rPr>
                <w:rFonts w:ascii="Times New Roman" w:hAnsi="Times New Roman" w:eastAsia="Times New Roman" w:cs="Times New Roman"/>
                <w:snapToGrid w:val="0"/>
                <w:color w:val="000000"/>
                <w:spacing w:val="-3"/>
                <w:kern w:val="0"/>
                <w:sz w:val="18"/>
                <w:szCs w:val="18"/>
                <w:lang w:val="en-US" w:eastAsia="en-US" w:bidi="ar-SA"/>
              </w:rPr>
              <w:t>2021</w:t>
            </w:r>
            <w:r>
              <w:rPr>
                <w:rFonts w:ascii="宋体" w:hAnsi="宋体" w:eastAsia="宋体" w:cs="宋体"/>
                <w:snapToGrid w:val="0"/>
                <w:color w:val="000000"/>
                <w:spacing w:val="-3"/>
                <w:kern w:val="0"/>
                <w:sz w:val="18"/>
                <w:szCs w:val="18"/>
                <w:lang w:val="en-US" w:eastAsia="en-US" w:bidi="ar-SA"/>
              </w:rPr>
              <w:t>〕第</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88</w:t>
            </w:r>
          </w:p>
          <w:p w14:paraId="4C43EC99">
            <w:pPr>
              <w:kinsoku w:val="0"/>
              <w:autoSpaceDE w:val="0"/>
              <w:autoSpaceDN w:val="0"/>
              <w:adjustRightInd w:val="0"/>
              <w:snapToGrid w:val="0"/>
              <w:spacing w:before="45" w:line="220" w:lineRule="auto"/>
              <w:ind w:left="4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号）第二十四条</w:t>
            </w:r>
          </w:p>
        </w:tc>
        <w:tc>
          <w:tcPr>
            <w:tcW w:w="1663" w:type="dxa"/>
            <w:vAlign w:val="top"/>
          </w:tcPr>
          <w:p w14:paraId="5CA54844">
            <w:pPr>
              <w:widowControl/>
              <w:kinsoku w:val="0"/>
              <w:autoSpaceDE w:val="0"/>
              <w:autoSpaceDN w:val="0"/>
              <w:adjustRightInd w:val="0"/>
              <w:snapToGrid w:val="0"/>
              <w:spacing w:line="300" w:lineRule="auto"/>
              <w:jc w:val="left"/>
              <w:textAlignment w:val="baseline"/>
              <w:rPr>
                <w:rFonts w:ascii="Arial" w:hAnsi="Arial" w:eastAsia="Arial" w:cs="Arial"/>
                <w:snapToGrid w:val="0"/>
                <w:color w:val="000000"/>
                <w:kern w:val="0"/>
                <w:sz w:val="21"/>
                <w:lang w:eastAsia="en-US"/>
              </w:rPr>
            </w:pPr>
          </w:p>
          <w:p w14:paraId="1AA364BA">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62F091AC">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4A5FBC4E">
            <w:pPr>
              <w:kinsoku w:val="0"/>
              <w:autoSpaceDE w:val="0"/>
              <w:autoSpaceDN w:val="0"/>
              <w:adjustRightInd w:val="0"/>
              <w:snapToGrid w:val="0"/>
              <w:spacing w:before="59" w:line="252" w:lineRule="auto"/>
              <w:ind w:left="120" w:right="95"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该站配备了</w:t>
            </w:r>
            <w:r>
              <w:rPr>
                <w:rFonts w:ascii="宋体" w:hAnsi="宋体" w:eastAsia="宋体" w:cs="宋体"/>
                <w:snapToGrid w:val="0"/>
                <w:color w:val="000000"/>
                <w:spacing w:val="-26"/>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w:t>
            </w:r>
            <w:r>
              <w:rPr>
                <w:rFonts w:ascii="Times New Roman" w:hAnsi="Times New Roman" w:eastAsia="Times New Roman" w:cs="Times New Roman"/>
                <w:snapToGrid w:val="0"/>
                <w:color w:val="000000"/>
                <w:spacing w:val="11"/>
                <w:w w:val="10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名安</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全生产管理人员。</w:t>
            </w:r>
          </w:p>
        </w:tc>
        <w:tc>
          <w:tcPr>
            <w:tcW w:w="721" w:type="dxa"/>
            <w:gridSpan w:val="2"/>
            <w:tcBorders>
              <w:right w:val="single" w:color="000000" w:sz="10" w:space="0"/>
            </w:tcBorders>
            <w:vAlign w:val="top"/>
          </w:tcPr>
          <w:p w14:paraId="6224302B">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1C5577EB">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1D502EF4">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77A9B660">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1599944F">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717BCB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81" w:hRule="atLeast"/>
        </w:trPr>
        <w:tc>
          <w:tcPr>
            <w:tcW w:w="741" w:type="dxa"/>
            <w:tcBorders>
              <w:left w:val="single" w:color="000000" w:sz="10" w:space="0"/>
            </w:tcBorders>
            <w:vAlign w:val="top"/>
          </w:tcPr>
          <w:p w14:paraId="294B6529">
            <w:pPr>
              <w:widowControl/>
              <w:kinsoku w:val="0"/>
              <w:autoSpaceDE w:val="0"/>
              <w:autoSpaceDN w:val="0"/>
              <w:adjustRightInd w:val="0"/>
              <w:snapToGrid w:val="0"/>
              <w:spacing w:line="313" w:lineRule="auto"/>
              <w:jc w:val="left"/>
              <w:textAlignment w:val="baseline"/>
              <w:rPr>
                <w:rFonts w:ascii="Arial" w:hAnsi="Arial" w:eastAsia="Arial" w:cs="Arial"/>
                <w:snapToGrid w:val="0"/>
                <w:color w:val="000000"/>
                <w:kern w:val="0"/>
                <w:sz w:val="21"/>
                <w:lang w:eastAsia="en-US"/>
              </w:rPr>
            </w:pPr>
          </w:p>
          <w:p w14:paraId="52E5966B">
            <w:pPr>
              <w:widowControl/>
              <w:kinsoku w:val="0"/>
              <w:autoSpaceDE w:val="0"/>
              <w:autoSpaceDN w:val="0"/>
              <w:adjustRightInd w:val="0"/>
              <w:snapToGrid w:val="0"/>
              <w:spacing w:line="314" w:lineRule="auto"/>
              <w:jc w:val="left"/>
              <w:textAlignment w:val="baseline"/>
              <w:rPr>
                <w:rFonts w:ascii="Arial" w:hAnsi="Arial" w:eastAsia="Arial" w:cs="Arial"/>
                <w:snapToGrid w:val="0"/>
                <w:color w:val="000000"/>
                <w:kern w:val="0"/>
                <w:sz w:val="21"/>
                <w:lang w:eastAsia="en-US"/>
              </w:rPr>
            </w:pPr>
          </w:p>
          <w:p w14:paraId="7CDBD4C5">
            <w:pPr>
              <w:widowControl/>
              <w:kinsoku w:val="0"/>
              <w:autoSpaceDE w:val="0"/>
              <w:autoSpaceDN w:val="0"/>
              <w:adjustRightInd w:val="0"/>
              <w:snapToGrid w:val="0"/>
              <w:spacing w:line="314" w:lineRule="auto"/>
              <w:jc w:val="left"/>
              <w:textAlignment w:val="baseline"/>
              <w:rPr>
                <w:rFonts w:ascii="Arial" w:hAnsi="Arial" w:eastAsia="Arial" w:cs="Arial"/>
                <w:snapToGrid w:val="0"/>
                <w:color w:val="000000"/>
                <w:kern w:val="0"/>
                <w:sz w:val="21"/>
                <w:lang w:eastAsia="en-US"/>
              </w:rPr>
            </w:pPr>
          </w:p>
          <w:p w14:paraId="0103A2AE">
            <w:pPr>
              <w:widowControl/>
              <w:kinsoku w:val="0"/>
              <w:autoSpaceDE w:val="0"/>
              <w:autoSpaceDN w:val="0"/>
              <w:adjustRightInd w:val="0"/>
              <w:snapToGrid w:val="0"/>
              <w:spacing w:before="51"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3.2</w:t>
            </w:r>
          </w:p>
        </w:tc>
        <w:tc>
          <w:tcPr>
            <w:tcW w:w="3964" w:type="dxa"/>
            <w:vAlign w:val="top"/>
          </w:tcPr>
          <w:p w14:paraId="1EC00DA9">
            <w:pPr>
              <w:kinsoku w:val="0"/>
              <w:autoSpaceDE w:val="0"/>
              <w:autoSpaceDN w:val="0"/>
              <w:adjustRightInd w:val="0"/>
              <w:snapToGrid w:val="0"/>
              <w:spacing w:before="59" w:line="257"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生产经营单位的主要负责人和安全生产管理人</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员必须具备与本单位所从事的生产经营活动相</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应的安全生产知识和管理能力。</w:t>
            </w:r>
          </w:p>
          <w:p w14:paraId="48F960A1">
            <w:pPr>
              <w:kinsoku w:val="0"/>
              <w:autoSpaceDE w:val="0"/>
              <w:autoSpaceDN w:val="0"/>
              <w:adjustRightInd w:val="0"/>
              <w:snapToGrid w:val="0"/>
              <w:spacing w:before="30" w:line="252" w:lineRule="auto"/>
              <w:ind w:left="102"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危险物品的生产、经营、储存单位以及矿山、金</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属冶炼、建筑施工、运输单位的主要负责人和安</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全生产管理人员，应当由主管的负有安全生产监</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督管理职责的部门对其安全生产知识和管理能</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力考核合格。考核不得收费。</w:t>
            </w:r>
          </w:p>
        </w:tc>
        <w:tc>
          <w:tcPr>
            <w:tcW w:w="2112" w:type="dxa"/>
            <w:vAlign w:val="top"/>
          </w:tcPr>
          <w:p w14:paraId="65572C3D">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66B60F7C">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054C4CA4">
            <w:pPr>
              <w:kinsoku w:val="0"/>
              <w:autoSpaceDE w:val="0"/>
              <w:autoSpaceDN w:val="0"/>
              <w:adjustRightInd w:val="0"/>
              <w:snapToGrid w:val="0"/>
              <w:spacing w:before="59"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p>
          <w:p w14:paraId="4C8D428B">
            <w:pPr>
              <w:kinsoku w:val="0"/>
              <w:autoSpaceDE w:val="0"/>
              <w:autoSpaceDN w:val="0"/>
              <w:adjustRightInd w:val="0"/>
              <w:snapToGrid w:val="0"/>
              <w:spacing w:before="47" w:line="220"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生产法》（中华人民共和</w:t>
            </w:r>
          </w:p>
          <w:p w14:paraId="09099EFE">
            <w:pPr>
              <w:kinsoku w:val="0"/>
              <w:autoSpaceDE w:val="0"/>
              <w:autoSpaceDN w:val="0"/>
              <w:adjustRightInd w:val="0"/>
              <w:snapToGrid w:val="0"/>
              <w:spacing w:before="44" w:line="219" w:lineRule="auto"/>
              <w:ind w:left="159"/>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国主席令〔</w:t>
            </w:r>
            <w:r>
              <w:rPr>
                <w:rFonts w:ascii="Times New Roman" w:hAnsi="Times New Roman" w:eastAsia="Times New Roman" w:cs="Times New Roman"/>
                <w:snapToGrid w:val="0"/>
                <w:color w:val="000000"/>
                <w:spacing w:val="-3"/>
                <w:kern w:val="0"/>
                <w:sz w:val="18"/>
                <w:szCs w:val="18"/>
                <w:lang w:val="en-US" w:eastAsia="en-US" w:bidi="ar-SA"/>
              </w:rPr>
              <w:t>2021</w:t>
            </w:r>
            <w:r>
              <w:rPr>
                <w:rFonts w:ascii="宋体" w:hAnsi="宋体" w:eastAsia="宋体" w:cs="宋体"/>
                <w:snapToGrid w:val="0"/>
                <w:color w:val="000000"/>
                <w:spacing w:val="-3"/>
                <w:kern w:val="0"/>
                <w:sz w:val="18"/>
                <w:szCs w:val="18"/>
                <w:lang w:val="en-US" w:eastAsia="en-US" w:bidi="ar-SA"/>
              </w:rPr>
              <w:t>〕第</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88</w:t>
            </w:r>
          </w:p>
          <w:p w14:paraId="55D1D643">
            <w:pPr>
              <w:kinsoku w:val="0"/>
              <w:autoSpaceDE w:val="0"/>
              <w:autoSpaceDN w:val="0"/>
              <w:adjustRightInd w:val="0"/>
              <w:snapToGrid w:val="0"/>
              <w:spacing w:before="45" w:line="220" w:lineRule="auto"/>
              <w:ind w:left="4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号）第二十七条</w:t>
            </w:r>
          </w:p>
        </w:tc>
        <w:tc>
          <w:tcPr>
            <w:tcW w:w="1663" w:type="dxa"/>
            <w:vAlign w:val="top"/>
          </w:tcPr>
          <w:p w14:paraId="204B2CE9">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349D3A57">
            <w:pPr>
              <w:kinsoku w:val="0"/>
              <w:autoSpaceDE w:val="0"/>
              <w:autoSpaceDN w:val="0"/>
              <w:adjustRightInd w:val="0"/>
              <w:snapToGrid w:val="0"/>
              <w:spacing w:before="59" w:line="262"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该站的负责人、安</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全管理人员具备相</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应的安全生产知识</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和管理能力，取得</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了主要负责人和安</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全管理人员证书。</w:t>
            </w:r>
          </w:p>
        </w:tc>
        <w:tc>
          <w:tcPr>
            <w:tcW w:w="721" w:type="dxa"/>
            <w:gridSpan w:val="2"/>
            <w:tcBorders>
              <w:right w:val="single" w:color="000000" w:sz="10" w:space="0"/>
            </w:tcBorders>
            <w:vAlign w:val="top"/>
          </w:tcPr>
          <w:p w14:paraId="1A968A6F">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105DA755">
            <w:pPr>
              <w:widowControl/>
              <w:kinsoku w:val="0"/>
              <w:autoSpaceDE w:val="0"/>
              <w:autoSpaceDN w:val="0"/>
              <w:adjustRightInd w:val="0"/>
              <w:snapToGrid w:val="0"/>
              <w:spacing w:line="302" w:lineRule="auto"/>
              <w:jc w:val="left"/>
              <w:textAlignment w:val="baseline"/>
              <w:rPr>
                <w:rFonts w:ascii="Arial" w:hAnsi="Arial" w:eastAsia="Arial" w:cs="Arial"/>
                <w:snapToGrid w:val="0"/>
                <w:color w:val="000000"/>
                <w:kern w:val="0"/>
                <w:sz w:val="21"/>
                <w:lang w:eastAsia="en-US"/>
              </w:rPr>
            </w:pPr>
          </w:p>
          <w:p w14:paraId="635AF081">
            <w:pPr>
              <w:widowControl/>
              <w:kinsoku w:val="0"/>
              <w:autoSpaceDE w:val="0"/>
              <w:autoSpaceDN w:val="0"/>
              <w:adjustRightInd w:val="0"/>
              <w:snapToGrid w:val="0"/>
              <w:spacing w:line="302" w:lineRule="auto"/>
              <w:jc w:val="left"/>
              <w:textAlignment w:val="baseline"/>
              <w:rPr>
                <w:rFonts w:ascii="Arial" w:hAnsi="Arial" w:eastAsia="Arial" w:cs="Arial"/>
                <w:snapToGrid w:val="0"/>
                <w:color w:val="000000"/>
                <w:kern w:val="0"/>
                <w:sz w:val="21"/>
                <w:lang w:eastAsia="en-US"/>
              </w:rPr>
            </w:pPr>
          </w:p>
          <w:p w14:paraId="66515111">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B622F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18B3E0C1">
            <w:pPr>
              <w:widowControl/>
              <w:kinsoku w:val="0"/>
              <w:autoSpaceDE w:val="0"/>
              <w:autoSpaceDN w:val="0"/>
              <w:adjustRightInd w:val="0"/>
              <w:snapToGrid w:val="0"/>
              <w:spacing w:line="430" w:lineRule="auto"/>
              <w:jc w:val="left"/>
              <w:textAlignment w:val="baseline"/>
              <w:rPr>
                <w:rFonts w:ascii="Arial" w:hAnsi="Arial" w:eastAsia="Arial" w:cs="Arial"/>
                <w:snapToGrid w:val="0"/>
                <w:color w:val="000000"/>
                <w:kern w:val="0"/>
                <w:sz w:val="21"/>
                <w:lang w:eastAsia="en-US"/>
              </w:rPr>
            </w:pPr>
          </w:p>
          <w:p w14:paraId="6E154B8A">
            <w:pPr>
              <w:widowControl/>
              <w:kinsoku w:val="0"/>
              <w:autoSpaceDE w:val="0"/>
              <w:autoSpaceDN w:val="0"/>
              <w:adjustRightInd w:val="0"/>
              <w:snapToGrid w:val="0"/>
              <w:spacing w:before="52"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3.3</w:t>
            </w:r>
          </w:p>
        </w:tc>
        <w:tc>
          <w:tcPr>
            <w:tcW w:w="3964" w:type="dxa"/>
            <w:vAlign w:val="top"/>
          </w:tcPr>
          <w:p w14:paraId="2D370940">
            <w:pPr>
              <w:kinsoku w:val="0"/>
              <w:autoSpaceDE w:val="0"/>
              <w:autoSpaceDN w:val="0"/>
              <w:adjustRightInd w:val="0"/>
              <w:snapToGrid w:val="0"/>
              <w:spacing w:before="61" w:line="249"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生产经营单位的主要负责人是本单位安全生产</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第一责任人，对本单位的安全生产工作全面负</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责。其他负责人对职责范围内的安全生产工作负</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责。</w:t>
            </w:r>
          </w:p>
        </w:tc>
        <w:tc>
          <w:tcPr>
            <w:tcW w:w="2112" w:type="dxa"/>
            <w:vAlign w:val="top"/>
          </w:tcPr>
          <w:p w14:paraId="3864BB64">
            <w:pPr>
              <w:kinsoku w:val="0"/>
              <w:autoSpaceDE w:val="0"/>
              <w:autoSpaceDN w:val="0"/>
              <w:adjustRightInd w:val="0"/>
              <w:snapToGrid w:val="0"/>
              <w:spacing w:before="62"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p>
          <w:p w14:paraId="0A7A82C7">
            <w:pPr>
              <w:kinsoku w:val="0"/>
              <w:autoSpaceDE w:val="0"/>
              <w:autoSpaceDN w:val="0"/>
              <w:adjustRightInd w:val="0"/>
              <w:snapToGrid w:val="0"/>
              <w:spacing w:before="47" w:line="220"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生产法》（中华人民共和</w:t>
            </w:r>
          </w:p>
          <w:p w14:paraId="223DFF5C">
            <w:pPr>
              <w:kinsoku w:val="0"/>
              <w:autoSpaceDE w:val="0"/>
              <w:autoSpaceDN w:val="0"/>
              <w:adjustRightInd w:val="0"/>
              <w:snapToGrid w:val="0"/>
              <w:spacing w:before="44" w:line="219" w:lineRule="auto"/>
              <w:ind w:left="159"/>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国主席令〔</w:t>
            </w:r>
            <w:r>
              <w:rPr>
                <w:rFonts w:ascii="Times New Roman" w:hAnsi="Times New Roman" w:eastAsia="Times New Roman" w:cs="Times New Roman"/>
                <w:snapToGrid w:val="0"/>
                <w:color w:val="000000"/>
                <w:spacing w:val="-3"/>
                <w:kern w:val="0"/>
                <w:sz w:val="18"/>
                <w:szCs w:val="18"/>
                <w:lang w:val="en-US" w:eastAsia="en-US" w:bidi="ar-SA"/>
              </w:rPr>
              <w:t>2021</w:t>
            </w:r>
            <w:r>
              <w:rPr>
                <w:rFonts w:ascii="宋体" w:hAnsi="宋体" w:eastAsia="宋体" w:cs="宋体"/>
                <w:snapToGrid w:val="0"/>
                <w:color w:val="000000"/>
                <w:spacing w:val="-3"/>
                <w:kern w:val="0"/>
                <w:sz w:val="18"/>
                <w:szCs w:val="18"/>
                <w:lang w:val="en-US" w:eastAsia="en-US" w:bidi="ar-SA"/>
              </w:rPr>
              <w:t>〕第</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88</w:t>
            </w:r>
          </w:p>
          <w:p w14:paraId="1DA69CD2">
            <w:pPr>
              <w:kinsoku w:val="0"/>
              <w:autoSpaceDE w:val="0"/>
              <w:autoSpaceDN w:val="0"/>
              <w:adjustRightInd w:val="0"/>
              <w:snapToGrid w:val="0"/>
              <w:spacing w:before="45" w:line="196" w:lineRule="auto"/>
              <w:ind w:left="6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号）第五条</w:t>
            </w:r>
          </w:p>
        </w:tc>
        <w:tc>
          <w:tcPr>
            <w:tcW w:w="1663" w:type="dxa"/>
            <w:vAlign w:val="top"/>
          </w:tcPr>
          <w:p w14:paraId="737085A5">
            <w:pPr>
              <w:kinsoku w:val="0"/>
              <w:autoSpaceDE w:val="0"/>
              <w:autoSpaceDN w:val="0"/>
              <w:adjustRightInd w:val="0"/>
              <w:snapToGrid w:val="0"/>
              <w:spacing w:before="194" w:line="257"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该站的负责人全面</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6"/>
                <w:kern w:val="0"/>
                <w:sz w:val="18"/>
                <w:szCs w:val="18"/>
                <w:lang w:val="en-US" w:eastAsia="en-US" w:bidi="ar-SA"/>
              </w:rPr>
              <w:t>负责日常安全工</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作。</w:t>
            </w:r>
          </w:p>
        </w:tc>
        <w:tc>
          <w:tcPr>
            <w:tcW w:w="721" w:type="dxa"/>
            <w:gridSpan w:val="2"/>
            <w:tcBorders>
              <w:right w:val="single" w:color="000000" w:sz="10" w:space="0"/>
            </w:tcBorders>
            <w:vAlign w:val="top"/>
          </w:tcPr>
          <w:p w14:paraId="50F32A26">
            <w:pPr>
              <w:widowControl/>
              <w:kinsoku w:val="0"/>
              <w:autoSpaceDE w:val="0"/>
              <w:autoSpaceDN w:val="0"/>
              <w:adjustRightInd w:val="0"/>
              <w:snapToGrid w:val="0"/>
              <w:spacing w:line="392" w:lineRule="auto"/>
              <w:jc w:val="left"/>
              <w:textAlignment w:val="baseline"/>
              <w:rPr>
                <w:rFonts w:ascii="Arial" w:hAnsi="Arial" w:eastAsia="Arial" w:cs="Arial"/>
                <w:snapToGrid w:val="0"/>
                <w:color w:val="000000"/>
                <w:kern w:val="0"/>
                <w:sz w:val="21"/>
                <w:lang w:eastAsia="en-US"/>
              </w:rPr>
            </w:pPr>
          </w:p>
          <w:p w14:paraId="103FA356">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71C44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2" w:hRule="atLeast"/>
        </w:trPr>
        <w:tc>
          <w:tcPr>
            <w:tcW w:w="741" w:type="dxa"/>
            <w:tcBorders>
              <w:left w:val="single" w:color="000000" w:sz="10" w:space="0"/>
            </w:tcBorders>
            <w:vAlign w:val="top"/>
          </w:tcPr>
          <w:p w14:paraId="6B080D16">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lang w:eastAsia="en-US"/>
              </w:rPr>
            </w:pPr>
          </w:p>
          <w:p w14:paraId="7F96AE61">
            <w:pPr>
              <w:widowControl/>
              <w:kinsoku w:val="0"/>
              <w:autoSpaceDE w:val="0"/>
              <w:autoSpaceDN w:val="0"/>
              <w:adjustRightInd w:val="0"/>
              <w:snapToGrid w:val="0"/>
              <w:spacing w:line="280" w:lineRule="auto"/>
              <w:jc w:val="left"/>
              <w:textAlignment w:val="baseline"/>
              <w:rPr>
                <w:rFonts w:ascii="Arial" w:hAnsi="Arial" w:eastAsia="Arial" w:cs="Arial"/>
                <w:snapToGrid w:val="0"/>
                <w:color w:val="000000"/>
                <w:kern w:val="0"/>
                <w:sz w:val="21"/>
                <w:lang w:eastAsia="en-US"/>
              </w:rPr>
            </w:pPr>
          </w:p>
          <w:p w14:paraId="6B1A2C23">
            <w:pPr>
              <w:widowControl/>
              <w:kinsoku w:val="0"/>
              <w:autoSpaceDE w:val="0"/>
              <w:autoSpaceDN w:val="0"/>
              <w:adjustRightInd w:val="0"/>
              <w:snapToGrid w:val="0"/>
              <w:spacing w:before="52"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3.4</w:t>
            </w:r>
          </w:p>
        </w:tc>
        <w:tc>
          <w:tcPr>
            <w:tcW w:w="3964" w:type="dxa"/>
            <w:vAlign w:val="top"/>
          </w:tcPr>
          <w:p w14:paraId="5574BC7B">
            <w:pPr>
              <w:kinsoku w:val="0"/>
              <w:autoSpaceDE w:val="0"/>
              <w:autoSpaceDN w:val="0"/>
              <w:adjustRightInd w:val="0"/>
              <w:snapToGrid w:val="0"/>
              <w:spacing w:before="66" w:line="258" w:lineRule="auto"/>
              <w:ind w:left="103" w:right="1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生产经营单位的特种作业人员必须按照国家有</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关规定经专门的安全作业培训，取得相应资格，</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方可上岗作业。</w:t>
            </w:r>
          </w:p>
          <w:p w14:paraId="2AF5A926">
            <w:pPr>
              <w:kinsoku w:val="0"/>
              <w:autoSpaceDE w:val="0"/>
              <w:autoSpaceDN w:val="0"/>
              <w:adjustRightInd w:val="0"/>
              <w:snapToGrid w:val="0"/>
              <w:spacing w:before="24" w:line="229" w:lineRule="auto"/>
              <w:ind w:left="119" w:right="105" w:hanging="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特种作业人员的范围由国务院应急管理部门会</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同国务院有关部门确定。</w:t>
            </w:r>
          </w:p>
        </w:tc>
        <w:tc>
          <w:tcPr>
            <w:tcW w:w="2112" w:type="dxa"/>
            <w:vAlign w:val="top"/>
          </w:tcPr>
          <w:p w14:paraId="6B90EE3C">
            <w:pPr>
              <w:kinsoku w:val="0"/>
              <w:autoSpaceDE w:val="0"/>
              <w:autoSpaceDN w:val="0"/>
              <w:adjustRightInd w:val="0"/>
              <w:snapToGrid w:val="0"/>
              <w:spacing w:before="195" w:line="220" w:lineRule="auto"/>
              <w:ind w:left="1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《中华人民共和国安全</w:t>
            </w:r>
          </w:p>
          <w:p w14:paraId="69CD7D67">
            <w:pPr>
              <w:kinsoku w:val="0"/>
              <w:autoSpaceDE w:val="0"/>
              <w:autoSpaceDN w:val="0"/>
              <w:adjustRightInd w:val="0"/>
              <w:snapToGrid w:val="0"/>
              <w:spacing w:before="44" w:line="220" w:lineRule="auto"/>
              <w:ind w:left="1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生产法》（中华人民共和</w:t>
            </w:r>
          </w:p>
          <w:p w14:paraId="61E3CB77">
            <w:pPr>
              <w:kinsoku w:val="0"/>
              <w:autoSpaceDE w:val="0"/>
              <w:autoSpaceDN w:val="0"/>
              <w:adjustRightInd w:val="0"/>
              <w:snapToGrid w:val="0"/>
              <w:spacing w:before="47" w:line="219" w:lineRule="auto"/>
              <w:ind w:left="159"/>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国主席令〔</w:t>
            </w:r>
            <w:r>
              <w:rPr>
                <w:rFonts w:ascii="Times New Roman" w:hAnsi="Times New Roman" w:eastAsia="Times New Roman" w:cs="Times New Roman"/>
                <w:snapToGrid w:val="0"/>
                <w:color w:val="000000"/>
                <w:spacing w:val="-3"/>
                <w:kern w:val="0"/>
                <w:sz w:val="18"/>
                <w:szCs w:val="18"/>
                <w:lang w:val="en-US" w:eastAsia="en-US" w:bidi="ar-SA"/>
              </w:rPr>
              <w:t>2021</w:t>
            </w:r>
            <w:r>
              <w:rPr>
                <w:rFonts w:ascii="宋体" w:hAnsi="宋体" w:eastAsia="宋体" w:cs="宋体"/>
                <w:snapToGrid w:val="0"/>
                <w:color w:val="000000"/>
                <w:spacing w:val="-3"/>
                <w:kern w:val="0"/>
                <w:sz w:val="18"/>
                <w:szCs w:val="18"/>
                <w:lang w:val="en-US" w:eastAsia="en-US" w:bidi="ar-SA"/>
              </w:rPr>
              <w:t>〕第</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88</w:t>
            </w:r>
          </w:p>
          <w:p w14:paraId="3C36EF6C">
            <w:pPr>
              <w:kinsoku w:val="0"/>
              <w:autoSpaceDE w:val="0"/>
              <w:autoSpaceDN w:val="0"/>
              <w:adjustRightInd w:val="0"/>
              <w:snapToGrid w:val="0"/>
              <w:spacing w:before="45" w:line="220" w:lineRule="auto"/>
              <w:ind w:left="4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号）第三十一条</w:t>
            </w:r>
          </w:p>
        </w:tc>
        <w:tc>
          <w:tcPr>
            <w:tcW w:w="1663" w:type="dxa"/>
            <w:vAlign w:val="top"/>
          </w:tcPr>
          <w:p w14:paraId="786335FC">
            <w:pPr>
              <w:kinsoku w:val="0"/>
              <w:autoSpaceDE w:val="0"/>
              <w:autoSpaceDN w:val="0"/>
              <w:adjustRightInd w:val="0"/>
              <w:snapToGrid w:val="0"/>
              <w:spacing w:before="196" w:line="260" w:lineRule="auto"/>
              <w:ind w:left="120" w:right="92" w:firstLine="2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电工、动火等相关</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特种作业委外，该</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6"/>
                <w:kern w:val="0"/>
                <w:sz w:val="18"/>
                <w:szCs w:val="18"/>
                <w:lang w:val="en-US" w:eastAsia="en-US" w:bidi="ar-SA"/>
              </w:rPr>
              <w:t>站无特种作业人</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员。</w:t>
            </w:r>
          </w:p>
        </w:tc>
        <w:tc>
          <w:tcPr>
            <w:tcW w:w="721" w:type="dxa"/>
            <w:gridSpan w:val="2"/>
            <w:tcBorders>
              <w:right w:val="single" w:color="000000" w:sz="10" w:space="0"/>
            </w:tcBorders>
            <w:vAlign w:val="top"/>
          </w:tcPr>
          <w:p w14:paraId="7DC75A60">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2197E28A">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25769F79">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79F81D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98" w:hRule="atLeast"/>
        </w:trPr>
        <w:tc>
          <w:tcPr>
            <w:tcW w:w="741" w:type="dxa"/>
            <w:tcBorders>
              <w:left w:val="single" w:color="000000" w:sz="10" w:space="0"/>
            </w:tcBorders>
            <w:vAlign w:val="top"/>
          </w:tcPr>
          <w:p w14:paraId="000EF669">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34F66D8C">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0DB5A240">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057F4B11">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2B2FD335">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4345D151">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69E58953">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5679B8BB">
            <w:pPr>
              <w:widowControl/>
              <w:kinsoku w:val="0"/>
              <w:autoSpaceDE w:val="0"/>
              <w:autoSpaceDN w:val="0"/>
              <w:adjustRightInd w:val="0"/>
              <w:snapToGrid w:val="0"/>
              <w:spacing w:before="51"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3.5</w:t>
            </w:r>
          </w:p>
        </w:tc>
        <w:tc>
          <w:tcPr>
            <w:tcW w:w="3964" w:type="dxa"/>
            <w:vAlign w:val="top"/>
          </w:tcPr>
          <w:p w14:paraId="49FF0977">
            <w:pPr>
              <w:kinsoku w:val="0"/>
              <w:autoSpaceDE w:val="0"/>
              <w:autoSpaceDN w:val="0"/>
              <w:adjustRightInd w:val="0"/>
              <w:snapToGrid w:val="0"/>
              <w:spacing w:before="68" w:line="257"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生产经营单位的主要负责人和安全生产管理人</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员必须具备与本单位所从事的生产经营活动相</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应的安全生产知识和管理能力。</w:t>
            </w:r>
          </w:p>
          <w:p w14:paraId="3D8B5F07">
            <w:pPr>
              <w:kinsoku w:val="0"/>
              <w:autoSpaceDE w:val="0"/>
              <w:autoSpaceDN w:val="0"/>
              <w:adjustRightInd w:val="0"/>
              <w:snapToGrid w:val="0"/>
              <w:spacing w:before="29" w:line="261" w:lineRule="auto"/>
              <w:ind w:left="102"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危险物品的生产、经营、储存单位以及矿山、金</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属冶炼、建筑施工、运输单位的主要负责人和安</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全生产管理人员，应当由主管的负有安全生产监</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督管理职责的部门对其安全生产知识和管理能</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力考核合格。考核不得收费。</w:t>
            </w:r>
          </w:p>
          <w:p w14:paraId="7D510F87">
            <w:pPr>
              <w:kinsoku w:val="0"/>
              <w:autoSpaceDE w:val="0"/>
              <w:autoSpaceDN w:val="0"/>
              <w:adjustRightInd w:val="0"/>
              <w:snapToGrid w:val="0"/>
              <w:spacing w:before="25" w:line="255" w:lineRule="auto"/>
              <w:ind w:left="102"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危险物品的生产、储存、装卸单位以及矿山、金</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属冶炼单位应当有注册安全工程师从事安全生</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产管理工作。鼓励其他生产经营单位聘用注册安</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全工程师从事安全生产管理工作。注册安全工程</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师按专业分类管理，具体办法由国务院人力资源</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和社会保障部门、国务院应急管理部门会同国务</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院有关部门制定。</w:t>
            </w:r>
          </w:p>
        </w:tc>
        <w:tc>
          <w:tcPr>
            <w:tcW w:w="2112" w:type="dxa"/>
            <w:vAlign w:val="top"/>
          </w:tcPr>
          <w:p w14:paraId="31499568">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2147960B">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57FD216D">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067293D2">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4B73F2A1">
            <w:pPr>
              <w:widowControl/>
              <w:kinsoku w:val="0"/>
              <w:autoSpaceDE w:val="0"/>
              <w:autoSpaceDN w:val="0"/>
              <w:adjustRightInd w:val="0"/>
              <w:snapToGrid w:val="0"/>
              <w:spacing w:line="287" w:lineRule="auto"/>
              <w:jc w:val="left"/>
              <w:textAlignment w:val="baseline"/>
              <w:rPr>
                <w:rFonts w:ascii="Arial" w:hAnsi="Arial" w:eastAsia="Arial" w:cs="Arial"/>
                <w:snapToGrid w:val="0"/>
                <w:color w:val="000000"/>
                <w:kern w:val="0"/>
                <w:sz w:val="21"/>
                <w:lang w:eastAsia="en-US"/>
              </w:rPr>
            </w:pPr>
          </w:p>
          <w:p w14:paraId="679AD885">
            <w:pPr>
              <w:kinsoku w:val="0"/>
              <w:autoSpaceDE w:val="0"/>
              <w:autoSpaceDN w:val="0"/>
              <w:adjustRightInd w:val="0"/>
              <w:snapToGrid w:val="0"/>
              <w:spacing w:before="59" w:line="260"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号）第二十七条</w:t>
            </w:r>
          </w:p>
        </w:tc>
        <w:tc>
          <w:tcPr>
            <w:tcW w:w="1663" w:type="dxa"/>
            <w:vAlign w:val="top"/>
          </w:tcPr>
          <w:p w14:paraId="1BD85E61">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068FE375">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0C9AB826">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640ED469">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3BB9401C">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2A8E2565">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4D7EA644">
            <w:pPr>
              <w:kinsoku w:val="0"/>
              <w:autoSpaceDE w:val="0"/>
              <w:autoSpaceDN w:val="0"/>
              <w:adjustRightInd w:val="0"/>
              <w:snapToGrid w:val="0"/>
              <w:spacing w:before="58" w:line="257" w:lineRule="auto"/>
              <w:ind w:left="120" w:right="92"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该站的负责人经过</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培训已考核合格，</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并取证。</w:t>
            </w:r>
          </w:p>
        </w:tc>
        <w:tc>
          <w:tcPr>
            <w:tcW w:w="721" w:type="dxa"/>
            <w:gridSpan w:val="2"/>
            <w:tcBorders>
              <w:right w:val="single" w:color="000000" w:sz="10" w:space="0"/>
            </w:tcBorders>
            <w:vAlign w:val="top"/>
          </w:tcPr>
          <w:p w14:paraId="4D589809">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5A1E2063">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7016A48B">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23B0F1FD">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0B4940D5">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0D503C24">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04772A13">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58896DCA">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D3765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1" w:hRule="atLeast"/>
        </w:trPr>
        <w:tc>
          <w:tcPr>
            <w:tcW w:w="741" w:type="dxa"/>
            <w:tcBorders>
              <w:left w:val="single" w:color="000000" w:sz="10" w:space="0"/>
            </w:tcBorders>
            <w:vAlign w:val="top"/>
          </w:tcPr>
          <w:p w14:paraId="0D067541">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21"/>
                <w:lang w:eastAsia="en-US"/>
              </w:rPr>
            </w:pPr>
          </w:p>
          <w:p w14:paraId="3385FCCE">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05D0DFA2">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7DECA876">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1AD9AA19">
            <w:pPr>
              <w:widowControl/>
              <w:kinsoku w:val="0"/>
              <w:autoSpaceDE w:val="0"/>
              <w:autoSpaceDN w:val="0"/>
              <w:adjustRightInd w:val="0"/>
              <w:snapToGrid w:val="0"/>
              <w:spacing w:before="52"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3.6</w:t>
            </w:r>
          </w:p>
        </w:tc>
        <w:tc>
          <w:tcPr>
            <w:tcW w:w="3964" w:type="dxa"/>
            <w:vAlign w:val="top"/>
          </w:tcPr>
          <w:p w14:paraId="4067F99C">
            <w:pPr>
              <w:kinsoku w:val="0"/>
              <w:autoSpaceDE w:val="0"/>
              <w:autoSpaceDN w:val="0"/>
              <w:adjustRightInd w:val="0"/>
              <w:snapToGrid w:val="0"/>
              <w:spacing w:before="204" w:line="260" w:lineRule="auto"/>
              <w:ind w:left="101" w:right="105"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生产经营单位应当教育和督促从业人员严格执</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行本单位的安全生产规章制度和安全操作规程；</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并向从业人员如实告知作业场所和工作岗位存</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在的危险因素、防范措施以及事故应急措施。</w:t>
            </w:r>
          </w:p>
          <w:p w14:paraId="40ABD7C4">
            <w:pPr>
              <w:kinsoku w:val="0"/>
              <w:autoSpaceDE w:val="0"/>
              <w:autoSpaceDN w:val="0"/>
              <w:adjustRightInd w:val="0"/>
              <w:snapToGrid w:val="0"/>
              <w:spacing w:before="25" w:line="260" w:lineRule="auto"/>
              <w:ind w:left="102" w:right="105"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生产经营单位应当关注从业人员的身体、心理状</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况和行为习惯，加强对从业人员的心理疏导、精</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神慰藉，严格落实岗位安全生产责任，防范从业</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人员行为异常导致事故发生。</w:t>
            </w:r>
          </w:p>
        </w:tc>
        <w:tc>
          <w:tcPr>
            <w:tcW w:w="2112" w:type="dxa"/>
            <w:vAlign w:val="top"/>
          </w:tcPr>
          <w:p w14:paraId="022644C4">
            <w:pPr>
              <w:widowControl/>
              <w:kinsoku w:val="0"/>
              <w:autoSpaceDE w:val="0"/>
              <w:autoSpaceDN w:val="0"/>
              <w:adjustRightInd w:val="0"/>
              <w:snapToGrid w:val="0"/>
              <w:spacing w:line="331" w:lineRule="auto"/>
              <w:jc w:val="left"/>
              <w:textAlignment w:val="baseline"/>
              <w:rPr>
                <w:rFonts w:ascii="Arial" w:hAnsi="Arial" w:eastAsia="Arial" w:cs="Arial"/>
                <w:snapToGrid w:val="0"/>
                <w:color w:val="000000"/>
                <w:kern w:val="0"/>
                <w:sz w:val="21"/>
                <w:lang w:eastAsia="en-US"/>
              </w:rPr>
            </w:pPr>
          </w:p>
          <w:p w14:paraId="6524AB17">
            <w:pPr>
              <w:widowControl/>
              <w:kinsoku w:val="0"/>
              <w:autoSpaceDE w:val="0"/>
              <w:autoSpaceDN w:val="0"/>
              <w:adjustRightInd w:val="0"/>
              <w:snapToGrid w:val="0"/>
              <w:spacing w:line="332" w:lineRule="auto"/>
              <w:jc w:val="left"/>
              <w:textAlignment w:val="baseline"/>
              <w:rPr>
                <w:rFonts w:ascii="Arial" w:hAnsi="Arial" w:eastAsia="Arial" w:cs="Arial"/>
                <w:snapToGrid w:val="0"/>
                <w:color w:val="000000"/>
                <w:kern w:val="0"/>
                <w:sz w:val="21"/>
                <w:lang w:eastAsia="en-US"/>
              </w:rPr>
            </w:pPr>
          </w:p>
          <w:p w14:paraId="720F9442">
            <w:pPr>
              <w:kinsoku w:val="0"/>
              <w:autoSpaceDE w:val="0"/>
              <w:autoSpaceDN w:val="0"/>
              <w:adjustRightInd w:val="0"/>
              <w:snapToGrid w:val="0"/>
              <w:spacing w:before="58" w:line="260"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号）第四十四条</w:t>
            </w:r>
          </w:p>
        </w:tc>
        <w:tc>
          <w:tcPr>
            <w:tcW w:w="1663" w:type="dxa"/>
            <w:vAlign w:val="top"/>
          </w:tcPr>
          <w:p w14:paraId="38A0BA4B">
            <w:pPr>
              <w:kinsoku w:val="0"/>
              <w:autoSpaceDE w:val="0"/>
              <w:autoSpaceDN w:val="0"/>
              <w:adjustRightInd w:val="0"/>
              <w:snapToGrid w:val="0"/>
              <w:spacing w:before="75" w:line="257" w:lineRule="auto"/>
              <w:ind w:left="119" w:right="9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通过教育和督促从</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业人员严格执行安</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全规章制度和安全</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操作规程；已向从</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业人员如实告知了</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作业场所和工作岗</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6"/>
                <w:kern w:val="0"/>
                <w:sz w:val="18"/>
                <w:szCs w:val="18"/>
                <w:lang w:val="en-US" w:eastAsia="en-US" w:bidi="ar-SA"/>
              </w:rPr>
              <w:t>位存在的危险因</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素、防范措施以及</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事故应急措施。</w:t>
            </w:r>
          </w:p>
        </w:tc>
        <w:tc>
          <w:tcPr>
            <w:tcW w:w="721" w:type="dxa"/>
            <w:gridSpan w:val="2"/>
            <w:tcBorders>
              <w:right w:val="single" w:color="000000" w:sz="10" w:space="0"/>
            </w:tcBorders>
            <w:vAlign w:val="top"/>
          </w:tcPr>
          <w:p w14:paraId="27F6E4C9">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74E92F4A">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071C716C">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0315DED5">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165D1F8E">
            <w:pPr>
              <w:kinsoku w:val="0"/>
              <w:autoSpaceDE w:val="0"/>
              <w:autoSpaceDN w:val="0"/>
              <w:adjustRightInd w:val="0"/>
              <w:snapToGrid w:val="0"/>
              <w:spacing w:before="59" w:line="220" w:lineRule="auto"/>
              <w:ind w:left="1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DC183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741" w:type="dxa"/>
            <w:tcBorders>
              <w:left w:val="single" w:color="000000" w:sz="10" w:space="0"/>
              <w:bottom w:val="single" w:color="000000" w:sz="10" w:space="0"/>
            </w:tcBorders>
            <w:vAlign w:val="top"/>
          </w:tcPr>
          <w:p w14:paraId="398C5397">
            <w:pPr>
              <w:widowControl/>
              <w:kinsoku w:val="0"/>
              <w:autoSpaceDE w:val="0"/>
              <w:autoSpaceDN w:val="0"/>
              <w:adjustRightInd w:val="0"/>
              <w:snapToGrid w:val="0"/>
              <w:spacing w:before="239"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3.7</w:t>
            </w:r>
          </w:p>
        </w:tc>
        <w:tc>
          <w:tcPr>
            <w:tcW w:w="3964" w:type="dxa"/>
            <w:tcBorders>
              <w:bottom w:val="single" w:color="000000" w:sz="10" w:space="0"/>
            </w:tcBorders>
            <w:vAlign w:val="top"/>
          </w:tcPr>
          <w:p w14:paraId="4AFFD6FE">
            <w:pPr>
              <w:kinsoku w:val="0"/>
              <w:autoSpaceDE w:val="0"/>
              <w:autoSpaceDN w:val="0"/>
              <w:adjustRightInd w:val="0"/>
              <w:snapToGrid w:val="0"/>
              <w:spacing w:before="79" w:line="234" w:lineRule="auto"/>
              <w:ind w:left="109" w:right="105" w:hanging="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生产经营单位应当对从业人员进行安全生产教</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育和培训，保证从业人员具备必要的安全生产知</w:t>
            </w:r>
          </w:p>
        </w:tc>
        <w:tc>
          <w:tcPr>
            <w:tcW w:w="2112" w:type="dxa"/>
            <w:tcBorders>
              <w:bottom w:val="single" w:color="000000" w:sz="10" w:space="0"/>
            </w:tcBorders>
            <w:vAlign w:val="top"/>
          </w:tcPr>
          <w:p w14:paraId="3C504469">
            <w:pPr>
              <w:kinsoku w:val="0"/>
              <w:autoSpaceDE w:val="0"/>
              <w:autoSpaceDN w:val="0"/>
              <w:adjustRightInd w:val="0"/>
              <w:snapToGrid w:val="0"/>
              <w:spacing w:before="79" w:line="234" w:lineRule="auto"/>
              <w:ind w:left="114" w:right="97" w:firstLine="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p>
        </w:tc>
        <w:tc>
          <w:tcPr>
            <w:tcW w:w="1663" w:type="dxa"/>
            <w:tcBorders>
              <w:bottom w:val="single" w:color="000000" w:sz="10" w:space="0"/>
            </w:tcBorders>
            <w:vAlign w:val="top"/>
          </w:tcPr>
          <w:p w14:paraId="426DB2A1">
            <w:pPr>
              <w:kinsoku w:val="0"/>
              <w:autoSpaceDE w:val="0"/>
              <w:autoSpaceDN w:val="0"/>
              <w:adjustRightInd w:val="0"/>
              <w:snapToGrid w:val="0"/>
              <w:spacing w:before="79" w:line="234" w:lineRule="auto"/>
              <w:ind w:left="120" w:right="9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加油员经过站内安</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全、技能培训合格</w:t>
            </w:r>
          </w:p>
        </w:tc>
        <w:tc>
          <w:tcPr>
            <w:tcW w:w="721" w:type="dxa"/>
            <w:gridSpan w:val="2"/>
            <w:tcBorders>
              <w:bottom w:val="single" w:color="000000" w:sz="10" w:space="0"/>
              <w:right w:val="single" w:color="000000" w:sz="10" w:space="0"/>
            </w:tcBorders>
            <w:vAlign w:val="top"/>
          </w:tcPr>
          <w:p w14:paraId="552784F4">
            <w:pPr>
              <w:kinsoku w:val="0"/>
              <w:autoSpaceDE w:val="0"/>
              <w:autoSpaceDN w:val="0"/>
              <w:adjustRightInd w:val="0"/>
              <w:snapToGrid w:val="0"/>
              <w:spacing w:before="20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8BF56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1" w:hRule="atLeast"/>
        </w:trPr>
        <w:tc>
          <w:tcPr>
            <w:tcW w:w="741" w:type="dxa"/>
            <w:tcBorders>
              <w:top w:val="single" w:color="000000" w:sz="10" w:space="0"/>
              <w:left w:val="single" w:color="000000" w:sz="10" w:space="0"/>
            </w:tcBorders>
            <w:vAlign w:val="top"/>
          </w:tcPr>
          <w:p w14:paraId="72FF089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3964" w:type="dxa"/>
            <w:tcBorders>
              <w:top w:val="single" w:color="000000" w:sz="10" w:space="0"/>
            </w:tcBorders>
            <w:vAlign w:val="top"/>
          </w:tcPr>
          <w:p w14:paraId="63DD9CE3">
            <w:pPr>
              <w:kinsoku w:val="0"/>
              <w:autoSpaceDE w:val="0"/>
              <w:autoSpaceDN w:val="0"/>
              <w:adjustRightInd w:val="0"/>
              <w:snapToGrid w:val="0"/>
              <w:spacing w:before="40" w:line="261" w:lineRule="auto"/>
              <w:ind w:left="101" w:right="105"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识，熟悉有关的安全生产规章制度和安全操作规</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程，掌握本岗位的安全操作技能，了解事故应急</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处理措施，知悉自身在安全生产方面的权利和义</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务。未经安全生产教育和培训合格的从业人员，</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不得上岗作业。</w:t>
            </w:r>
          </w:p>
          <w:p w14:paraId="2454EB6F">
            <w:pPr>
              <w:kinsoku w:val="0"/>
              <w:autoSpaceDE w:val="0"/>
              <w:autoSpaceDN w:val="0"/>
              <w:adjustRightInd w:val="0"/>
              <w:snapToGrid w:val="0"/>
              <w:spacing w:before="24" w:line="262"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生产经营单位使用被派遣劳动者的，应当将被派</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遣劳动者纳入本单位从业人员统一管理，对被派</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遣劳动者进行岗位安全操作规程和安全操作技</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能的教育和培训。劳务派遣单位应当对被派遣劳</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动者进行必要的安全生产教育和培训。</w:t>
            </w:r>
          </w:p>
          <w:p w14:paraId="4E951361">
            <w:pPr>
              <w:kinsoku w:val="0"/>
              <w:autoSpaceDE w:val="0"/>
              <w:autoSpaceDN w:val="0"/>
              <w:adjustRightInd w:val="0"/>
              <w:snapToGrid w:val="0"/>
              <w:spacing w:before="25" w:line="261" w:lineRule="auto"/>
              <w:ind w:left="103" w:right="10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生产经营单位接收中等职业学校、高等学校学生</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实习的，应当对实习学生进行相应的安全生产教</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育和培训，提供必要的劳动防护用品。学校应当</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协助生产经营单位对实习学生进行安全生产教</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育和培训。</w:t>
            </w:r>
          </w:p>
          <w:p w14:paraId="0A8152F9">
            <w:pPr>
              <w:kinsoku w:val="0"/>
              <w:autoSpaceDE w:val="0"/>
              <w:autoSpaceDN w:val="0"/>
              <w:adjustRightInd w:val="0"/>
              <w:snapToGrid w:val="0"/>
              <w:spacing w:before="28" w:line="243" w:lineRule="auto"/>
              <w:ind w:left="104" w:right="4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生产经营单位应当建立安全生产教育和培训档</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案，如实记录安全生产教育和培训的时间、内容、</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参加人员以及考核结果等情况。</w:t>
            </w:r>
          </w:p>
        </w:tc>
        <w:tc>
          <w:tcPr>
            <w:tcW w:w="2112" w:type="dxa"/>
            <w:tcBorders>
              <w:top w:val="single" w:color="000000" w:sz="10" w:space="0"/>
            </w:tcBorders>
            <w:vAlign w:val="top"/>
          </w:tcPr>
          <w:p w14:paraId="5D4C6051">
            <w:pPr>
              <w:kinsoku w:val="0"/>
              <w:autoSpaceDE w:val="0"/>
              <w:autoSpaceDN w:val="0"/>
              <w:adjustRightInd w:val="0"/>
              <w:snapToGrid w:val="0"/>
              <w:spacing w:before="41" w:line="252" w:lineRule="auto"/>
              <w:ind w:left="117" w:right="99" w:firstLine="1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国主席令〔</w:t>
            </w:r>
            <w:r>
              <w:rPr>
                <w:rFonts w:ascii="Times New Roman" w:hAnsi="Times New Roman" w:eastAsia="Times New Roman" w:cs="Times New Roman"/>
                <w:snapToGrid w:val="0"/>
                <w:color w:val="000000"/>
                <w:spacing w:val="1"/>
                <w:kern w:val="0"/>
                <w:sz w:val="18"/>
                <w:szCs w:val="18"/>
                <w:lang w:val="en-US" w:eastAsia="en-US" w:bidi="ar-SA"/>
              </w:rPr>
              <w:t>2021</w:t>
            </w:r>
            <w:r>
              <w:rPr>
                <w:rFonts w:ascii="宋体" w:hAnsi="宋体" w:eastAsia="宋体" w:cs="宋体"/>
                <w:snapToGrid w:val="0"/>
                <w:color w:val="000000"/>
                <w:spacing w:val="1"/>
                <w:kern w:val="0"/>
                <w:sz w:val="18"/>
                <w:szCs w:val="18"/>
                <w:lang w:val="en-US" w:eastAsia="en-US" w:bidi="ar-SA"/>
              </w:rPr>
              <w:t>〕第</w:t>
            </w:r>
            <w:r>
              <w:rPr>
                <w:rFonts w:ascii="宋体" w:hAnsi="宋体" w:eastAsia="宋体" w:cs="宋体"/>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号）第二十八条</w:t>
            </w:r>
          </w:p>
        </w:tc>
        <w:tc>
          <w:tcPr>
            <w:tcW w:w="1663" w:type="dxa"/>
            <w:tcBorders>
              <w:top w:val="single" w:color="000000" w:sz="10" w:space="0"/>
            </w:tcBorders>
            <w:vAlign w:val="top"/>
          </w:tcPr>
          <w:p w14:paraId="5BFD8735">
            <w:pPr>
              <w:kinsoku w:val="0"/>
              <w:autoSpaceDE w:val="0"/>
              <w:autoSpaceDN w:val="0"/>
              <w:adjustRightInd w:val="0"/>
              <w:snapToGrid w:val="0"/>
              <w:spacing w:before="44" w:line="263" w:lineRule="auto"/>
              <w:ind w:left="121" w:right="9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后，能够熟练掌握</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安全规章制度和本</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岗位的安全操作技</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能，了解事故应急</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处理措施，知悉自</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身在安全生产方面</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的权利和义务。具</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备本岗位的履职能</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力。</w:t>
            </w:r>
          </w:p>
        </w:tc>
        <w:tc>
          <w:tcPr>
            <w:tcW w:w="721" w:type="dxa"/>
            <w:gridSpan w:val="2"/>
            <w:tcBorders>
              <w:top w:val="single" w:color="000000" w:sz="10" w:space="0"/>
              <w:right w:val="single" w:color="000000" w:sz="10" w:space="0"/>
            </w:tcBorders>
            <w:vAlign w:val="top"/>
          </w:tcPr>
          <w:p w14:paraId="3B0B57A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79C686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17" w:hRule="atLeast"/>
        </w:trPr>
        <w:tc>
          <w:tcPr>
            <w:tcW w:w="741" w:type="dxa"/>
            <w:tcBorders>
              <w:left w:val="single" w:color="000000" w:sz="10" w:space="0"/>
            </w:tcBorders>
            <w:vAlign w:val="top"/>
          </w:tcPr>
          <w:p w14:paraId="14C8A40C">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626DE5D5">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0038C621">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4B472CD9">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28B6C03C">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097F7C23">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2086961B">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34131A27">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043B17EC">
            <w:pPr>
              <w:widowControl/>
              <w:kinsoku w:val="0"/>
              <w:autoSpaceDE w:val="0"/>
              <w:autoSpaceDN w:val="0"/>
              <w:adjustRightInd w:val="0"/>
              <w:snapToGrid w:val="0"/>
              <w:spacing w:before="52"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3.8</w:t>
            </w:r>
          </w:p>
        </w:tc>
        <w:tc>
          <w:tcPr>
            <w:tcW w:w="3964" w:type="dxa"/>
            <w:vAlign w:val="top"/>
          </w:tcPr>
          <w:p w14:paraId="612D92C9">
            <w:pPr>
              <w:kinsoku w:val="0"/>
              <w:autoSpaceDE w:val="0"/>
              <w:autoSpaceDN w:val="0"/>
              <w:adjustRightInd w:val="0"/>
              <w:snapToGrid w:val="0"/>
              <w:spacing w:before="65" w:line="260" w:lineRule="auto"/>
              <w:ind w:left="102" w:right="105" w:firstLine="14"/>
              <w:jc w:val="both"/>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 xml:space="preserve">1.  </w:t>
            </w:r>
            <w:r>
              <w:rPr>
                <w:rFonts w:ascii="宋体" w:hAnsi="宋体" w:eastAsia="宋体" w:cs="宋体"/>
                <w:snapToGrid w:val="0"/>
                <w:color w:val="000000"/>
                <w:spacing w:val="-4"/>
                <w:kern w:val="0"/>
                <w:sz w:val="18"/>
                <w:szCs w:val="18"/>
                <w:lang w:val="en-US" w:eastAsia="en-US" w:bidi="ar-SA"/>
              </w:rPr>
              <w:t>矿山、金属冶炼、建筑施工、运输单位和危险</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物品的生产、经营、储存、装卸单位，应当设置</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安全生产管理机构或者配备专职安全生产管理</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人员。</w:t>
            </w:r>
          </w:p>
          <w:p w14:paraId="5FF6BD6D">
            <w:pPr>
              <w:kinsoku w:val="0"/>
              <w:autoSpaceDE w:val="0"/>
              <w:autoSpaceDN w:val="0"/>
              <w:adjustRightInd w:val="0"/>
              <w:snapToGrid w:val="0"/>
              <w:spacing w:before="25" w:line="261" w:lineRule="auto"/>
              <w:ind w:left="103"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前款规定以外的其他生产经营单位，从业人员超</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过一百人的，应当设置安全生产管理机构或者配</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备专职安全生产管理人员；从业人员在一百人以</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下的，应当配备专职或者兼职的安全生产管理人</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员。</w:t>
            </w:r>
          </w:p>
          <w:p w14:paraId="0F3B733E">
            <w:pPr>
              <w:kinsoku w:val="0"/>
              <w:autoSpaceDE w:val="0"/>
              <w:autoSpaceDN w:val="0"/>
              <w:adjustRightInd w:val="0"/>
              <w:snapToGrid w:val="0"/>
              <w:spacing w:before="26" w:line="255" w:lineRule="auto"/>
              <w:ind w:left="102" w:right="105" w:hanging="3"/>
              <w:jc w:val="both"/>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kern w:val="0"/>
                <w:sz w:val="18"/>
                <w:szCs w:val="18"/>
                <w:lang w:val="en-US" w:eastAsia="en-US" w:bidi="ar-SA"/>
              </w:rPr>
              <w:t>2.</w:t>
            </w:r>
            <w:r>
              <w:rPr>
                <w:rFonts w:ascii="宋体" w:hAnsi="宋体" w:eastAsia="宋体" w:cs="宋体"/>
                <w:snapToGrid w:val="0"/>
                <w:color w:val="000000"/>
                <w:kern w:val="0"/>
                <w:sz w:val="18"/>
                <w:szCs w:val="18"/>
                <w:lang w:val="en-US" w:eastAsia="en-US" w:bidi="ar-SA"/>
              </w:rPr>
              <w:t>专职安全生产管理人员应不少于企业员工总数</w:t>
            </w:r>
            <w:r>
              <w:rPr>
                <w:rFonts w:ascii="宋体" w:hAnsi="宋体" w:eastAsia="宋体" w:cs="宋体"/>
                <w:snapToGrid w:val="0"/>
                <w:color w:val="000000"/>
                <w:spacing w:val="18"/>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的</w:t>
            </w:r>
            <w:r>
              <w:rPr>
                <w:rFonts w:ascii="宋体" w:hAnsi="宋体" w:eastAsia="宋体" w:cs="宋体"/>
                <w:snapToGrid w:val="0"/>
                <w:color w:val="000000"/>
                <w:spacing w:val="-40"/>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2%</w:t>
            </w:r>
            <w:r>
              <w:rPr>
                <w:rFonts w:ascii="宋体" w:hAnsi="宋体" w:eastAsia="宋体" w:cs="宋体"/>
                <w:snapToGrid w:val="0"/>
                <w:color w:val="000000"/>
                <w:spacing w:val="-4"/>
                <w:kern w:val="0"/>
                <w:sz w:val="18"/>
                <w:szCs w:val="18"/>
                <w:lang w:val="en-US" w:eastAsia="en-US" w:bidi="ar-SA"/>
              </w:rPr>
              <w:t>（不足</w:t>
            </w:r>
            <w:r>
              <w:rPr>
                <w:rFonts w:ascii="宋体" w:hAnsi="宋体" w:eastAsia="宋体" w:cs="宋体"/>
                <w:snapToGrid w:val="0"/>
                <w:color w:val="000000"/>
                <w:spacing w:val="-36"/>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 xml:space="preserve">50 </w:t>
            </w:r>
            <w:r>
              <w:rPr>
                <w:rFonts w:ascii="宋体" w:hAnsi="宋体" w:eastAsia="宋体" w:cs="宋体"/>
                <w:snapToGrid w:val="0"/>
                <w:color w:val="000000"/>
                <w:spacing w:val="-4"/>
                <w:kern w:val="0"/>
                <w:sz w:val="18"/>
                <w:szCs w:val="18"/>
                <w:lang w:val="en-US" w:eastAsia="en-US" w:bidi="ar-SA"/>
              </w:rPr>
              <w:t>人的企业至少配备</w:t>
            </w:r>
            <w:r>
              <w:rPr>
                <w:rFonts w:ascii="宋体" w:hAnsi="宋体" w:eastAsia="宋体" w:cs="宋体"/>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 xml:space="preserve">1  </w:t>
            </w:r>
            <w:r>
              <w:rPr>
                <w:rFonts w:ascii="宋体" w:hAnsi="宋体" w:eastAsia="宋体" w:cs="宋体"/>
                <w:snapToGrid w:val="0"/>
                <w:color w:val="000000"/>
                <w:spacing w:val="-4"/>
                <w:kern w:val="0"/>
                <w:sz w:val="18"/>
                <w:szCs w:val="18"/>
                <w:lang w:val="en-US" w:eastAsia="en-US" w:bidi="ar-SA"/>
              </w:rPr>
              <w:t>人</w:t>
            </w:r>
            <w:r>
              <w:rPr>
                <w:rFonts w:ascii="宋体" w:hAnsi="宋体" w:eastAsia="宋体" w:cs="宋体"/>
                <w:snapToGrid w:val="0"/>
                <w:color w:val="000000"/>
                <w:spacing w:val="-17"/>
                <w:kern w:val="0"/>
                <w:sz w:val="18"/>
                <w:szCs w:val="18"/>
                <w:lang w:val="en-US" w:eastAsia="en-US" w:bidi="ar-SA"/>
              </w:rPr>
              <w:t>），</w:t>
            </w:r>
            <w:r>
              <w:rPr>
                <w:rFonts w:ascii="宋体" w:hAnsi="宋体" w:eastAsia="宋体" w:cs="宋体"/>
                <w:snapToGrid w:val="0"/>
                <w:color w:val="000000"/>
                <w:spacing w:val="-4"/>
                <w:kern w:val="0"/>
                <w:sz w:val="18"/>
                <w:szCs w:val="18"/>
                <w:lang w:val="en-US" w:eastAsia="en-US" w:bidi="ar-SA"/>
              </w:rPr>
              <w:t>要具</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备化工或安全管理相关专业中专以上学历，有从</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事化工生产相关工作</w:t>
            </w:r>
            <w:r>
              <w:rPr>
                <w:rFonts w:ascii="宋体" w:hAnsi="宋体" w:eastAsia="宋体" w:cs="宋体"/>
                <w:snapToGrid w:val="0"/>
                <w:color w:val="000000"/>
                <w:spacing w:val="-35"/>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2  </w:t>
            </w:r>
            <w:r>
              <w:rPr>
                <w:rFonts w:ascii="宋体" w:hAnsi="宋体" w:eastAsia="宋体" w:cs="宋体"/>
                <w:snapToGrid w:val="0"/>
                <w:color w:val="000000"/>
                <w:spacing w:val="-1"/>
                <w:kern w:val="0"/>
                <w:sz w:val="18"/>
                <w:szCs w:val="18"/>
                <w:lang w:val="en-US" w:eastAsia="en-US" w:bidi="ar-SA"/>
              </w:rPr>
              <w:t>年以上经历；</w:t>
            </w:r>
          </w:p>
          <w:p w14:paraId="55473FFA">
            <w:pPr>
              <w:kinsoku w:val="0"/>
              <w:autoSpaceDE w:val="0"/>
              <w:autoSpaceDN w:val="0"/>
              <w:adjustRightInd w:val="0"/>
              <w:snapToGrid w:val="0"/>
              <w:spacing w:before="45" w:line="247" w:lineRule="auto"/>
              <w:ind w:left="101" w:right="105" w:firstLine="1"/>
              <w:jc w:val="both"/>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3.</w:t>
            </w:r>
            <w:r>
              <w:rPr>
                <w:rFonts w:ascii="宋体" w:hAnsi="宋体" w:eastAsia="宋体" w:cs="宋体"/>
                <w:snapToGrid w:val="0"/>
                <w:color w:val="000000"/>
                <w:spacing w:val="-2"/>
                <w:kern w:val="0"/>
                <w:sz w:val="18"/>
                <w:szCs w:val="18"/>
                <w:lang w:val="en-US" w:eastAsia="en-US" w:bidi="ar-SA"/>
              </w:rPr>
              <w:t>从业人员</w:t>
            </w:r>
            <w:r>
              <w:rPr>
                <w:rFonts w:ascii="宋体" w:hAnsi="宋体" w:eastAsia="宋体" w:cs="宋体"/>
                <w:snapToGrid w:val="0"/>
                <w:color w:val="000000"/>
                <w:spacing w:val="-25"/>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 xml:space="preserve">300  </w:t>
            </w:r>
            <w:r>
              <w:rPr>
                <w:rFonts w:ascii="宋体" w:hAnsi="宋体" w:eastAsia="宋体" w:cs="宋体"/>
                <w:snapToGrid w:val="0"/>
                <w:color w:val="000000"/>
                <w:spacing w:val="-2"/>
                <w:kern w:val="0"/>
                <w:sz w:val="18"/>
                <w:szCs w:val="18"/>
                <w:lang w:val="en-US" w:eastAsia="en-US" w:bidi="ar-SA"/>
              </w:rPr>
              <w:t>人以上的企业，应当按照不少于</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安全生产管理人员</w:t>
            </w:r>
            <w:r>
              <w:rPr>
                <w:rFonts w:ascii="宋体" w:hAnsi="宋体" w:eastAsia="宋体" w:cs="宋体"/>
                <w:snapToGrid w:val="0"/>
                <w:color w:val="000000"/>
                <w:spacing w:val="-14"/>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15%</w:t>
            </w:r>
            <w:r>
              <w:rPr>
                <w:rFonts w:ascii="宋体" w:hAnsi="宋体" w:eastAsia="宋体" w:cs="宋体"/>
                <w:snapToGrid w:val="0"/>
                <w:color w:val="000000"/>
                <w:spacing w:val="5"/>
                <w:kern w:val="0"/>
                <w:sz w:val="18"/>
                <w:szCs w:val="18"/>
                <w:lang w:val="en-US" w:eastAsia="en-US" w:bidi="ar-SA"/>
              </w:rPr>
              <w:t>的比例配备注册安全工</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程师；安全生产管理人员在</w:t>
            </w:r>
            <w:r>
              <w:rPr>
                <w:rFonts w:ascii="宋体" w:hAnsi="宋体" w:eastAsia="宋体" w:cs="宋体"/>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 xml:space="preserve">7  </w:t>
            </w:r>
            <w:r>
              <w:rPr>
                <w:rFonts w:ascii="宋体" w:hAnsi="宋体" w:eastAsia="宋体" w:cs="宋体"/>
                <w:snapToGrid w:val="0"/>
                <w:color w:val="000000"/>
                <w:spacing w:val="-4"/>
                <w:kern w:val="0"/>
                <w:sz w:val="18"/>
                <w:szCs w:val="18"/>
                <w:lang w:val="en-US" w:eastAsia="en-US" w:bidi="ar-SA"/>
              </w:rPr>
              <w:t>人以下的，至少配</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备</w:t>
            </w:r>
            <w:r>
              <w:rPr>
                <w:rFonts w:ascii="宋体" w:hAnsi="宋体" w:eastAsia="宋体" w:cs="宋体"/>
                <w:snapToGrid w:val="0"/>
                <w:color w:val="000000"/>
                <w:spacing w:val="-13"/>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 xml:space="preserve">1  </w:t>
            </w:r>
            <w:r>
              <w:rPr>
                <w:rFonts w:ascii="宋体" w:hAnsi="宋体" w:eastAsia="宋体" w:cs="宋体"/>
                <w:snapToGrid w:val="0"/>
                <w:color w:val="000000"/>
                <w:spacing w:val="-3"/>
                <w:kern w:val="0"/>
                <w:sz w:val="18"/>
                <w:szCs w:val="18"/>
                <w:lang w:val="en-US" w:eastAsia="en-US" w:bidi="ar-SA"/>
              </w:rPr>
              <w:t>名注册安全工程师。</w:t>
            </w:r>
          </w:p>
        </w:tc>
        <w:tc>
          <w:tcPr>
            <w:tcW w:w="2112" w:type="dxa"/>
            <w:vAlign w:val="top"/>
          </w:tcPr>
          <w:p w14:paraId="3A10C1AB">
            <w:pPr>
              <w:widowControl/>
              <w:kinsoku w:val="0"/>
              <w:autoSpaceDE w:val="0"/>
              <w:autoSpaceDN w:val="0"/>
              <w:adjustRightInd w:val="0"/>
              <w:snapToGrid w:val="0"/>
              <w:spacing w:line="391" w:lineRule="auto"/>
              <w:jc w:val="left"/>
              <w:textAlignment w:val="baseline"/>
              <w:rPr>
                <w:rFonts w:ascii="Arial" w:hAnsi="Arial" w:eastAsia="Arial" w:cs="Arial"/>
                <w:snapToGrid w:val="0"/>
                <w:color w:val="000000"/>
                <w:kern w:val="0"/>
                <w:sz w:val="21"/>
                <w:lang w:eastAsia="en-US"/>
              </w:rPr>
            </w:pPr>
          </w:p>
          <w:p w14:paraId="41890056">
            <w:pPr>
              <w:kinsoku w:val="0"/>
              <w:autoSpaceDE w:val="0"/>
              <w:autoSpaceDN w:val="0"/>
              <w:adjustRightInd w:val="0"/>
              <w:snapToGrid w:val="0"/>
              <w:spacing w:before="59" w:line="260"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号）第二十四条</w:t>
            </w:r>
          </w:p>
          <w:p w14:paraId="402D9B4C">
            <w:pPr>
              <w:kinsoku w:val="0"/>
              <w:autoSpaceDE w:val="0"/>
              <w:autoSpaceDN w:val="0"/>
              <w:adjustRightInd w:val="0"/>
              <w:snapToGrid w:val="0"/>
              <w:spacing w:before="25" w:line="263" w:lineRule="auto"/>
              <w:ind w:left="113" w:right="25" w:firstLine="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《国家安全监管总局关</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于危险化学品企业贯彻</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落实国务院关于进一步</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加强企业安全生产工作</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的通知的实施意见》（安</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监总管三〔</w:t>
            </w:r>
            <w:r>
              <w:rPr>
                <w:rFonts w:ascii="Times New Roman" w:hAnsi="Times New Roman" w:eastAsia="Times New Roman" w:cs="Times New Roman"/>
                <w:snapToGrid w:val="0"/>
                <w:color w:val="000000"/>
                <w:spacing w:val="-14"/>
                <w:kern w:val="0"/>
                <w:sz w:val="18"/>
                <w:szCs w:val="18"/>
                <w:lang w:val="en-US" w:eastAsia="en-US" w:bidi="ar-SA"/>
              </w:rPr>
              <w:t>2010</w:t>
            </w:r>
            <w:r>
              <w:rPr>
                <w:rFonts w:ascii="宋体" w:hAnsi="宋体" w:eastAsia="宋体" w:cs="宋体"/>
                <w:snapToGrid w:val="0"/>
                <w:color w:val="000000"/>
                <w:spacing w:val="-14"/>
                <w:kern w:val="0"/>
                <w:sz w:val="18"/>
                <w:szCs w:val="18"/>
                <w:lang w:val="en-US" w:eastAsia="en-US" w:bidi="ar-SA"/>
              </w:rPr>
              <w:t>〕</w:t>
            </w:r>
            <w:r>
              <w:rPr>
                <w:rFonts w:ascii="Times New Roman" w:hAnsi="Times New Roman" w:eastAsia="Times New Roman" w:cs="Times New Roman"/>
                <w:snapToGrid w:val="0"/>
                <w:color w:val="000000"/>
                <w:spacing w:val="-14"/>
                <w:kern w:val="0"/>
                <w:sz w:val="18"/>
                <w:szCs w:val="18"/>
                <w:lang w:val="en-US" w:eastAsia="en-US" w:bidi="ar-SA"/>
              </w:rPr>
              <w:t>186</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号）</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第一章第三条</w:t>
            </w:r>
          </w:p>
          <w:p w14:paraId="5A6D2E14">
            <w:pPr>
              <w:kinsoku w:val="0"/>
              <w:autoSpaceDE w:val="0"/>
              <w:autoSpaceDN w:val="0"/>
              <w:adjustRightInd w:val="0"/>
              <w:snapToGrid w:val="0"/>
              <w:spacing w:before="25" w:line="258" w:lineRule="auto"/>
              <w:ind w:left="113" w:right="97" w:firstLine="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《注册安全工程师管理</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规定》（国家安全监管总</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局令第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11</w:t>
            </w:r>
            <w:r>
              <w:rPr>
                <w:rFonts w:ascii="Times New Roman" w:hAnsi="Times New Roman" w:eastAsia="Times New Roman" w:cs="Times New Roman"/>
                <w:snapToGrid w:val="0"/>
                <w:color w:val="000000"/>
                <w:spacing w:val="11"/>
                <w:w w:val="10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号）第六条</w:t>
            </w:r>
          </w:p>
        </w:tc>
        <w:tc>
          <w:tcPr>
            <w:tcW w:w="1663" w:type="dxa"/>
            <w:vAlign w:val="top"/>
          </w:tcPr>
          <w:p w14:paraId="6B8E6DC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4BF1821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5DD9FF1F">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042F51CD">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4F8232CB">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7E373454">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2EB4BE06">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5CD07BEB">
            <w:pPr>
              <w:kinsoku w:val="0"/>
              <w:autoSpaceDE w:val="0"/>
              <w:autoSpaceDN w:val="0"/>
              <w:adjustRightInd w:val="0"/>
              <w:snapToGrid w:val="0"/>
              <w:spacing w:before="59" w:line="260"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该加油站配备了专</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职安全生产管理人 </w:t>
            </w:r>
            <w:r>
              <w:rPr>
                <w:rFonts w:ascii="宋体" w:hAnsi="宋体" w:eastAsia="宋体" w:cs="宋体"/>
                <w:snapToGrid w:val="0"/>
                <w:color w:val="000000"/>
                <w:spacing w:val="-4"/>
                <w:kern w:val="0"/>
                <w:sz w:val="18"/>
                <w:szCs w:val="18"/>
                <w:lang w:val="en-US" w:eastAsia="en-US" w:bidi="ar-SA"/>
              </w:rPr>
              <w:t>员</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w:t>
            </w:r>
            <w:r>
              <w:rPr>
                <w:rFonts w:ascii="Times New Roman" w:hAnsi="Times New Roman" w:eastAsia="Times New Roman" w:cs="Times New Roman"/>
                <w:snapToGrid w:val="0"/>
                <w:color w:val="000000"/>
                <w:spacing w:val="11"/>
                <w:w w:val="10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名，满足有关</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法规要求。</w:t>
            </w:r>
          </w:p>
        </w:tc>
        <w:tc>
          <w:tcPr>
            <w:tcW w:w="721" w:type="dxa"/>
            <w:gridSpan w:val="2"/>
            <w:tcBorders>
              <w:right w:val="single" w:color="000000" w:sz="10" w:space="0"/>
            </w:tcBorders>
            <w:vAlign w:val="top"/>
          </w:tcPr>
          <w:p w14:paraId="525A4BC0">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02E79219">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65E2E793">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4D5B2CB3">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0BE74323">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1212F046">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42CEB4E1">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615BBA6F">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2225D801">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F1473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69AF8B7D">
            <w:pPr>
              <w:widowControl/>
              <w:kinsoku w:val="0"/>
              <w:autoSpaceDE w:val="0"/>
              <w:autoSpaceDN w:val="0"/>
              <w:adjustRightInd w:val="0"/>
              <w:snapToGrid w:val="0"/>
              <w:spacing w:line="437" w:lineRule="auto"/>
              <w:jc w:val="left"/>
              <w:textAlignment w:val="baseline"/>
              <w:rPr>
                <w:rFonts w:ascii="Arial" w:hAnsi="Arial" w:eastAsia="Arial" w:cs="Arial"/>
                <w:snapToGrid w:val="0"/>
                <w:color w:val="000000"/>
                <w:kern w:val="0"/>
                <w:sz w:val="21"/>
                <w:lang w:eastAsia="en-US"/>
              </w:rPr>
            </w:pPr>
          </w:p>
          <w:p w14:paraId="0E9D8AFB">
            <w:pPr>
              <w:widowControl/>
              <w:kinsoku w:val="0"/>
              <w:autoSpaceDE w:val="0"/>
              <w:autoSpaceDN w:val="0"/>
              <w:adjustRightInd w:val="0"/>
              <w:snapToGrid w:val="0"/>
              <w:spacing w:before="52" w:line="188" w:lineRule="auto"/>
              <w:ind w:left="24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3.9</w:t>
            </w:r>
          </w:p>
        </w:tc>
        <w:tc>
          <w:tcPr>
            <w:tcW w:w="3964" w:type="dxa"/>
            <w:vAlign w:val="top"/>
          </w:tcPr>
          <w:p w14:paraId="3C588B4D">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7F682C8A">
            <w:pPr>
              <w:kinsoku w:val="0"/>
              <w:autoSpaceDE w:val="0"/>
              <w:autoSpaceDN w:val="0"/>
              <w:adjustRightInd w:val="0"/>
              <w:snapToGrid w:val="0"/>
              <w:spacing w:before="58" w:line="252" w:lineRule="auto"/>
              <w:ind w:left="102" w:right="105" w:firstLine="1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当工艺技术、设备设施等发生改变时，要及时对</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相关岗位操作人员进行有针对性的再培训。</w:t>
            </w:r>
          </w:p>
        </w:tc>
        <w:tc>
          <w:tcPr>
            <w:tcW w:w="2112" w:type="dxa"/>
            <w:vAlign w:val="top"/>
          </w:tcPr>
          <w:p w14:paraId="211D8905">
            <w:pPr>
              <w:kinsoku w:val="0"/>
              <w:autoSpaceDE w:val="0"/>
              <w:autoSpaceDN w:val="0"/>
              <w:adjustRightInd w:val="0"/>
              <w:snapToGrid w:val="0"/>
              <w:spacing w:before="73" w:line="246" w:lineRule="auto"/>
              <w:ind w:left="113" w:right="25" w:firstLine="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《关于加强化工过程安</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全管理的指导意见》（安</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监总管三〔</w:t>
            </w:r>
            <w:r>
              <w:rPr>
                <w:rFonts w:ascii="Times New Roman" w:hAnsi="Times New Roman" w:eastAsia="Times New Roman" w:cs="Times New Roman"/>
                <w:snapToGrid w:val="0"/>
                <w:color w:val="000000"/>
                <w:spacing w:val="-7"/>
                <w:kern w:val="0"/>
                <w:sz w:val="18"/>
                <w:szCs w:val="18"/>
                <w:lang w:val="en-US" w:eastAsia="en-US" w:bidi="ar-SA"/>
              </w:rPr>
              <w:t>2013</w:t>
            </w:r>
            <w:r>
              <w:rPr>
                <w:rFonts w:ascii="宋体" w:hAnsi="宋体" w:eastAsia="宋体" w:cs="宋体"/>
                <w:snapToGrid w:val="0"/>
                <w:color w:val="000000"/>
                <w:spacing w:val="-7"/>
                <w:kern w:val="0"/>
                <w:sz w:val="18"/>
                <w:szCs w:val="18"/>
                <w:lang w:val="en-US" w:eastAsia="en-US" w:bidi="ar-SA"/>
              </w:rPr>
              <w:t>〕</w:t>
            </w:r>
            <w:r>
              <w:rPr>
                <w:rFonts w:ascii="Times New Roman" w:hAnsi="Times New Roman" w:eastAsia="Times New Roman" w:cs="Times New Roman"/>
                <w:snapToGrid w:val="0"/>
                <w:color w:val="000000"/>
                <w:spacing w:val="-7"/>
                <w:kern w:val="0"/>
                <w:sz w:val="18"/>
                <w:szCs w:val="18"/>
                <w:lang w:val="en-US" w:eastAsia="en-US" w:bidi="ar-SA"/>
              </w:rPr>
              <w:t xml:space="preserve">88  </w:t>
            </w:r>
            <w:r>
              <w:rPr>
                <w:rFonts w:ascii="宋体" w:hAnsi="宋体" w:eastAsia="宋体" w:cs="宋体"/>
                <w:snapToGrid w:val="0"/>
                <w:color w:val="000000"/>
                <w:spacing w:val="-7"/>
                <w:kern w:val="0"/>
                <w:sz w:val="18"/>
                <w:szCs w:val="18"/>
                <w:lang w:val="en-US" w:eastAsia="en-US" w:bidi="ar-SA"/>
              </w:rPr>
              <w:t>号）</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第十二条</w:t>
            </w:r>
          </w:p>
        </w:tc>
        <w:tc>
          <w:tcPr>
            <w:tcW w:w="1663" w:type="dxa"/>
            <w:vAlign w:val="top"/>
          </w:tcPr>
          <w:p w14:paraId="049EB2A8">
            <w:pPr>
              <w:kinsoku w:val="0"/>
              <w:autoSpaceDE w:val="0"/>
              <w:autoSpaceDN w:val="0"/>
              <w:adjustRightInd w:val="0"/>
              <w:snapToGrid w:val="0"/>
              <w:spacing w:before="201" w:line="257" w:lineRule="auto"/>
              <w:ind w:left="121" w:right="92"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该站当前无工艺技</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术、设备设施等发</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生改变的情况。</w:t>
            </w:r>
          </w:p>
        </w:tc>
        <w:tc>
          <w:tcPr>
            <w:tcW w:w="721" w:type="dxa"/>
            <w:gridSpan w:val="2"/>
            <w:tcBorders>
              <w:right w:val="single" w:color="000000" w:sz="10" w:space="0"/>
            </w:tcBorders>
            <w:vAlign w:val="top"/>
          </w:tcPr>
          <w:p w14:paraId="2339BCBE">
            <w:pPr>
              <w:widowControl/>
              <w:kinsoku w:val="0"/>
              <w:autoSpaceDE w:val="0"/>
              <w:autoSpaceDN w:val="0"/>
              <w:adjustRightInd w:val="0"/>
              <w:snapToGrid w:val="0"/>
              <w:spacing w:line="400" w:lineRule="auto"/>
              <w:jc w:val="left"/>
              <w:textAlignment w:val="baseline"/>
              <w:rPr>
                <w:rFonts w:ascii="Arial" w:hAnsi="Arial" w:eastAsia="Arial" w:cs="Arial"/>
                <w:snapToGrid w:val="0"/>
                <w:color w:val="000000"/>
                <w:kern w:val="0"/>
                <w:sz w:val="21"/>
                <w:lang w:eastAsia="en-US"/>
              </w:rPr>
            </w:pPr>
          </w:p>
          <w:p w14:paraId="45F5F04A">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EE97D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7DCEDF26">
            <w:pPr>
              <w:widowControl/>
              <w:kinsoku w:val="0"/>
              <w:autoSpaceDE w:val="0"/>
              <w:autoSpaceDN w:val="0"/>
              <w:adjustRightInd w:val="0"/>
              <w:snapToGrid w:val="0"/>
              <w:spacing w:line="438" w:lineRule="auto"/>
              <w:jc w:val="left"/>
              <w:textAlignment w:val="baseline"/>
              <w:rPr>
                <w:rFonts w:ascii="Arial" w:hAnsi="Arial" w:eastAsia="Arial" w:cs="Arial"/>
                <w:snapToGrid w:val="0"/>
                <w:color w:val="000000"/>
                <w:kern w:val="0"/>
                <w:sz w:val="21"/>
                <w:lang w:eastAsia="en-US"/>
              </w:rPr>
            </w:pPr>
          </w:p>
          <w:p w14:paraId="057ED6F1">
            <w:pPr>
              <w:widowControl/>
              <w:kinsoku w:val="0"/>
              <w:autoSpaceDE w:val="0"/>
              <w:autoSpaceDN w:val="0"/>
              <w:adjustRightInd w:val="0"/>
              <w:snapToGrid w:val="0"/>
              <w:spacing w:before="52" w:line="188" w:lineRule="auto"/>
              <w:ind w:left="20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3.10</w:t>
            </w:r>
          </w:p>
        </w:tc>
        <w:tc>
          <w:tcPr>
            <w:tcW w:w="3964" w:type="dxa"/>
            <w:vAlign w:val="top"/>
          </w:tcPr>
          <w:p w14:paraId="53D73DD4">
            <w:pPr>
              <w:kinsoku w:val="0"/>
              <w:autoSpaceDE w:val="0"/>
              <w:autoSpaceDN w:val="0"/>
              <w:adjustRightInd w:val="0"/>
              <w:snapToGrid w:val="0"/>
              <w:spacing w:before="73" w:line="246" w:lineRule="auto"/>
              <w:ind w:left="101" w:right="105"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生产经营单位采用新工艺、新技术、新材料或者</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使用新设备，必须了解、掌握其安全技术特性，</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采取有效的安全防护措施，并对从业人员进行专</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门的安全生产教育和培训。</w:t>
            </w:r>
          </w:p>
        </w:tc>
        <w:tc>
          <w:tcPr>
            <w:tcW w:w="2112" w:type="dxa"/>
            <w:vAlign w:val="top"/>
          </w:tcPr>
          <w:p w14:paraId="35928460">
            <w:pPr>
              <w:kinsoku w:val="0"/>
              <w:autoSpaceDE w:val="0"/>
              <w:autoSpaceDN w:val="0"/>
              <w:adjustRightInd w:val="0"/>
              <w:snapToGrid w:val="0"/>
              <w:spacing w:before="73" w:line="246"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号）第二十九条</w:t>
            </w:r>
          </w:p>
        </w:tc>
        <w:tc>
          <w:tcPr>
            <w:tcW w:w="1663" w:type="dxa"/>
            <w:vAlign w:val="top"/>
          </w:tcPr>
          <w:p w14:paraId="5CE6A9E6">
            <w:pPr>
              <w:kinsoku w:val="0"/>
              <w:autoSpaceDE w:val="0"/>
              <w:autoSpaceDN w:val="0"/>
              <w:adjustRightInd w:val="0"/>
              <w:snapToGrid w:val="0"/>
              <w:spacing w:before="203" w:line="258" w:lineRule="auto"/>
              <w:ind w:left="120" w:right="92"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该站无新工艺、新</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技术、新材料或使</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用新设备的情况。</w:t>
            </w:r>
          </w:p>
        </w:tc>
        <w:tc>
          <w:tcPr>
            <w:tcW w:w="721" w:type="dxa"/>
            <w:gridSpan w:val="2"/>
            <w:tcBorders>
              <w:right w:val="single" w:color="000000" w:sz="10" w:space="0"/>
            </w:tcBorders>
            <w:vAlign w:val="top"/>
          </w:tcPr>
          <w:p w14:paraId="493DF11C">
            <w:pPr>
              <w:widowControl/>
              <w:kinsoku w:val="0"/>
              <w:autoSpaceDE w:val="0"/>
              <w:autoSpaceDN w:val="0"/>
              <w:adjustRightInd w:val="0"/>
              <w:snapToGrid w:val="0"/>
              <w:spacing w:line="403" w:lineRule="auto"/>
              <w:jc w:val="left"/>
              <w:textAlignment w:val="baseline"/>
              <w:rPr>
                <w:rFonts w:ascii="Arial" w:hAnsi="Arial" w:eastAsia="Arial" w:cs="Arial"/>
                <w:snapToGrid w:val="0"/>
                <w:color w:val="000000"/>
                <w:kern w:val="0"/>
                <w:sz w:val="21"/>
                <w:lang w:eastAsia="en-US"/>
              </w:rPr>
            </w:pPr>
          </w:p>
          <w:p w14:paraId="30374EAC">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4C37B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741" w:type="dxa"/>
            <w:tcBorders>
              <w:left w:val="single" w:color="000000" w:sz="10" w:space="0"/>
            </w:tcBorders>
            <w:vAlign w:val="top"/>
          </w:tcPr>
          <w:p w14:paraId="53DBB012">
            <w:pPr>
              <w:widowControl/>
              <w:kinsoku w:val="0"/>
              <w:autoSpaceDE w:val="0"/>
              <w:autoSpaceDN w:val="0"/>
              <w:adjustRightInd w:val="0"/>
              <w:snapToGrid w:val="0"/>
              <w:spacing w:before="104" w:line="173" w:lineRule="auto"/>
              <w:ind w:left="31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4</w:t>
            </w:r>
          </w:p>
        </w:tc>
        <w:tc>
          <w:tcPr>
            <w:tcW w:w="8460" w:type="dxa"/>
            <w:gridSpan w:val="5"/>
            <w:tcBorders>
              <w:right w:val="single" w:color="000000" w:sz="10" w:space="0"/>
            </w:tcBorders>
            <w:vAlign w:val="top"/>
          </w:tcPr>
          <w:p w14:paraId="7ACBF620">
            <w:pPr>
              <w:kinsoku w:val="0"/>
              <w:autoSpaceDE w:val="0"/>
              <w:autoSpaceDN w:val="0"/>
              <w:adjustRightInd w:val="0"/>
              <w:snapToGrid w:val="0"/>
              <w:spacing w:before="76" w:line="182" w:lineRule="auto"/>
              <w:ind w:left="10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安全投入及重大危险源监控</w:t>
            </w:r>
          </w:p>
        </w:tc>
      </w:tr>
      <w:tr w14:paraId="3499EE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6304417D">
            <w:pPr>
              <w:widowControl/>
              <w:kinsoku w:val="0"/>
              <w:autoSpaceDE w:val="0"/>
              <w:autoSpaceDN w:val="0"/>
              <w:adjustRightInd w:val="0"/>
              <w:snapToGrid w:val="0"/>
              <w:spacing w:line="441" w:lineRule="auto"/>
              <w:jc w:val="left"/>
              <w:textAlignment w:val="baseline"/>
              <w:rPr>
                <w:rFonts w:ascii="Arial" w:hAnsi="Arial" w:eastAsia="Arial" w:cs="Arial"/>
                <w:snapToGrid w:val="0"/>
                <w:color w:val="000000"/>
                <w:kern w:val="0"/>
                <w:sz w:val="21"/>
                <w:lang w:eastAsia="en-US"/>
              </w:rPr>
            </w:pPr>
          </w:p>
          <w:p w14:paraId="154D303E">
            <w:pPr>
              <w:widowControl/>
              <w:kinsoku w:val="0"/>
              <w:autoSpaceDE w:val="0"/>
              <w:autoSpaceDN w:val="0"/>
              <w:adjustRightInd w:val="0"/>
              <w:snapToGrid w:val="0"/>
              <w:spacing w:before="52" w:line="188" w:lineRule="auto"/>
              <w:ind w:left="24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1"/>
                <w:kern w:val="0"/>
                <w:sz w:val="18"/>
                <w:szCs w:val="18"/>
                <w:lang w:eastAsia="en-US"/>
              </w:rPr>
              <w:t>1</w:t>
            </w:r>
          </w:p>
        </w:tc>
        <w:tc>
          <w:tcPr>
            <w:tcW w:w="3964" w:type="dxa"/>
            <w:vAlign w:val="top"/>
          </w:tcPr>
          <w:p w14:paraId="37E0FF58">
            <w:pPr>
              <w:kinsoku w:val="0"/>
              <w:autoSpaceDE w:val="0"/>
              <w:autoSpaceDN w:val="0"/>
              <w:adjustRightInd w:val="0"/>
              <w:snapToGrid w:val="0"/>
              <w:spacing w:before="77" w:line="245"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生产经营单位对重大危险源应当登记建档，进行</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定期检测、评估、监控，并制定应急预案，告知</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从业人员和相关人员在紧急情况下应当采取的</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应急措施。</w:t>
            </w:r>
          </w:p>
        </w:tc>
        <w:tc>
          <w:tcPr>
            <w:tcW w:w="2112" w:type="dxa"/>
            <w:vAlign w:val="top"/>
          </w:tcPr>
          <w:p w14:paraId="39E16F8E">
            <w:pPr>
              <w:kinsoku w:val="0"/>
              <w:autoSpaceDE w:val="0"/>
              <w:autoSpaceDN w:val="0"/>
              <w:adjustRightInd w:val="0"/>
              <w:snapToGrid w:val="0"/>
              <w:spacing w:before="77" w:line="245"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号）第四十条</w:t>
            </w:r>
          </w:p>
        </w:tc>
        <w:tc>
          <w:tcPr>
            <w:tcW w:w="1663" w:type="dxa"/>
            <w:vAlign w:val="top"/>
          </w:tcPr>
          <w:p w14:paraId="571C418B">
            <w:pPr>
              <w:kinsoku w:val="0"/>
              <w:autoSpaceDE w:val="0"/>
              <w:autoSpaceDN w:val="0"/>
              <w:adjustRightInd w:val="0"/>
              <w:snapToGrid w:val="0"/>
              <w:spacing w:before="77" w:line="245" w:lineRule="auto"/>
              <w:ind w:left="119" w:right="92"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该站生产单元、储</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存单元均未构成危</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险化学品重大危险</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源。</w:t>
            </w:r>
          </w:p>
        </w:tc>
        <w:tc>
          <w:tcPr>
            <w:tcW w:w="721" w:type="dxa"/>
            <w:gridSpan w:val="2"/>
            <w:tcBorders>
              <w:right w:val="single" w:color="000000" w:sz="10" w:space="0"/>
            </w:tcBorders>
            <w:vAlign w:val="top"/>
          </w:tcPr>
          <w:p w14:paraId="57EE40B4">
            <w:pPr>
              <w:widowControl/>
              <w:kinsoku w:val="0"/>
              <w:autoSpaceDE w:val="0"/>
              <w:autoSpaceDN w:val="0"/>
              <w:adjustRightInd w:val="0"/>
              <w:snapToGrid w:val="0"/>
              <w:spacing w:line="406" w:lineRule="auto"/>
              <w:jc w:val="left"/>
              <w:textAlignment w:val="baseline"/>
              <w:rPr>
                <w:rFonts w:ascii="Arial" w:hAnsi="Arial" w:eastAsia="Arial" w:cs="Arial"/>
                <w:snapToGrid w:val="0"/>
                <w:color w:val="000000"/>
                <w:kern w:val="0"/>
                <w:sz w:val="21"/>
                <w:lang w:eastAsia="en-US"/>
              </w:rPr>
            </w:pPr>
          </w:p>
          <w:p w14:paraId="56859B06">
            <w:pPr>
              <w:kinsoku w:val="0"/>
              <w:autoSpaceDE w:val="0"/>
              <w:autoSpaceDN w:val="0"/>
              <w:adjustRightInd w:val="0"/>
              <w:snapToGrid w:val="0"/>
              <w:spacing w:before="58"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BDD04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5" w:hRule="atLeast"/>
        </w:trPr>
        <w:tc>
          <w:tcPr>
            <w:tcW w:w="741" w:type="dxa"/>
            <w:tcBorders>
              <w:left w:val="single" w:color="000000" w:sz="10" w:space="0"/>
              <w:bottom w:val="single" w:color="000000" w:sz="10" w:space="0"/>
            </w:tcBorders>
            <w:vAlign w:val="top"/>
          </w:tcPr>
          <w:p w14:paraId="13EAAAD4">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73856BCA">
            <w:pPr>
              <w:widowControl/>
              <w:kinsoku w:val="0"/>
              <w:autoSpaceDE w:val="0"/>
              <w:autoSpaceDN w:val="0"/>
              <w:adjustRightInd w:val="0"/>
              <w:snapToGrid w:val="0"/>
              <w:spacing w:line="287" w:lineRule="auto"/>
              <w:jc w:val="left"/>
              <w:textAlignment w:val="baseline"/>
              <w:rPr>
                <w:rFonts w:ascii="Arial" w:hAnsi="Arial" w:eastAsia="Arial" w:cs="Arial"/>
                <w:snapToGrid w:val="0"/>
                <w:color w:val="000000"/>
                <w:kern w:val="0"/>
                <w:sz w:val="21"/>
                <w:lang w:eastAsia="en-US"/>
              </w:rPr>
            </w:pPr>
          </w:p>
          <w:p w14:paraId="42EC46CA">
            <w:pPr>
              <w:widowControl/>
              <w:kinsoku w:val="0"/>
              <w:autoSpaceDE w:val="0"/>
              <w:autoSpaceDN w:val="0"/>
              <w:adjustRightInd w:val="0"/>
              <w:snapToGrid w:val="0"/>
              <w:spacing w:before="52" w:line="188" w:lineRule="auto"/>
              <w:ind w:left="24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4.2</w:t>
            </w:r>
          </w:p>
        </w:tc>
        <w:tc>
          <w:tcPr>
            <w:tcW w:w="3964" w:type="dxa"/>
            <w:tcBorders>
              <w:bottom w:val="single" w:color="000000" w:sz="10" w:space="0"/>
            </w:tcBorders>
            <w:vAlign w:val="top"/>
          </w:tcPr>
          <w:p w14:paraId="5A3FE85C">
            <w:pPr>
              <w:kinsoku w:val="0"/>
              <w:autoSpaceDE w:val="0"/>
              <w:autoSpaceDN w:val="0"/>
              <w:adjustRightInd w:val="0"/>
              <w:snapToGrid w:val="0"/>
              <w:spacing w:before="76" w:line="254" w:lineRule="auto"/>
              <w:ind w:left="102" w:right="10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生产经营单位应当按照国家有关规定将本单位</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重大危险源及有关安全措施、应急措施报有关地</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方人民政府应急管理部门和有关部门备案。有关</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地方人民政府应急管理部门和有关部门应当通</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过相关信息系统实现信息共享。</w:t>
            </w:r>
          </w:p>
        </w:tc>
        <w:tc>
          <w:tcPr>
            <w:tcW w:w="2112" w:type="dxa"/>
            <w:tcBorders>
              <w:bottom w:val="single" w:color="000000" w:sz="10" w:space="0"/>
            </w:tcBorders>
            <w:vAlign w:val="top"/>
          </w:tcPr>
          <w:p w14:paraId="4AA7F425">
            <w:pPr>
              <w:kinsoku w:val="0"/>
              <w:autoSpaceDE w:val="0"/>
              <w:autoSpaceDN w:val="0"/>
              <w:adjustRightInd w:val="0"/>
              <w:snapToGrid w:val="0"/>
              <w:spacing w:before="208" w:line="260"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号）第四十条</w:t>
            </w:r>
          </w:p>
        </w:tc>
        <w:tc>
          <w:tcPr>
            <w:tcW w:w="1663" w:type="dxa"/>
            <w:tcBorders>
              <w:bottom w:val="single" w:color="000000" w:sz="10" w:space="0"/>
            </w:tcBorders>
            <w:vAlign w:val="top"/>
          </w:tcPr>
          <w:p w14:paraId="5A67CA4C">
            <w:pPr>
              <w:kinsoku w:val="0"/>
              <w:autoSpaceDE w:val="0"/>
              <w:autoSpaceDN w:val="0"/>
              <w:adjustRightInd w:val="0"/>
              <w:snapToGrid w:val="0"/>
              <w:spacing w:before="207" w:line="261" w:lineRule="auto"/>
              <w:ind w:left="119" w:right="92"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该站生产单元、储</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存单元均未构成危</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险化学品重大危险</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源。</w:t>
            </w:r>
          </w:p>
        </w:tc>
        <w:tc>
          <w:tcPr>
            <w:tcW w:w="721" w:type="dxa"/>
            <w:gridSpan w:val="2"/>
            <w:tcBorders>
              <w:bottom w:val="single" w:color="000000" w:sz="10" w:space="0"/>
              <w:right w:val="single" w:color="000000" w:sz="10" w:space="0"/>
            </w:tcBorders>
            <w:vAlign w:val="top"/>
          </w:tcPr>
          <w:p w14:paraId="1CD91818">
            <w:pPr>
              <w:widowControl/>
              <w:kinsoku w:val="0"/>
              <w:autoSpaceDE w:val="0"/>
              <w:autoSpaceDN w:val="0"/>
              <w:adjustRightInd w:val="0"/>
              <w:snapToGrid w:val="0"/>
              <w:spacing w:line="267" w:lineRule="auto"/>
              <w:jc w:val="left"/>
              <w:textAlignment w:val="baseline"/>
              <w:rPr>
                <w:rFonts w:ascii="Arial" w:hAnsi="Arial" w:eastAsia="Arial" w:cs="Arial"/>
                <w:snapToGrid w:val="0"/>
                <w:color w:val="000000"/>
                <w:kern w:val="0"/>
                <w:sz w:val="21"/>
                <w:lang w:eastAsia="en-US"/>
              </w:rPr>
            </w:pPr>
          </w:p>
          <w:p w14:paraId="10F943C0">
            <w:pPr>
              <w:widowControl/>
              <w:kinsoku w:val="0"/>
              <w:autoSpaceDE w:val="0"/>
              <w:autoSpaceDN w:val="0"/>
              <w:adjustRightInd w:val="0"/>
              <w:snapToGrid w:val="0"/>
              <w:spacing w:line="268" w:lineRule="auto"/>
              <w:jc w:val="left"/>
              <w:textAlignment w:val="baseline"/>
              <w:rPr>
                <w:rFonts w:ascii="Arial" w:hAnsi="Arial" w:eastAsia="Arial" w:cs="Arial"/>
                <w:snapToGrid w:val="0"/>
                <w:color w:val="000000"/>
                <w:kern w:val="0"/>
                <w:sz w:val="21"/>
                <w:lang w:eastAsia="en-US"/>
              </w:rPr>
            </w:pPr>
          </w:p>
          <w:p w14:paraId="7C03D1F4">
            <w:pPr>
              <w:kinsoku w:val="0"/>
              <w:autoSpaceDE w:val="0"/>
              <w:autoSpaceDN w:val="0"/>
              <w:adjustRightInd w:val="0"/>
              <w:snapToGrid w:val="0"/>
              <w:spacing w:before="59" w:line="220" w:lineRule="auto"/>
              <w:ind w:left="1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57C3E1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8" w:hRule="atLeast"/>
        </w:trPr>
        <w:tc>
          <w:tcPr>
            <w:tcW w:w="741" w:type="dxa"/>
            <w:tcBorders>
              <w:top w:val="single" w:color="000000" w:sz="10" w:space="0"/>
              <w:left w:val="single" w:color="000000" w:sz="10" w:space="0"/>
            </w:tcBorders>
            <w:vAlign w:val="top"/>
          </w:tcPr>
          <w:p w14:paraId="103083B1">
            <w:pPr>
              <w:widowControl/>
              <w:kinsoku w:val="0"/>
              <w:autoSpaceDE w:val="0"/>
              <w:autoSpaceDN w:val="0"/>
              <w:adjustRightInd w:val="0"/>
              <w:snapToGrid w:val="0"/>
              <w:spacing w:line="425" w:lineRule="auto"/>
              <w:jc w:val="left"/>
              <w:textAlignment w:val="baseline"/>
              <w:rPr>
                <w:rFonts w:ascii="Arial" w:hAnsi="Arial" w:eastAsia="Arial" w:cs="Arial"/>
                <w:snapToGrid w:val="0"/>
                <w:color w:val="000000"/>
                <w:kern w:val="0"/>
                <w:sz w:val="21"/>
                <w:lang w:eastAsia="en-US"/>
              </w:rPr>
            </w:pPr>
          </w:p>
          <w:p w14:paraId="38289822">
            <w:pPr>
              <w:widowControl/>
              <w:kinsoku w:val="0"/>
              <w:autoSpaceDE w:val="0"/>
              <w:autoSpaceDN w:val="0"/>
              <w:adjustRightInd w:val="0"/>
              <w:snapToGrid w:val="0"/>
              <w:spacing w:before="51" w:line="188" w:lineRule="auto"/>
              <w:ind w:left="24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4.3</w:t>
            </w:r>
          </w:p>
        </w:tc>
        <w:tc>
          <w:tcPr>
            <w:tcW w:w="3964" w:type="dxa"/>
            <w:tcBorders>
              <w:top w:val="single" w:color="000000" w:sz="10" w:space="0"/>
            </w:tcBorders>
            <w:vAlign w:val="top"/>
          </w:tcPr>
          <w:p w14:paraId="3453866E">
            <w:pPr>
              <w:kinsoku w:val="0"/>
              <w:autoSpaceDE w:val="0"/>
              <w:autoSpaceDN w:val="0"/>
              <w:adjustRightInd w:val="0"/>
              <w:snapToGrid w:val="0"/>
              <w:spacing w:before="190" w:line="258" w:lineRule="auto"/>
              <w:ind w:left="103" w:right="10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生产经营单位应当在有较大危险因素的生产经</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营场所和有关设施、设备上，设置明显的安全警</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示标志。</w:t>
            </w:r>
          </w:p>
        </w:tc>
        <w:tc>
          <w:tcPr>
            <w:tcW w:w="2112" w:type="dxa"/>
            <w:tcBorders>
              <w:top w:val="single" w:color="000000" w:sz="10" w:space="0"/>
            </w:tcBorders>
            <w:vAlign w:val="top"/>
          </w:tcPr>
          <w:p w14:paraId="0098BA25">
            <w:pPr>
              <w:kinsoku w:val="0"/>
              <w:autoSpaceDE w:val="0"/>
              <w:autoSpaceDN w:val="0"/>
              <w:adjustRightInd w:val="0"/>
              <w:snapToGrid w:val="0"/>
              <w:spacing w:before="59" w:line="251"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号）第三十五条</w:t>
            </w:r>
          </w:p>
        </w:tc>
        <w:tc>
          <w:tcPr>
            <w:tcW w:w="1663" w:type="dxa"/>
            <w:tcBorders>
              <w:top w:val="single" w:color="000000" w:sz="10" w:space="0"/>
            </w:tcBorders>
            <w:vAlign w:val="top"/>
          </w:tcPr>
          <w:p w14:paraId="34869091">
            <w:pPr>
              <w:kinsoku w:val="0"/>
              <w:autoSpaceDE w:val="0"/>
              <w:autoSpaceDN w:val="0"/>
              <w:adjustRightInd w:val="0"/>
              <w:snapToGrid w:val="0"/>
              <w:spacing w:before="190" w:line="258" w:lineRule="auto"/>
              <w:ind w:left="122" w:right="91" w:hanging="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储罐区、加油区均</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设置了明显的安全</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警示标志。</w:t>
            </w:r>
          </w:p>
        </w:tc>
        <w:tc>
          <w:tcPr>
            <w:tcW w:w="721" w:type="dxa"/>
            <w:gridSpan w:val="2"/>
            <w:tcBorders>
              <w:top w:val="single" w:color="000000" w:sz="10" w:space="0"/>
              <w:right w:val="single" w:color="000000" w:sz="10" w:space="0"/>
            </w:tcBorders>
            <w:vAlign w:val="top"/>
          </w:tcPr>
          <w:p w14:paraId="02614561">
            <w:pPr>
              <w:widowControl/>
              <w:kinsoku w:val="0"/>
              <w:autoSpaceDE w:val="0"/>
              <w:autoSpaceDN w:val="0"/>
              <w:adjustRightInd w:val="0"/>
              <w:snapToGrid w:val="0"/>
              <w:spacing w:line="387" w:lineRule="auto"/>
              <w:jc w:val="left"/>
              <w:textAlignment w:val="baseline"/>
              <w:rPr>
                <w:rFonts w:ascii="Arial" w:hAnsi="Arial" w:eastAsia="Arial" w:cs="Arial"/>
                <w:snapToGrid w:val="0"/>
                <w:color w:val="000000"/>
                <w:kern w:val="0"/>
                <w:sz w:val="21"/>
                <w:lang w:eastAsia="en-US"/>
              </w:rPr>
            </w:pPr>
          </w:p>
          <w:p w14:paraId="1D0B9546">
            <w:pPr>
              <w:kinsoku w:val="0"/>
              <w:autoSpaceDE w:val="0"/>
              <w:autoSpaceDN w:val="0"/>
              <w:adjustRightInd w:val="0"/>
              <w:snapToGrid w:val="0"/>
              <w:spacing w:before="58" w:line="220" w:lineRule="auto"/>
              <w:ind w:left="19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5BFB8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0" w:hRule="atLeast"/>
        </w:trPr>
        <w:tc>
          <w:tcPr>
            <w:tcW w:w="741" w:type="dxa"/>
            <w:tcBorders>
              <w:left w:val="single" w:color="000000" w:sz="10" w:space="0"/>
            </w:tcBorders>
            <w:vAlign w:val="top"/>
          </w:tcPr>
          <w:p w14:paraId="28209357">
            <w:pPr>
              <w:widowControl/>
              <w:kinsoku w:val="0"/>
              <w:autoSpaceDE w:val="0"/>
              <w:autoSpaceDN w:val="0"/>
              <w:adjustRightInd w:val="0"/>
              <w:snapToGrid w:val="0"/>
              <w:spacing w:line="299" w:lineRule="auto"/>
              <w:jc w:val="left"/>
              <w:textAlignment w:val="baseline"/>
              <w:rPr>
                <w:rFonts w:ascii="Arial" w:hAnsi="Arial" w:eastAsia="Arial" w:cs="Arial"/>
                <w:snapToGrid w:val="0"/>
                <w:color w:val="000000"/>
                <w:kern w:val="0"/>
                <w:sz w:val="21"/>
                <w:lang w:eastAsia="en-US"/>
              </w:rPr>
            </w:pPr>
          </w:p>
          <w:p w14:paraId="18465624">
            <w:pPr>
              <w:widowControl/>
              <w:kinsoku w:val="0"/>
              <w:autoSpaceDE w:val="0"/>
              <w:autoSpaceDN w:val="0"/>
              <w:adjustRightInd w:val="0"/>
              <w:snapToGrid w:val="0"/>
              <w:spacing w:line="299" w:lineRule="auto"/>
              <w:jc w:val="left"/>
              <w:textAlignment w:val="baseline"/>
              <w:rPr>
                <w:rFonts w:ascii="Arial" w:hAnsi="Arial" w:eastAsia="Arial" w:cs="Arial"/>
                <w:snapToGrid w:val="0"/>
                <w:color w:val="000000"/>
                <w:kern w:val="0"/>
                <w:sz w:val="21"/>
                <w:lang w:eastAsia="en-US"/>
              </w:rPr>
            </w:pPr>
          </w:p>
          <w:p w14:paraId="5FB71E3B">
            <w:pPr>
              <w:widowControl/>
              <w:kinsoku w:val="0"/>
              <w:autoSpaceDE w:val="0"/>
              <w:autoSpaceDN w:val="0"/>
              <w:adjustRightInd w:val="0"/>
              <w:snapToGrid w:val="0"/>
              <w:spacing w:line="300" w:lineRule="auto"/>
              <w:jc w:val="left"/>
              <w:textAlignment w:val="baseline"/>
              <w:rPr>
                <w:rFonts w:ascii="Arial" w:hAnsi="Arial" w:eastAsia="Arial" w:cs="Arial"/>
                <w:snapToGrid w:val="0"/>
                <w:color w:val="000000"/>
                <w:kern w:val="0"/>
                <w:sz w:val="21"/>
                <w:lang w:eastAsia="en-US"/>
              </w:rPr>
            </w:pPr>
          </w:p>
          <w:p w14:paraId="24813537">
            <w:pPr>
              <w:widowControl/>
              <w:kinsoku w:val="0"/>
              <w:autoSpaceDE w:val="0"/>
              <w:autoSpaceDN w:val="0"/>
              <w:adjustRightInd w:val="0"/>
              <w:snapToGrid w:val="0"/>
              <w:spacing w:line="300" w:lineRule="auto"/>
              <w:jc w:val="left"/>
              <w:textAlignment w:val="baseline"/>
              <w:rPr>
                <w:rFonts w:ascii="Arial" w:hAnsi="Arial" w:eastAsia="Arial" w:cs="Arial"/>
                <w:snapToGrid w:val="0"/>
                <w:color w:val="000000"/>
                <w:kern w:val="0"/>
                <w:sz w:val="21"/>
                <w:lang w:eastAsia="en-US"/>
              </w:rPr>
            </w:pPr>
          </w:p>
          <w:p w14:paraId="37D32720">
            <w:pPr>
              <w:widowControl/>
              <w:kinsoku w:val="0"/>
              <w:autoSpaceDE w:val="0"/>
              <w:autoSpaceDN w:val="0"/>
              <w:adjustRightInd w:val="0"/>
              <w:snapToGrid w:val="0"/>
              <w:spacing w:before="52" w:line="188" w:lineRule="auto"/>
              <w:ind w:left="24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4.4</w:t>
            </w:r>
          </w:p>
        </w:tc>
        <w:tc>
          <w:tcPr>
            <w:tcW w:w="3964" w:type="dxa"/>
            <w:vAlign w:val="top"/>
          </w:tcPr>
          <w:p w14:paraId="36D45C12">
            <w:pPr>
              <w:kinsoku w:val="0"/>
              <w:autoSpaceDE w:val="0"/>
              <w:autoSpaceDN w:val="0"/>
              <w:adjustRightInd w:val="0"/>
              <w:snapToGrid w:val="0"/>
              <w:spacing w:before="54" w:line="260" w:lineRule="auto"/>
              <w:ind w:left="10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生产经营单位应当具备的安全生产条件所必需的</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资金投入，由生产经营单位的决策机构、主要负责</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人或者个人经营的投资人予以保证，并对由于安全</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生产所必需的资金投入不足导致的后果承担责任。</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有关生产经营单位应当按照规定提取和使用安全</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生产费用，专门用于改善安全生产条件。安全生产</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费用在成本中据实列支。安全生产费用提取、使用</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和监督管理的具体办法由国务院财政部门会同国</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务院应急管理部门征求国务院有关部门意见后制</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定。</w:t>
            </w:r>
          </w:p>
        </w:tc>
        <w:tc>
          <w:tcPr>
            <w:tcW w:w="2112" w:type="dxa"/>
            <w:vAlign w:val="top"/>
          </w:tcPr>
          <w:p w14:paraId="1262B70A">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1017EBBA">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21F107C6">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00E2CD4E">
            <w:pPr>
              <w:kinsoku w:val="0"/>
              <w:autoSpaceDE w:val="0"/>
              <w:autoSpaceDN w:val="0"/>
              <w:adjustRightInd w:val="0"/>
              <w:snapToGrid w:val="0"/>
              <w:spacing w:before="59" w:line="258" w:lineRule="auto"/>
              <w:ind w:left="114" w:firstLine="29"/>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《中华人民共和国安全生</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产法》（中华人民共和国</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主席令〔</w:t>
            </w:r>
            <w:r>
              <w:rPr>
                <w:rFonts w:ascii="Times New Roman" w:hAnsi="Times New Roman" w:eastAsia="Times New Roman" w:cs="Times New Roman"/>
                <w:snapToGrid w:val="0"/>
                <w:color w:val="000000"/>
                <w:spacing w:val="-7"/>
                <w:kern w:val="0"/>
                <w:sz w:val="18"/>
                <w:szCs w:val="18"/>
                <w:lang w:val="en-US" w:eastAsia="en-US" w:bidi="ar-SA"/>
              </w:rPr>
              <w:t>2021</w:t>
            </w:r>
            <w:r>
              <w:rPr>
                <w:rFonts w:ascii="宋体" w:hAnsi="宋体" w:eastAsia="宋体" w:cs="宋体"/>
                <w:snapToGrid w:val="0"/>
                <w:color w:val="000000"/>
                <w:spacing w:val="-7"/>
                <w:kern w:val="0"/>
                <w:sz w:val="18"/>
                <w:szCs w:val="18"/>
                <w:lang w:val="en-US" w:eastAsia="en-US" w:bidi="ar-SA"/>
              </w:rPr>
              <w:t>〕第</w:t>
            </w:r>
            <w:r>
              <w:rPr>
                <w:rFonts w:ascii="宋体" w:hAnsi="宋体" w:eastAsia="宋体" w:cs="宋体"/>
                <w:snapToGrid w:val="0"/>
                <w:color w:val="000000"/>
                <w:spacing w:val="-35"/>
                <w:kern w:val="0"/>
                <w:sz w:val="18"/>
                <w:szCs w:val="18"/>
                <w:lang w:val="en-US" w:eastAsia="en-US" w:bidi="ar-SA"/>
              </w:rPr>
              <w:t xml:space="preserve"> </w:t>
            </w:r>
            <w:r>
              <w:rPr>
                <w:rFonts w:ascii="Times New Roman" w:hAnsi="Times New Roman" w:eastAsia="Times New Roman" w:cs="Times New Roman"/>
                <w:snapToGrid w:val="0"/>
                <w:color w:val="000000"/>
                <w:spacing w:val="-7"/>
                <w:kern w:val="0"/>
                <w:sz w:val="18"/>
                <w:szCs w:val="18"/>
                <w:lang w:val="en-US" w:eastAsia="en-US" w:bidi="ar-SA"/>
              </w:rPr>
              <w:t>88</w:t>
            </w:r>
            <w:r>
              <w:rPr>
                <w:rFonts w:ascii="Times New Roman" w:hAnsi="Times New Roman" w:eastAsia="Times New Roman" w:cs="Times New Roman"/>
                <w:snapToGrid w:val="0"/>
                <w:color w:val="000000"/>
                <w:spacing w:val="9"/>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号）</w:t>
            </w:r>
          </w:p>
          <w:p w14:paraId="32226641">
            <w:pPr>
              <w:kinsoku w:val="0"/>
              <w:autoSpaceDE w:val="0"/>
              <w:autoSpaceDN w:val="0"/>
              <w:adjustRightInd w:val="0"/>
              <w:snapToGrid w:val="0"/>
              <w:spacing w:before="25" w:line="220" w:lineRule="auto"/>
              <w:ind w:left="67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第二十三条</w:t>
            </w:r>
          </w:p>
        </w:tc>
        <w:tc>
          <w:tcPr>
            <w:tcW w:w="1663" w:type="dxa"/>
            <w:vAlign w:val="top"/>
          </w:tcPr>
          <w:p w14:paraId="0E992D69">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222D2FCF">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750844A9">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5049F6A7">
            <w:pPr>
              <w:kinsoku w:val="0"/>
              <w:autoSpaceDE w:val="0"/>
              <w:autoSpaceDN w:val="0"/>
              <w:adjustRightInd w:val="0"/>
              <w:snapToGrid w:val="0"/>
              <w:spacing w:before="59" w:line="257" w:lineRule="auto"/>
              <w:ind w:left="120" w:right="91"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该安全投入具备安</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全生产条件所必需</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的资金投入。</w:t>
            </w:r>
          </w:p>
        </w:tc>
        <w:tc>
          <w:tcPr>
            <w:tcW w:w="721" w:type="dxa"/>
            <w:gridSpan w:val="2"/>
            <w:tcBorders>
              <w:right w:val="single" w:color="000000" w:sz="10" w:space="0"/>
            </w:tcBorders>
            <w:vAlign w:val="top"/>
          </w:tcPr>
          <w:p w14:paraId="25B40DE8">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3973849D">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6B351169">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7CD0E35B">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5706E6DA">
            <w:pPr>
              <w:kinsoku w:val="0"/>
              <w:autoSpaceDE w:val="0"/>
              <w:autoSpaceDN w:val="0"/>
              <w:adjustRightInd w:val="0"/>
              <w:snapToGrid w:val="0"/>
              <w:spacing w:before="59" w:line="220" w:lineRule="auto"/>
              <w:ind w:left="19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47FCC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28035A71">
            <w:pPr>
              <w:widowControl/>
              <w:kinsoku w:val="0"/>
              <w:autoSpaceDE w:val="0"/>
              <w:autoSpaceDN w:val="0"/>
              <w:adjustRightInd w:val="0"/>
              <w:snapToGrid w:val="0"/>
              <w:spacing w:line="427" w:lineRule="auto"/>
              <w:jc w:val="left"/>
              <w:textAlignment w:val="baseline"/>
              <w:rPr>
                <w:rFonts w:ascii="Arial" w:hAnsi="Arial" w:eastAsia="Arial" w:cs="Arial"/>
                <w:snapToGrid w:val="0"/>
                <w:color w:val="000000"/>
                <w:kern w:val="0"/>
                <w:sz w:val="21"/>
                <w:lang w:eastAsia="en-US"/>
              </w:rPr>
            </w:pPr>
          </w:p>
          <w:p w14:paraId="215061B6">
            <w:pPr>
              <w:widowControl/>
              <w:kinsoku w:val="0"/>
              <w:autoSpaceDE w:val="0"/>
              <w:autoSpaceDN w:val="0"/>
              <w:adjustRightInd w:val="0"/>
              <w:snapToGrid w:val="0"/>
              <w:spacing w:before="51" w:line="188" w:lineRule="auto"/>
              <w:ind w:left="24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4.5</w:t>
            </w:r>
          </w:p>
        </w:tc>
        <w:tc>
          <w:tcPr>
            <w:tcW w:w="3964" w:type="dxa"/>
            <w:vAlign w:val="top"/>
          </w:tcPr>
          <w:p w14:paraId="756164D4">
            <w:pPr>
              <w:kinsoku w:val="0"/>
              <w:autoSpaceDE w:val="0"/>
              <w:autoSpaceDN w:val="0"/>
              <w:adjustRightInd w:val="0"/>
              <w:snapToGrid w:val="0"/>
              <w:spacing w:before="62" w:line="252" w:lineRule="auto"/>
              <w:ind w:left="103" w:firstLine="1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1.</w:t>
            </w:r>
            <w:r>
              <w:rPr>
                <w:rFonts w:ascii="宋体" w:hAnsi="宋体" w:eastAsia="宋体" w:cs="宋体"/>
                <w:snapToGrid w:val="0"/>
                <w:color w:val="000000"/>
                <w:spacing w:val="-4"/>
                <w:kern w:val="0"/>
                <w:sz w:val="18"/>
                <w:szCs w:val="18"/>
                <w:lang w:val="en-US" w:eastAsia="en-US" w:bidi="ar-SA"/>
              </w:rPr>
              <w:t>企业应建立和落实安全生产费用管理制度，足额</w:t>
            </w:r>
            <w:r>
              <w:rPr>
                <w:rFonts w:ascii="宋体" w:hAnsi="宋体" w:eastAsia="宋体" w:cs="宋体"/>
                <w:snapToGrid w:val="0"/>
                <w:color w:val="000000"/>
                <w:spacing w:val="1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提取安全生产费用，专项用于安全生产；</w:t>
            </w:r>
          </w:p>
          <w:p w14:paraId="5A40CC75">
            <w:pPr>
              <w:kinsoku w:val="0"/>
              <w:autoSpaceDE w:val="0"/>
              <w:autoSpaceDN w:val="0"/>
              <w:adjustRightInd w:val="0"/>
              <w:snapToGrid w:val="0"/>
              <w:spacing w:before="28" w:line="231" w:lineRule="auto"/>
              <w:ind w:left="103" w:hanging="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2.</w:t>
            </w:r>
            <w:r>
              <w:rPr>
                <w:rFonts w:ascii="宋体" w:hAnsi="宋体" w:eastAsia="宋体" w:cs="宋体"/>
                <w:snapToGrid w:val="0"/>
                <w:color w:val="000000"/>
                <w:spacing w:val="-3"/>
                <w:kern w:val="0"/>
                <w:sz w:val="18"/>
                <w:szCs w:val="18"/>
                <w:lang w:val="en-US" w:eastAsia="en-US" w:bidi="ar-SA"/>
              </w:rPr>
              <w:t>企业应合理使用安全生产费用；建立安全生产费</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用台账，载明安全生产费用使用情况。</w:t>
            </w:r>
          </w:p>
        </w:tc>
        <w:tc>
          <w:tcPr>
            <w:tcW w:w="2112" w:type="dxa"/>
            <w:vAlign w:val="top"/>
          </w:tcPr>
          <w:p w14:paraId="626E06E3">
            <w:pPr>
              <w:kinsoku w:val="0"/>
              <w:autoSpaceDE w:val="0"/>
              <w:autoSpaceDN w:val="0"/>
              <w:adjustRightInd w:val="0"/>
              <w:snapToGrid w:val="0"/>
              <w:spacing w:before="191" w:line="220"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《企业安全生产费用提取</w:t>
            </w:r>
          </w:p>
          <w:p w14:paraId="734C39FC">
            <w:pPr>
              <w:kinsoku w:val="0"/>
              <w:autoSpaceDE w:val="0"/>
              <w:autoSpaceDN w:val="0"/>
              <w:adjustRightInd w:val="0"/>
              <w:snapToGrid w:val="0"/>
              <w:spacing w:before="44" w:line="220"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和使用管理办法》（财资</w:t>
            </w:r>
          </w:p>
          <w:p w14:paraId="39C1F603">
            <w:pPr>
              <w:kinsoku w:val="0"/>
              <w:autoSpaceDE w:val="0"/>
              <w:autoSpaceDN w:val="0"/>
              <w:adjustRightInd w:val="0"/>
              <w:snapToGrid w:val="0"/>
              <w:spacing w:before="46" w:line="222" w:lineRule="auto"/>
              <w:ind w:left="43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w:t>
            </w:r>
            <w:r>
              <w:rPr>
                <w:rFonts w:ascii="Times New Roman" w:hAnsi="Times New Roman" w:eastAsia="Times New Roman" w:cs="Times New Roman"/>
                <w:snapToGrid w:val="0"/>
                <w:color w:val="000000"/>
                <w:spacing w:val="-4"/>
                <w:kern w:val="0"/>
                <w:sz w:val="18"/>
                <w:szCs w:val="18"/>
                <w:lang w:val="en-US" w:eastAsia="en-US" w:bidi="ar-SA"/>
              </w:rPr>
              <w:t>2022</w:t>
            </w:r>
            <w:r>
              <w:rPr>
                <w:rFonts w:ascii="宋体" w:hAnsi="宋体" w:eastAsia="宋体" w:cs="宋体"/>
                <w:snapToGrid w:val="0"/>
                <w:color w:val="000000"/>
                <w:spacing w:val="-4"/>
                <w:kern w:val="0"/>
                <w:sz w:val="18"/>
                <w:szCs w:val="18"/>
                <w:lang w:val="en-US" w:eastAsia="en-US" w:bidi="ar-SA"/>
              </w:rPr>
              <w:t>〕</w:t>
            </w:r>
            <w:r>
              <w:rPr>
                <w:rFonts w:ascii="Times New Roman" w:hAnsi="Times New Roman" w:eastAsia="Times New Roman" w:cs="Times New Roman"/>
                <w:snapToGrid w:val="0"/>
                <w:color w:val="000000"/>
                <w:spacing w:val="-4"/>
                <w:kern w:val="0"/>
                <w:sz w:val="18"/>
                <w:szCs w:val="18"/>
                <w:lang w:val="en-US" w:eastAsia="en-US" w:bidi="ar-SA"/>
              </w:rPr>
              <w:t>136</w:t>
            </w:r>
            <w:r>
              <w:rPr>
                <w:rFonts w:ascii="Times New Roman" w:hAnsi="Times New Roman" w:eastAsia="Times New Roman" w:cs="Times New Roman"/>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号）</w:t>
            </w:r>
          </w:p>
        </w:tc>
        <w:tc>
          <w:tcPr>
            <w:tcW w:w="1663" w:type="dxa"/>
            <w:vAlign w:val="top"/>
          </w:tcPr>
          <w:p w14:paraId="157EE324">
            <w:pPr>
              <w:kinsoku w:val="0"/>
              <w:autoSpaceDE w:val="0"/>
              <w:autoSpaceDN w:val="0"/>
              <w:adjustRightInd w:val="0"/>
              <w:snapToGrid w:val="0"/>
              <w:spacing w:before="61" w:line="249" w:lineRule="auto"/>
              <w:ind w:left="119" w:right="91"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该站建立了安全生</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产</w:t>
            </w:r>
            <w:r>
              <w:rPr>
                <w:rFonts w:ascii="宋体" w:hAnsi="宋体" w:eastAsia="宋体" w:cs="宋体"/>
                <w:snapToGrid w:val="0"/>
                <w:color w:val="000000"/>
                <w:spacing w:val="-36"/>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费</w:t>
            </w:r>
            <w:r>
              <w:rPr>
                <w:rFonts w:ascii="宋体" w:hAnsi="宋体" w:eastAsia="宋体" w:cs="宋体"/>
                <w:snapToGrid w:val="0"/>
                <w:color w:val="000000"/>
                <w:spacing w:val="-48"/>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用的</w:t>
            </w:r>
            <w:r>
              <w:rPr>
                <w:rFonts w:ascii="宋体" w:hAnsi="宋体" w:eastAsia="宋体" w:cs="宋体"/>
                <w:snapToGrid w:val="0"/>
                <w:color w:val="000000"/>
                <w:spacing w:val="-49"/>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管</w:t>
            </w:r>
            <w:r>
              <w:rPr>
                <w:rFonts w:ascii="宋体" w:hAnsi="宋体" w:eastAsia="宋体" w:cs="宋体"/>
                <w:snapToGrid w:val="0"/>
                <w:color w:val="000000"/>
                <w:spacing w:val="-49"/>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理</w:t>
            </w:r>
            <w:r>
              <w:rPr>
                <w:rFonts w:ascii="宋体" w:hAnsi="宋体" w:eastAsia="宋体" w:cs="宋体"/>
                <w:snapToGrid w:val="0"/>
                <w:color w:val="000000"/>
                <w:spacing w:val="-49"/>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制</w:t>
            </w:r>
            <w:r>
              <w:rPr>
                <w:rFonts w:ascii="宋体" w:hAnsi="宋体" w:eastAsia="宋体" w:cs="宋体"/>
                <w:snapToGrid w:val="0"/>
                <w:color w:val="000000"/>
                <w:kern w:val="0"/>
                <w:sz w:val="18"/>
                <w:szCs w:val="18"/>
                <w:lang w:val="en-US" w:eastAsia="en-US" w:bidi="ar-SA"/>
              </w:rPr>
              <w:t xml:space="preserve"> 度，并能合理使用</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安全生产费用。</w:t>
            </w:r>
          </w:p>
        </w:tc>
        <w:tc>
          <w:tcPr>
            <w:tcW w:w="721" w:type="dxa"/>
            <w:gridSpan w:val="2"/>
            <w:tcBorders>
              <w:right w:val="single" w:color="000000" w:sz="10" w:space="0"/>
            </w:tcBorders>
            <w:vAlign w:val="top"/>
          </w:tcPr>
          <w:p w14:paraId="7C9B4907">
            <w:pPr>
              <w:widowControl/>
              <w:kinsoku w:val="0"/>
              <w:autoSpaceDE w:val="0"/>
              <w:autoSpaceDN w:val="0"/>
              <w:adjustRightInd w:val="0"/>
              <w:snapToGrid w:val="0"/>
              <w:spacing w:line="389" w:lineRule="auto"/>
              <w:jc w:val="left"/>
              <w:textAlignment w:val="baseline"/>
              <w:rPr>
                <w:rFonts w:ascii="Arial" w:hAnsi="Arial" w:eastAsia="Arial" w:cs="Arial"/>
                <w:snapToGrid w:val="0"/>
                <w:color w:val="000000"/>
                <w:kern w:val="0"/>
                <w:sz w:val="21"/>
                <w:lang w:eastAsia="en-US"/>
              </w:rPr>
            </w:pPr>
          </w:p>
          <w:p w14:paraId="26CD3066">
            <w:pPr>
              <w:kinsoku w:val="0"/>
              <w:autoSpaceDE w:val="0"/>
              <w:autoSpaceDN w:val="0"/>
              <w:adjustRightInd w:val="0"/>
              <w:snapToGrid w:val="0"/>
              <w:spacing w:before="58" w:line="220" w:lineRule="auto"/>
              <w:ind w:left="19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05957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21" w:hRule="atLeast"/>
        </w:trPr>
        <w:tc>
          <w:tcPr>
            <w:tcW w:w="741" w:type="dxa"/>
            <w:tcBorders>
              <w:left w:val="single" w:color="000000" w:sz="10" w:space="0"/>
            </w:tcBorders>
            <w:vAlign w:val="top"/>
          </w:tcPr>
          <w:p w14:paraId="5A158188">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4C764523">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3D153F04">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38F1C0EC">
            <w:pPr>
              <w:widowControl/>
              <w:kinsoku w:val="0"/>
              <w:autoSpaceDE w:val="0"/>
              <w:autoSpaceDN w:val="0"/>
              <w:adjustRightInd w:val="0"/>
              <w:snapToGrid w:val="0"/>
              <w:spacing w:before="52" w:line="188" w:lineRule="auto"/>
              <w:ind w:left="24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4.6</w:t>
            </w:r>
          </w:p>
        </w:tc>
        <w:tc>
          <w:tcPr>
            <w:tcW w:w="3964" w:type="dxa"/>
            <w:vAlign w:val="top"/>
          </w:tcPr>
          <w:p w14:paraId="0BB4B37C">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3EA17781">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43E52F05">
            <w:pPr>
              <w:kinsoku w:val="0"/>
              <w:autoSpaceDE w:val="0"/>
              <w:autoSpaceDN w:val="0"/>
              <w:adjustRightInd w:val="0"/>
              <w:snapToGrid w:val="0"/>
              <w:spacing w:before="59" w:line="258" w:lineRule="auto"/>
              <w:ind w:left="109" w:hanging="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企业应在法律法规、标准规范或企业管理机构、人</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员构成、生产装置等发生重大变化或发生安全</w:t>
            </w:r>
            <w:r>
              <w:rPr>
                <w:rFonts w:ascii="宋体" w:hAnsi="宋体" w:eastAsia="宋体" w:cs="宋体"/>
                <w:snapToGrid w:val="0"/>
                <w:color w:val="000000"/>
                <w:spacing w:val="-6"/>
                <w:kern w:val="0"/>
                <w:sz w:val="18"/>
                <w:szCs w:val="18"/>
                <w:lang w:val="en-US" w:eastAsia="en-US" w:bidi="ar-SA"/>
              </w:rPr>
              <w:t>事故</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时，及时进行安全风险辨识分析。</w:t>
            </w:r>
          </w:p>
        </w:tc>
        <w:tc>
          <w:tcPr>
            <w:tcW w:w="2112" w:type="dxa"/>
            <w:vAlign w:val="top"/>
          </w:tcPr>
          <w:p w14:paraId="3BA0995E">
            <w:pPr>
              <w:widowControl/>
              <w:kinsoku w:val="0"/>
              <w:autoSpaceDE w:val="0"/>
              <w:autoSpaceDN w:val="0"/>
              <w:adjustRightInd w:val="0"/>
              <w:snapToGrid w:val="0"/>
              <w:spacing w:line="392" w:lineRule="auto"/>
              <w:jc w:val="left"/>
              <w:textAlignment w:val="baseline"/>
              <w:rPr>
                <w:rFonts w:ascii="Arial" w:hAnsi="Arial" w:eastAsia="Arial" w:cs="Arial"/>
                <w:snapToGrid w:val="0"/>
                <w:color w:val="000000"/>
                <w:kern w:val="0"/>
                <w:sz w:val="21"/>
                <w:lang w:eastAsia="en-US"/>
              </w:rPr>
            </w:pPr>
          </w:p>
          <w:p w14:paraId="46AE9E87">
            <w:pPr>
              <w:kinsoku w:val="0"/>
              <w:autoSpaceDE w:val="0"/>
              <w:autoSpaceDN w:val="0"/>
              <w:adjustRightInd w:val="0"/>
              <w:snapToGrid w:val="0"/>
              <w:spacing w:before="58" w:line="221"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《关于加强化工过程安全</w:t>
            </w:r>
          </w:p>
          <w:p w14:paraId="626DFB3C">
            <w:pPr>
              <w:kinsoku w:val="0"/>
              <w:autoSpaceDE w:val="0"/>
              <w:autoSpaceDN w:val="0"/>
              <w:adjustRightInd w:val="0"/>
              <w:snapToGrid w:val="0"/>
              <w:spacing w:before="43" w:line="220"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管理的指导意见》（安监</w:t>
            </w:r>
          </w:p>
          <w:p w14:paraId="22E15DCC">
            <w:pPr>
              <w:kinsoku w:val="0"/>
              <w:autoSpaceDE w:val="0"/>
              <w:autoSpaceDN w:val="0"/>
              <w:adjustRightInd w:val="0"/>
              <w:snapToGrid w:val="0"/>
              <w:spacing w:before="47" w:line="220"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总管三〔</w:t>
            </w:r>
            <w:r>
              <w:rPr>
                <w:rFonts w:ascii="Times New Roman" w:hAnsi="Times New Roman" w:eastAsia="Times New Roman" w:cs="Times New Roman"/>
                <w:snapToGrid w:val="0"/>
                <w:color w:val="000000"/>
                <w:spacing w:val="-5"/>
                <w:kern w:val="0"/>
                <w:sz w:val="18"/>
                <w:szCs w:val="18"/>
                <w:lang w:val="en-US" w:eastAsia="en-US" w:bidi="ar-SA"/>
              </w:rPr>
              <w:t>2013</w:t>
            </w:r>
            <w:r>
              <w:rPr>
                <w:rFonts w:ascii="宋体" w:hAnsi="宋体" w:eastAsia="宋体" w:cs="宋体"/>
                <w:snapToGrid w:val="0"/>
                <w:color w:val="000000"/>
                <w:spacing w:val="-5"/>
                <w:kern w:val="0"/>
                <w:sz w:val="18"/>
                <w:szCs w:val="18"/>
                <w:lang w:val="en-US" w:eastAsia="en-US" w:bidi="ar-SA"/>
              </w:rPr>
              <w:t>〕</w:t>
            </w:r>
            <w:r>
              <w:rPr>
                <w:rFonts w:ascii="Times New Roman" w:hAnsi="Times New Roman" w:eastAsia="Times New Roman" w:cs="Times New Roman"/>
                <w:snapToGrid w:val="0"/>
                <w:color w:val="000000"/>
                <w:spacing w:val="-5"/>
                <w:kern w:val="0"/>
                <w:sz w:val="18"/>
                <w:szCs w:val="18"/>
                <w:lang w:val="en-US" w:eastAsia="en-US" w:bidi="ar-SA"/>
              </w:rPr>
              <w:t xml:space="preserve">88  </w:t>
            </w:r>
            <w:r>
              <w:rPr>
                <w:rFonts w:ascii="宋体" w:hAnsi="宋体" w:eastAsia="宋体" w:cs="宋体"/>
                <w:snapToGrid w:val="0"/>
                <w:color w:val="000000"/>
                <w:spacing w:val="-5"/>
                <w:kern w:val="0"/>
                <w:sz w:val="18"/>
                <w:szCs w:val="18"/>
                <w:lang w:val="en-US" w:eastAsia="en-US" w:bidi="ar-SA"/>
              </w:rPr>
              <w:t>号）第</w:t>
            </w:r>
          </w:p>
          <w:p w14:paraId="7E70ACFB">
            <w:pPr>
              <w:kinsoku w:val="0"/>
              <w:autoSpaceDE w:val="0"/>
              <w:autoSpaceDN w:val="0"/>
              <w:adjustRightInd w:val="0"/>
              <w:snapToGrid w:val="0"/>
              <w:spacing w:before="44" w:line="220" w:lineRule="auto"/>
              <w:ind w:left="95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五条</w:t>
            </w:r>
          </w:p>
        </w:tc>
        <w:tc>
          <w:tcPr>
            <w:tcW w:w="1663" w:type="dxa"/>
            <w:vAlign w:val="top"/>
          </w:tcPr>
          <w:p w14:paraId="611CCAB3">
            <w:pPr>
              <w:kinsoku w:val="0"/>
              <w:autoSpaceDE w:val="0"/>
              <w:autoSpaceDN w:val="0"/>
              <w:adjustRightInd w:val="0"/>
              <w:snapToGrid w:val="0"/>
              <w:spacing w:before="63" w:line="256" w:lineRule="auto"/>
              <w:ind w:left="118" w:right="91" w:firstLine="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该站当前不存在法</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律法规、标准规范</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或企业管理机构、</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人员构成、生产装</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置等发生重大变化</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情况，亦未发生安</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全生产事故。</w:t>
            </w:r>
          </w:p>
        </w:tc>
        <w:tc>
          <w:tcPr>
            <w:tcW w:w="721" w:type="dxa"/>
            <w:gridSpan w:val="2"/>
            <w:tcBorders>
              <w:right w:val="single" w:color="000000" w:sz="10" w:space="0"/>
            </w:tcBorders>
            <w:vAlign w:val="top"/>
          </w:tcPr>
          <w:p w14:paraId="6965DE46">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32C47838">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586032A5">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31D932C6">
            <w:pPr>
              <w:kinsoku w:val="0"/>
              <w:autoSpaceDE w:val="0"/>
              <w:autoSpaceDN w:val="0"/>
              <w:adjustRightInd w:val="0"/>
              <w:snapToGrid w:val="0"/>
              <w:spacing w:before="59" w:line="220" w:lineRule="auto"/>
              <w:ind w:left="19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A10A9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741" w:type="dxa"/>
            <w:tcBorders>
              <w:left w:val="single" w:color="000000" w:sz="10" w:space="0"/>
            </w:tcBorders>
            <w:vAlign w:val="top"/>
          </w:tcPr>
          <w:p w14:paraId="79BD710E">
            <w:pPr>
              <w:widowControl/>
              <w:kinsoku w:val="0"/>
              <w:autoSpaceDE w:val="0"/>
              <w:autoSpaceDN w:val="0"/>
              <w:adjustRightInd w:val="0"/>
              <w:snapToGrid w:val="0"/>
              <w:spacing w:before="101" w:line="177" w:lineRule="auto"/>
              <w:ind w:left="316"/>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5</w:t>
            </w:r>
          </w:p>
        </w:tc>
        <w:tc>
          <w:tcPr>
            <w:tcW w:w="8460" w:type="dxa"/>
            <w:gridSpan w:val="5"/>
            <w:tcBorders>
              <w:right w:val="single" w:color="000000" w:sz="10" w:space="0"/>
            </w:tcBorders>
            <w:vAlign w:val="top"/>
          </w:tcPr>
          <w:p w14:paraId="3F625E0C">
            <w:pPr>
              <w:kinsoku w:val="0"/>
              <w:autoSpaceDE w:val="0"/>
              <w:autoSpaceDN w:val="0"/>
              <w:adjustRightInd w:val="0"/>
              <w:snapToGrid w:val="0"/>
              <w:spacing w:before="67" w:line="191" w:lineRule="auto"/>
              <w:ind w:left="10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应急管理及应急预案</w:t>
            </w:r>
          </w:p>
        </w:tc>
      </w:tr>
      <w:tr w14:paraId="5F8F4E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2" w:hRule="atLeast"/>
        </w:trPr>
        <w:tc>
          <w:tcPr>
            <w:tcW w:w="741" w:type="dxa"/>
            <w:tcBorders>
              <w:left w:val="single" w:color="000000" w:sz="10" w:space="0"/>
            </w:tcBorders>
            <w:vAlign w:val="top"/>
          </w:tcPr>
          <w:p w14:paraId="23F1809A">
            <w:pPr>
              <w:widowControl/>
              <w:kinsoku w:val="0"/>
              <w:autoSpaceDE w:val="0"/>
              <w:autoSpaceDN w:val="0"/>
              <w:adjustRightInd w:val="0"/>
              <w:snapToGrid w:val="0"/>
              <w:spacing w:line="282" w:lineRule="auto"/>
              <w:jc w:val="left"/>
              <w:textAlignment w:val="baseline"/>
              <w:rPr>
                <w:rFonts w:ascii="Arial" w:hAnsi="Arial" w:eastAsia="Arial" w:cs="Arial"/>
                <w:snapToGrid w:val="0"/>
                <w:color w:val="000000"/>
                <w:kern w:val="0"/>
                <w:sz w:val="21"/>
                <w:lang w:eastAsia="en-US"/>
              </w:rPr>
            </w:pPr>
          </w:p>
          <w:p w14:paraId="1ACE5BF8">
            <w:pPr>
              <w:widowControl/>
              <w:kinsoku w:val="0"/>
              <w:autoSpaceDE w:val="0"/>
              <w:autoSpaceDN w:val="0"/>
              <w:adjustRightInd w:val="0"/>
              <w:snapToGrid w:val="0"/>
              <w:spacing w:line="282" w:lineRule="auto"/>
              <w:jc w:val="left"/>
              <w:textAlignment w:val="baseline"/>
              <w:rPr>
                <w:rFonts w:ascii="Arial" w:hAnsi="Arial" w:eastAsia="Arial" w:cs="Arial"/>
                <w:snapToGrid w:val="0"/>
                <w:color w:val="000000"/>
                <w:kern w:val="0"/>
                <w:sz w:val="21"/>
                <w:lang w:eastAsia="en-US"/>
              </w:rPr>
            </w:pPr>
          </w:p>
          <w:p w14:paraId="046A4311">
            <w:pPr>
              <w:widowControl/>
              <w:kinsoku w:val="0"/>
              <w:autoSpaceDE w:val="0"/>
              <w:autoSpaceDN w:val="0"/>
              <w:adjustRightInd w:val="0"/>
              <w:snapToGrid w:val="0"/>
              <w:spacing w:before="51" w:line="188" w:lineRule="auto"/>
              <w:ind w:left="24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5.</w:t>
            </w:r>
            <w:r>
              <w:rPr>
                <w:rFonts w:ascii="Times New Roman" w:hAnsi="Times New Roman" w:eastAsia="Times New Roman" w:cs="Times New Roman"/>
                <w:snapToGrid w:val="0"/>
                <w:color w:val="000000"/>
                <w:spacing w:val="-23"/>
                <w:kern w:val="0"/>
                <w:sz w:val="18"/>
                <w:szCs w:val="18"/>
                <w:lang w:eastAsia="en-US"/>
              </w:rPr>
              <w:t xml:space="preserve"> </w:t>
            </w:r>
            <w:r>
              <w:rPr>
                <w:rFonts w:ascii="Times New Roman" w:hAnsi="Times New Roman" w:eastAsia="Times New Roman" w:cs="Times New Roman"/>
                <w:snapToGrid w:val="0"/>
                <w:color w:val="000000"/>
                <w:spacing w:val="-3"/>
                <w:kern w:val="0"/>
                <w:sz w:val="18"/>
                <w:szCs w:val="18"/>
                <w:lang w:eastAsia="en-US"/>
              </w:rPr>
              <w:t>1</w:t>
            </w:r>
          </w:p>
        </w:tc>
        <w:tc>
          <w:tcPr>
            <w:tcW w:w="3964" w:type="dxa"/>
            <w:vAlign w:val="top"/>
          </w:tcPr>
          <w:p w14:paraId="6A783193">
            <w:pPr>
              <w:widowControl/>
              <w:kinsoku w:val="0"/>
              <w:autoSpaceDE w:val="0"/>
              <w:autoSpaceDN w:val="0"/>
              <w:adjustRightInd w:val="0"/>
              <w:snapToGrid w:val="0"/>
              <w:spacing w:line="267" w:lineRule="auto"/>
              <w:jc w:val="left"/>
              <w:textAlignment w:val="baseline"/>
              <w:rPr>
                <w:rFonts w:ascii="Arial" w:hAnsi="Arial" w:eastAsia="Arial" w:cs="Arial"/>
                <w:snapToGrid w:val="0"/>
                <w:color w:val="000000"/>
                <w:kern w:val="0"/>
                <w:sz w:val="21"/>
                <w:lang w:eastAsia="en-US"/>
              </w:rPr>
            </w:pPr>
          </w:p>
          <w:p w14:paraId="719B552B">
            <w:pPr>
              <w:kinsoku w:val="0"/>
              <w:autoSpaceDE w:val="0"/>
              <w:autoSpaceDN w:val="0"/>
              <w:adjustRightInd w:val="0"/>
              <w:snapToGrid w:val="0"/>
              <w:spacing w:before="59" w:line="257" w:lineRule="auto"/>
              <w:ind w:left="102" w:right="10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危险化学品单位应当制定本单位危险化学品事</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故应急预案，配备应急救援人员和必要的应急救</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援器材、设备，并定期组织应急救援演练。</w:t>
            </w:r>
          </w:p>
        </w:tc>
        <w:tc>
          <w:tcPr>
            <w:tcW w:w="2112" w:type="dxa"/>
            <w:vAlign w:val="top"/>
          </w:tcPr>
          <w:p w14:paraId="46125CD5">
            <w:pPr>
              <w:kinsoku w:val="0"/>
              <w:autoSpaceDE w:val="0"/>
              <w:autoSpaceDN w:val="0"/>
              <w:adjustRightInd w:val="0"/>
              <w:snapToGrid w:val="0"/>
              <w:spacing w:before="68" w:line="251"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《危险化学品安全管理</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条例》（中华人民共和国</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国</w:t>
            </w:r>
            <w:r>
              <w:rPr>
                <w:rFonts w:ascii="宋体" w:hAnsi="宋体" w:eastAsia="宋体" w:cs="宋体"/>
                <w:snapToGrid w:val="0"/>
                <w:color w:val="000000"/>
                <w:spacing w:val="-34"/>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务</w:t>
            </w:r>
            <w:r>
              <w:rPr>
                <w:rFonts w:ascii="宋体" w:hAnsi="宋体" w:eastAsia="宋体" w:cs="宋体"/>
                <w:snapToGrid w:val="0"/>
                <w:color w:val="000000"/>
                <w:spacing w:val="-35"/>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院</w:t>
            </w:r>
            <w:r>
              <w:rPr>
                <w:rFonts w:ascii="宋体" w:hAnsi="宋体" w:eastAsia="宋体" w:cs="宋体"/>
                <w:snapToGrid w:val="0"/>
                <w:color w:val="000000"/>
                <w:spacing w:val="-49"/>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令</w:t>
            </w:r>
            <w:r>
              <w:rPr>
                <w:rFonts w:ascii="宋体" w:hAnsi="宋体" w:eastAsia="宋体" w:cs="宋体"/>
                <w:snapToGrid w:val="0"/>
                <w:color w:val="000000"/>
                <w:spacing w:val="-39"/>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 xml:space="preserve">[2011] </w:t>
            </w:r>
            <w:r>
              <w:rPr>
                <w:rFonts w:ascii="宋体" w:hAnsi="宋体" w:eastAsia="宋体" w:cs="宋体"/>
                <w:snapToGrid w:val="0"/>
                <w:color w:val="000000"/>
                <w:spacing w:val="-6"/>
                <w:kern w:val="0"/>
                <w:sz w:val="18"/>
                <w:szCs w:val="18"/>
                <w:lang w:val="en-US" w:eastAsia="en-US" w:bidi="ar-SA"/>
              </w:rPr>
              <w:t xml:space="preserve">第 </w:t>
            </w:r>
            <w:r>
              <w:rPr>
                <w:rFonts w:ascii="Times New Roman" w:hAnsi="Times New Roman" w:eastAsia="Times New Roman" w:cs="Times New Roman"/>
                <w:snapToGrid w:val="0"/>
                <w:color w:val="000000"/>
                <w:spacing w:val="-6"/>
                <w:kern w:val="0"/>
                <w:sz w:val="18"/>
                <w:szCs w:val="18"/>
                <w:lang w:val="en-US" w:eastAsia="en-US" w:bidi="ar-SA"/>
              </w:rPr>
              <w:t>591</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号、〔</w:t>
            </w:r>
            <w:r>
              <w:rPr>
                <w:rFonts w:ascii="Times New Roman" w:hAnsi="Times New Roman" w:eastAsia="Times New Roman" w:cs="Times New Roman"/>
                <w:snapToGrid w:val="0"/>
                <w:color w:val="000000"/>
                <w:spacing w:val="-8"/>
                <w:kern w:val="0"/>
                <w:sz w:val="18"/>
                <w:szCs w:val="18"/>
                <w:lang w:val="en-US" w:eastAsia="en-US" w:bidi="ar-SA"/>
              </w:rPr>
              <w:t>2013</w:t>
            </w:r>
            <w:r>
              <w:rPr>
                <w:rFonts w:ascii="宋体" w:hAnsi="宋体" w:eastAsia="宋体" w:cs="宋体"/>
                <w:snapToGrid w:val="0"/>
                <w:color w:val="000000"/>
                <w:spacing w:val="-8"/>
                <w:kern w:val="0"/>
                <w:sz w:val="18"/>
                <w:szCs w:val="18"/>
                <w:lang w:val="en-US" w:eastAsia="en-US" w:bidi="ar-SA"/>
              </w:rPr>
              <w:t>〕第</w:t>
            </w:r>
            <w:r>
              <w:rPr>
                <w:rFonts w:ascii="宋体" w:hAnsi="宋体" w:eastAsia="宋体" w:cs="宋体"/>
                <w:snapToGrid w:val="0"/>
                <w:color w:val="000000"/>
                <w:spacing w:val="-33"/>
                <w:kern w:val="0"/>
                <w:sz w:val="18"/>
                <w:szCs w:val="18"/>
                <w:lang w:val="en-US" w:eastAsia="en-US" w:bidi="ar-SA"/>
              </w:rPr>
              <w:t xml:space="preserve"> </w:t>
            </w:r>
            <w:r>
              <w:rPr>
                <w:rFonts w:ascii="Times New Roman" w:hAnsi="Times New Roman" w:eastAsia="Times New Roman" w:cs="Times New Roman"/>
                <w:snapToGrid w:val="0"/>
                <w:color w:val="000000"/>
                <w:spacing w:val="-8"/>
                <w:kern w:val="0"/>
                <w:sz w:val="18"/>
                <w:szCs w:val="18"/>
                <w:lang w:val="en-US" w:eastAsia="en-US" w:bidi="ar-SA"/>
              </w:rPr>
              <w:t>645</w:t>
            </w:r>
            <w:r>
              <w:rPr>
                <w:rFonts w:ascii="Times New Roman" w:hAnsi="Times New Roman" w:eastAsia="Times New Roman" w:cs="Times New Roman"/>
                <w:snapToGrid w:val="0"/>
                <w:color w:val="000000"/>
                <w:spacing w:val="13"/>
                <w:w w:val="101"/>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号修</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订）第七十条</w:t>
            </w:r>
          </w:p>
        </w:tc>
        <w:tc>
          <w:tcPr>
            <w:tcW w:w="1836" w:type="dxa"/>
            <w:gridSpan w:val="2"/>
            <w:vAlign w:val="top"/>
          </w:tcPr>
          <w:p w14:paraId="1F2F009A">
            <w:pPr>
              <w:kinsoku w:val="0"/>
              <w:autoSpaceDE w:val="0"/>
              <w:autoSpaceDN w:val="0"/>
              <w:adjustRightInd w:val="0"/>
              <w:snapToGrid w:val="0"/>
              <w:spacing w:before="68" w:line="251" w:lineRule="auto"/>
              <w:ind w:left="120" w:right="93"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该站有事故应急预案</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和必要的应急救援器</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材、设备，配备了应</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急救援人员，并进行</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了应急救援演练。</w:t>
            </w:r>
          </w:p>
        </w:tc>
        <w:tc>
          <w:tcPr>
            <w:tcW w:w="548" w:type="dxa"/>
            <w:tcBorders>
              <w:right w:val="single" w:color="000000" w:sz="10" w:space="0"/>
            </w:tcBorders>
            <w:textDirection w:val="tbRlV"/>
            <w:vAlign w:val="top"/>
          </w:tcPr>
          <w:p w14:paraId="3B22225A">
            <w:pPr>
              <w:kinsoku w:val="0"/>
              <w:autoSpaceDE w:val="0"/>
              <w:autoSpaceDN w:val="0"/>
              <w:adjustRightInd w:val="0"/>
              <w:snapToGrid w:val="0"/>
              <w:spacing w:before="167" w:line="207" w:lineRule="auto"/>
              <w:ind w:left="45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符</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合</w:t>
            </w:r>
          </w:p>
        </w:tc>
      </w:tr>
      <w:tr w14:paraId="46308F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741" w:type="dxa"/>
            <w:tcBorders>
              <w:left w:val="single" w:color="000000" w:sz="10" w:space="0"/>
            </w:tcBorders>
            <w:vAlign w:val="top"/>
          </w:tcPr>
          <w:p w14:paraId="262EB29A">
            <w:pPr>
              <w:widowControl/>
              <w:kinsoku w:val="0"/>
              <w:autoSpaceDE w:val="0"/>
              <w:autoSpaceDN w:val="0"/>
              <w:adjustRightInd w:val="0"/>
              <w:snapToGrid w:val="0"/>
              <w:spacing w:line="436" w:lineRule="auto"/>
              <w:jc w:val="left"/>
              <w:textAlignment w:val="baseline"/>
              <w:rPr>
                <w:rFonts w:ascii="Arial" w:hAnsi="Arial" w:eastAsia="Arial" w:cs="Arial"/>
                <w:snapToGrid w:val="0"/>
                <w:color w:val="000000"/>
                <w:kern w:val="0"/>
                <w:sz w:val="21"/>
                <w:lang w:eastAsia="en-US"/>
              </w:rPr>
            </w:pPr>
          </w:p>
          <w:p w14:paraId="5B536F59">
            <w:pPr>
              <w:widowControl/>
              <w:kinsoku w:val="0"/>
              <w:autoSpaceDE w:val="0"/>
              <w:autoSpaceDN w:val="0"/>
              <w:adjustRightInd w:val="0"/>
              <w:snapToGrid w:val="0"/>
              <w:spacing w:before="51" w:line="188" w:lineRule="auto"/>
              <w:ind w:left="24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5.2</w:t>
            </w:r>
          </w:p>
        </w:tc>
        <w:tc>
          <w:tcPr>
            <w:tcW w:w="3964" w:type="dxa"/>
            <w:vAlign w:val="top"/>
          </w:tcPr>
          <w:p w14:paraId="49945742">
            <w:pPr>
              <w:kinsoku w:val="0"/>
              <w:autoSpaceDE w:val="0"/>
              <w:autoSpaceDN w:val="0"/>
              <w:adjustRightInd w:val="0"/>
              <w:snapToGrid w:val="0"/>
              <w:spacing w:before="70" w:line="255" w:lineRule="auto"/>
              <w:ind w:left="104" w:right="1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生产经营单位的主要负责人对本单位安全生产</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工作负有下列职责：</w:t>
            </w:r>
          </w:p>
          <w:p w14:paraId="4D509BC9">
            <w:pPr>
              <w:kinsoku w:val="0"/>
              <w:autoSpaceDE w:val="0"/>
              <w:autoSpaceDN w:val="0"/>
              <w:adjustRightInd w:val="0"/>
              <w:snapToGrid w:val="0"/>
              <w:spacing w:before="24" w:line="226" w:lineRule="auto"/>
              <w:ind w:left="108" w:right="105" w:firstLine="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（六）组织制定并实施本单位的生产安全事故应</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急救援预案；</w:t>
            </w:r>
          </w:p>
        </w:tc>
        <w:tc>
          <w:tcPr>
            <w:tcW w:w="2112" w:type="dxa"/>
            <w:vAlign w:val="top"/>
          </w:tcPr>
          <w:p w14:paraId="08A5D185">
            <w:pPr>
              <w:kinsoku w:val="0"/>
              <w:autoSpaceDE w:val="0"/>
              <w:autoSpaceDN w:val="0"/>
              <w:adjustRightInd w:val="0"/>
              <w:snapToGrid w:val="0"/>
              <w:spacing w:before="69" w:line="247" w:lineRule="auto"/>
              <w:ind w:left="114" w:right="97"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《中华人民共和国安全</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生产法》（中华人民共和</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国主席令〔</w:t>
            </w:r>
            <w:r>
              <w:rPr>
                <w:rFonts w:ascii="Times New Roman" w:hAnsi="Times New Roman" w:eastAsia="Times New Roman" w:cs="Times New Roman"/>
                <w:snapToGrid w:val="0"/>
                <w:color w:val="000000"/>
                <w:spacing w:val="2"/>
                <w:kern w:val="0"/>
                <w:sz w:val="18"/>
                <w:szCs w:val="18"/>
                <w:lang w:val="en-US" w:eastAsia="en-US" w:bidi="ar-SA"/>
              </w:rPr>
              <w:t>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88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号）第二十一条（六）</w:t>
            </w:r>
          </w:p>
        </w:tc>
        <w:tc>
          <w:tcPr>
            <w:tcW w:w="1836" w:type="dxa"/>
            <w:gridSpan w:val="2"/>
            <w:vAlign w:val="top"/>
          </w:tcPr>
          <w:p w14:paraId="22984082">
            <w:pPr>
              <w:kinsoku w:val="0"/>
              <w:autoSpaceDE w:val="0"/>
              <w:autoSpaceDN w:val="0"/>
              <w:adjustRightInd w:val="0"/>
              <w:snapToGrid w:val="0"/>
              <w:spacing w:before="201" w:line="258" w:lineRule="auto"/>
              <w:ind w:left="120" w:right="93"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该站的负责人组织制</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定并实施了本单位的</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事故应急预案。</w:t>
            </w:r>
          </w:p>
        </w:tc>
        <w:tc>
          <w:tcPr>
            <w:tcW w:w="548" w:type="dxa"/>
            <w:tcBorders>
              <w:right w:val="single" w:color="000000" w:sz="10" w:space="0"/>
            </w:tcBorders>
            <w:textDirection w:val="tbRlV"/>
            <w:vAlign w:val="top"/>
          </w:tcPr>
          <w:p w14:paraId="45C90362">
            <w:pPr>
              <w:kinsoku w:val="0"/>
              <w:autoSpaceDE w:val="0"/>
              <w:autoSpaceDN w:val="0"/>
              <w:adjustRightInd w:val="0"/>
              <w:snapToGrid w:val="0"/>
              <w:spacing w:before="235" w:line="207" w:lineRule="auto"/>
              <w:ind w:left="33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符</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合</w:t>
            </w:r>
          </w:p>
        </w:tc>
      </w:tr>
      <w:tr w14:paraId="009AD1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21" w:hRule="atLeast"/>
        </w:trPr>
        <w:tc>
          <w:tcPr>
            <w:tcW w:w="741" w:type="dxa"/>
            <w:tcBorders>
              <w:left w:val="single" w:color="000000" w:sz="10" w:space="0"/>
            </w:tcBorders>
            <w:vAlign w:val="top"/>
          </w:tcPr>
          <w:p w14:paraId="2538E732">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4608417B">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40B9570B">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3F4FFA8F">
            <w:pPr>
              <w:widowControl/>
              <w:kinsoku w:val="0"/>
              <w:autoSpaceDE w:val="0"/>
              <w:autoSpaceDN w:val="0"/>
              <w:adjustRightInd w:val="0"/>
              <w:snapToGrid w:val="0"/>
              <w:spacing w:before="52" w:line="188" w:lineRule="auto"/>
              <w:ind w:left="24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5.3</w:t>
            </w:r>
          </w:p>
        </w:tc>
        <w:tc>
          <w:tcPr>
            <w:tcW w:w="3964" w:type="dxa"/>
            <w:vAlign w:val="top"/>
          </w:tcPr>
          <w:p w14:paraId="6D5CA060">
            <w:pPr>
              <w:kinsoku w:val="0"/>
              <w:autoSpaceDE w:val="0"/>
              <w:autoSpaceDN w:val="0"/>
              <w:adjustRightInd w:val="0"/>
              <w:snapToGrid w:val="0"/>
              <w:spacing w:before="73" w:line="260" w:lineRule="auto"/>
              <w:ind w:left="102" w:right="105"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生产经营单位的应急预案经评审或者论证后，由</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本单位主要负责人签署，向本单位从业人员公</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布，并及时发放到本单位有关部门、岗位和相关</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应急救援队伍。</w:t>
            </w:r>
          </w:p>
          <w:p w14:paraId="35F0B72D">
            <w:pPr>
              <w:kinsoku w:val="0"/>
              <w:autoSpaceDE w:val="0"/>
              <w:autoSpaceDN w:val="0"/>
              <w:adjustRightInd w:val="0"/>
              <w:snapToGrid w:val="0"/>
              <w:spacing w:before="24" w:line="239" w:lineRule="auto"/>
              <w:ind w:left="102" w:right="10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事故风险可能影响周边其他单位、人员的，生产</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经营单位应当将有关事故风险的性质、影响范围</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和应急防范措施告知周边的其他单位和人员。</w:t>
            </w:r>
          </w:p>
        </w:tc>
        <w:tc>
          <w:tcPr>
            <w:tcW w:w="2112" w:type="dxa"/>
            <w:vAlign w:val="top"/>
          </w:tcPr>
          <w:p w14:paraId="7D3EDAB4">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1E8273B0">
            <w:pPr>
              <w:kinsoku w:val="0"/>
              <w:autoSpaceDE w:val="0"/>
              <w:autoSpaceDN w:val="0"/>
              <w:adjustRightInd w:val="0"/>
              <w:snapToGrid w:val="0"/>
              <w:spacing w:before="59" w:line="220" w:lineRule="auto"/>
              <w:ind w:left="1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《应急管理部关于修改</w:t>
            </w:r>
          </w:p>
          <w:p w14:paraId="725B098D">
            <w:pPr>
              <w:kinsoku w:val="0"/>
              <w:autoSpaceDE w:val="0"/>
              <w:autoSpaceDN w:val="0"/>
              <w:adjustRightInd w:val="0"/>
              <w:snapToGrid w:val="0"/>
              <w:spacing w:before="43" w:line="260" w:lineRule="auto"/>
              <w:ind w:left="113" w:right="97" w:firstLine="2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〈生产安全事故应急预</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3"/>
                <w:kern w:val="0"/>
                <w:sz w:val="18"/>
                <w:szCs w:val="18"/>
                <w:lang w:val="en-US" w:eastAsia="en-US" w:bidi="ar-SA"/>
              </w:rPr>
              <w:t>案管理办法〉的决定》（中</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华人民共和国应急管理</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部令〔</w:t>
            </w:r>
            <w:r>
              <w:rPr>
                <w:rFonts w:ascii="Times New Roman" w:hAnsi="Times New Roman" w:eastAsia="Times New Roman" w:cs="Times New Roman"/>
                <w:snapToGrid w:val="0"/>
                <w:color w:val="000000"/>
                <w:spacing w:val="-1"/>
                <w:kern w:val="0"/>
                <w:sz w:val="18"/>
                <w:szCs w:val="18"/>
                <w:lang w:val="en-US" w:eastAsia="en-US" w:bidi="ar-SA"/>
              </w:rPr>
              <w:t>2019</w:t>
            </w:r>
            <w:r>
              <w:rPr>
                <w:rFonts w:ascii="宋体" w:hAnsi="宋体" w:eastAsia="宋体" w:cs="宋体"/>
                <w:snapToGrid w:val="0"/>
                <w:color w:val="000000"/>
                <w:spacing w:val="-1"/>
                <w:kern w:val="0"/>
                <w:sz w:val="18"/>
                <w:szCs w:val="18"/>
                <w:lang w:val="en-US" w:eastAsia="en-US" w:bidi="ar-SA"/>
              </w:rPr>
              <w:t>〕第</w:t>
            </w:r>
            <w:r>
              <w:rPr>
                <w:rFonts w:ascii="宋体" w:hAnsi="宋体" w:eastAsia="宋体" w:cs="宋体"/>
                <w:snapToGrid w:val="0"/>
                <w:color w:val="000000"/>
                <w:spacing w:val="-41"/>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2 </w:t>
            </w:r>
            <w:r>
              <w:rPr>
                <w:rFonts w:ascii="宋体" w:hAnsi="宋体" w:eastAsia="宋体" w:cs="宋体"/>
                <w:snapToGrid w:val="0"/>
                <w:color w:val="000000"/>
                <w:spacing w:val="-1"/>
                <w:kern w:val="0"/>
                <w:sz w:val="18"/>
                <w:szCs w:val="18"/>
                <w:lang w:val="en-US" w:eastAsia="en-US" w:bidi="ar-SA"/>
              </w:rPr>
              <w:t>号）</w:t>
            </w:r>
          </w:p>
        </w:tc>
        <w:tc>
          <w:tcPr>
            <w:tcW w:w="1836" w:type="dxa"/>
            <w:gridSpan w:val="2"/>
            <w:vAlign w:val="top"/>
          </w:tcPr>
          <w:p w14:paraId="735BC73C">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04E52E14">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2438DBBA">
            <w:pPr>
              <w:kinsoku w:val="0"/>
              <w:autoSpaceDE w:val="0"/>
              <w:autoSpaceDN w:val="0"/>
              <w:adjustRightInd w:val="0"/>
              <w:snapToGrid w:val="0"/>
              <w:spacing w:before="58" w:line="258" w:lineRule="auto"/>
              <w:ind w:left="120" w:right="93"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该站的事故应急预案</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由加油站主要负责人</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签署公布。</w:t>
            </w:r>
          </w:p>
        </w:tc>
        <w:tc>
          <w:tcPr>
            <w:tcW w:w="548" w:type="dxa"/>
            <w:tcBorders>
              <w:right w:val="single" w:color="000000" w:sz="10" w:space="0"/>
            </w:tcBorders>
            <w:textDirection w:val="tbRlV"/>
            <w:vAlign w:val="top"/>
          </w:tcPr>
          <w:p w14:paraId="609A7AB0">
            <w:pPr>
              <w:kinsoku w:val="0"/>
              <w:autoSpaceDE w:val="0"/>
              <w:autoSpaceDN w:val="0"/>
              <w:adjustRightInd w:val="0"/>
              <w:snapToGrid w:val="0"/>
              <w:spacing w:before="235" w:line="207" w:lineRule="auto"/>
              <w:ind w:left="7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符</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合</w:t>
            </w:r>
          </w:p>
        </w:tc>
      </w:tr>
      <w:tr w14:paraId="32BD16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6" w:hRule="atLeast"/>
        </w:trPr>
        <w:tc>
          <w:tcPr>
            <w:tcW w:w="741" w:type="dxa"/>
            <w:tcBorders>
              <w:left w:val="single" w:color="000000" w:sz="10" w:space="0"/>
              <w:bottom w:val="single" w:color="000000" w:sz="10" w:space="0"/>
            </w:tcBorders>
            <w:vAlign w:val="top"/>
          </w:tcPr>
          <w:p w14:paraId="4882A5BC">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750F0296">
            <w:pPr>
              <w:widowControl/>
              <w:kinsoku w:val="0"/>
              <w:autoSpaceDE w:val="0"/>
              <w:autoSpaceDN w:val="0"/>
              <w:adjustRightInd w:val="0"/>
              <w:snapToGrid w:val="0"/>
              <w:spacing w:line="287" w:lineRule="auto"/>
              <w:jc w:val="left"/>
              <w:textAlignment w:val="baseline"/>
              <w:rPr>
                <w:rFonts w:ascii="Arial" w:hAnsi="Arial" w:eastAsia="Arial" w:cs="Arial"/>
                <w:snapToGrid w:val="0"/>
                <w:color w:val="000000"/>
                <w:kern w:val="0"/>
                <w:sz w:val="21"/>
                <w:lang w:eastAsia="en-US"/>
              </w:rPr>
            </w:pPr>
          </w:p>
          <w:p w14:paraId="55FDF6E0">
            <w:pPr>
              <w:widowControl/>
              <w:kinsoku w:val="0"/>
              <w:autoSpaceDE w:val="0"/>
              <w:autoSpaceDN w:val="0"/>
              <w:adjustRightInd w:val="0"/>
              <w:snapToGrid w:val="0"/>
              <w:spacing w:before="52" w:line="188" w:lineRule="auto"/>
              <w:ind w:left="24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5.4</w:t>
            </w:r>
          </w:p>
        </w:tc>
        <w:tc>
          <w:tcPr>
            <w:tcW w:w="3964" w:type="dxa"/>
            <w:tcBorders>
              <w:bottom w:val="single" w:color="000000" w:sz="10" w:space="0"/>
            </w:tcBorders>
            <w:vAlign w:val="top"/>
          </w:tcPr>
          <w:p w14:paraId="393EB52F">
            <w:pPr>
              <w:widowControl/>
              <w:kinsoku w:val="0"/>
              <w:autoSpaceDE w:val="0"/>
              <w:autoSpaceDN w:val="0"/>
              <w:adjustRightInd w:val="0"/>
              <w:snapToGrid w:val="0"/>
              <w:spacing w:line="277" w:lineRule="auto"/>
              <w:jc w:val="left"/>
              <w:textAlignment w:val="baseline"/>
              <w:rPr>
                <w:rFonts w:ascii="Arial" w:hAnsi="Arial" w:eastAsia="Arial" w:cs="Arial"/>
                <w:snapToGrid w:val="0"/>
                <w:color w:val="000000"/>
                <w:kern w:val="0"/>
                <w:sz w:val="21"/>
                <w:lang w:eastAsia="en-US"/>
              </w:rPr>
            </w:pPr>
          </w:p>
          <w:p w14:paraId="471C3BEE">
            <w:pPr>
              <w:kinsoku w:val="0"/>
              <w:autoSpaceDE w:val="0"/>
              <w:autoSpaceDN w:val="0"/>
              <w:adjustRightInd w:val="0"/>
              <w:snapToGrid w:val="0"/>
              <w:spacing w:before="59" w:line="257" w:lineRule="auto"/>
              <w:ind w:left="104" w:right="26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危险化学品单位应当将其危险化学品事故应急</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预案报所在地设区的市级人民政府安全生产监</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督管理部门备案。</w:t>
            </w:r>
          </w:p>
        </w:tc>
        <w:tc>
          <w:tcPr>
            <w:tcW w:w="2112" w:type="dxa"/>
            <w:tcBorders>
              <w:bottom w:val="single" w:color="000000" w:sz="10" w:space="0"/>
            </w:tcBorders>
            <w:vAlign w:val="top"/>
          </w:tcPr>
          <w:p w14:paraId="7265E72B">
            <w:pPr>
              <w:kinsoku w:val="0"/>
              <w:autoSpaceDE w:val="0"/>
              <w:autoSpaceDN w:val="0"/>
              <w:adjustRightInd w:val="0"/>
              <w:snapToGrid w:val="0"/>
              <w:spacing w:before="77" w:line="254" w:lineRule="auto"/>
              <w:ind w:left="204" w:right="97" w:hanging="86"/>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《危险化学品安全管理</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条例》（中华人民共和</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国国务院令〔</w:t>
            </w:r>
            <w:r>
              <w:rPr>
                <w:rFonts w:ascii="Times New Roman" w:hAnsi="Times New Roman" w:eastAsia="Times New Roman" w:cs="Times New Roman"/>
                <w:snapToGrid w:val="0"/>
                <w:color w:val="000000"/>
                <w:spacing w:val="-1"/>
                <w:kern w:val="0"/>
                <w:sz w:val="18"/>
                <w:szCs w:val="18"/>
                <w:lang w:val="en-US" w:eastAsia="en-US" w:bidi="ar-SA"/>
              </w:rPr>
              <w:t>2011</w:t>
            </w:r>
            <w:r>
              <w:rPr>
                <w:rFonts w:ascii="宋体" w:hAnsi="宋体" w:eastAsia="宋体" w:cs="宋体"/>
                <w:snapToGrid w:val="0"/>
                <w:color w:val="000000"/>
                <w:spacing w:val="-1"/>
                <w:kern w:val="0"/>
                <w:sz w:val="18"/>
                <w:szCs w:val="18"/>
                <w:lang w:val="en-US" w:eastAsia="en-US" w:bidi="ar-SA"/>
              </w:rPr>
              <w:t>〕第</w:t>
            </w:r>
            <w:r>
              <w:rPr>
                <w:rFonts w:ascii="宋体" w:hAnsi="宋体" w:eastAsia="宋体" w:cs="宋体"/>
                <w:snapToGrid w:val="0"/>
                <w:color w:val="000000"/>
                <w:spacing w:val="2"/>
                <w:kern w:val="0"/>
                <w:sz w:val="18"/>
                <w:szCs w:val="18"/>
                <w:lang w:val="en-US" w:eastAsia="en-US" w:bidi="ar-SA"/>
              </w:rPr>
              <w:t xml:space="preserve"> </w:t>
            </w:r>
            <w:r>
              <w:rPr>
                <w:rFonts w:ascii="Times New Roman" w:hAnsi="Times New Roman" w:eastAsia="Times New Roman" w:cs="Times New Roman"/>
                <w:snapToGrid w:val="0"/>
                <w:color w:val="000000"/>
                <w:spacing w:val="-8"/>
                <w:kern w:val="0"/>
                <w:sz w:val="18"/>
                <w:szCs w:val="18"/>
                <w:lang w:val="en-US" w:eastAsia="en-US" w:bidi="ar-SA"/>
              </w:rPr>
              <w:t>591</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号、〔</w:t>
            </w:r>
            <w:r>
              <w:rPr>
                <w:rFonts w:ascii="Times New Roman" w:hAnsi="Times New Roman" w:eastAsia="Times New Roman" w:cs="Times New Roman"/>
                <w:snapToGrid w:val="0"/>
                <w:color w:val="000000"/>
                <w:spacing w:val="-8"/>
                <w:kern w:val="0"/>
                <w:sz w:val="18"/>
                <w:szCs w:val="18"/>
                <w:lang w:val="en-US" w:eastAsia="en-US" w:bidi="ar-SA"/>
              </w:rPr>
              <w:t>2013</w:t>
            </w:r>
            <w:r>
              <w:rPr>
                <w:rFonts w:ascii="宋体" w:hAnsi="宋体" w:eastAsia="宋体" w:cs="宋体"/>
                <w:snapToGrid w:val="0"/>
                <w:color w:val="000000"/>
                <w:spacing w:val="-8"/>
                <w:kern w:val="0"/>
                <w:sz w:val="18"/>
                <w:szCs w:val="18"/>
                <w:lang w:val="en-US" w:eastAsia="en-US" w:bidi="ar-SA"/>
              </w:rPr>
              <w:t>〕第</w:t>
            </w:r>
            <w:r>
              <w:rPr>
                <w:rFonts w:ascii="宋体" w:hAnsi="宋体" w:eastAsia="宋体" w:cs="宋体"/>
                <w:snapToGrid w:val="0"/>
                <w:color w:val="000000"/>
                <w:spacing w:val="-37"/>
                <w:kern w:val="0"/>
                <w:sz w:val="18"/>
                <w:szCs w:val="18"/>
                <w:lang w:val="en-US" w:eastAsia="en-US" w:bidi="ar-SA"/>
              </w:rPr>
              <w:t xml:space="preserve"> </w:t>
            </w:r>
            <w:r>
              <w:rPr>
                <w:rFonts w:ascii="Times New Roman" w:hAnsi="Times New Roman" w:eastAsia="Times New Roman" w:cs="Times New Roman"/>
                <w:snapToGrid w:val="0"/>
                <w:color w:val="000000"/>
                <w:spacing w:val="-8"/>
                <w:kern w:val="0"/>
                <w:sz w:val="18"/>
                <w:szCs w:val="18"/>
                <w:lang w:val="en-US" w:eastAsia="en-US" w:bidi="ar-SA"/>
              </w:rPr>
              <w:t>645</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号修订）第七十条</w:t>
            </w:r>
          </w:p>
        </w:tc>
        <w:tc>
          <w:tcPr>
            <w:tcW w:w="1836" w:type="dxa"/>
            <w:gridSpan w:val="2"/>
            <w:tcBorders>
              <w:bottom w:val="single" w:color="000000" w:sz="10" w:space="0"/>
            </w:tcBorders>
            <w:vAlign w:val="top"/>
          </w:tcPr>
          <w:p w14:paraId="59992265">
            <w:pPr>
              <w:widowControl/>
              <w:kinsoku w:val="0"/>
              <w:autoSpaceDE w:val="0"/>
              <w:autoSpaceDN w:val="0"/>
              <w:adjustRightInd w:val="0"/>
              <w:snapToGrid w:val="0"/>
              <w:spacing w:line="267" w:lineRule="auto"/>
              <w:jc w:val="left"/>
              <w:textAlignment w:val="baseline"/>
              <w:rPr>
                <w:rFonts w:ascii="Arial" w:hAnsi="Arial" w:eastAsia="Arial" w:cs="Arial"/>
                <w:snapToGrid w:val="0"/>
                <w:color w:val="000000"/>
                <w:kern w:val="0"/>
                <w:sz w:val="21"/>
                <w:lang w:eastAsia="en-US"/>
              </w:rPr>
            </w:pPr>
          </w:p>
          <w:p w14:paraId="77AA993A">
            <w:pPr>
              <w:widowControl/>
              <w:kinsoku w:val="0"/>
              <w:autoSpaceDE w:val="0"/>
              <w:autoSpaceDN w:val="0"/>
              <w:adjustRightInd w:val="0"/>
              <w:snapToGrid w:val="0"/>
              <w:spacing w:line="268" w:lineRule="auto"/>
              <w:jc w:val="left"/>
              <w:textAlignment w:val="baseline"/>
              <w:rPr>
                <w:rFonts w:ascii="Arial" w:hAnsi="Arial" w:eastAsia="Arial" w:cs="Arial"/>
                <w:snapToGrid w:val="0"/>
                <w:color w:val="000000"/>
                <w:kern w:val="0"/>
                <w:sz w:val="21"/>
                <w:lang w:eastAsia="en-US"/>
              </w:rPr>
            </w:pPr>
          </w:p>
          <w:p w14:paraId="04AB33C8">
            <w:pPr>
              <w:kinsoku w:val="0"/>
              <w:autoSpaceDE w:val="0"/>
              <w:autoSpaceDN w:val="0"/>
              <w:adjustRightInd w:val="0"/>
              <w:snapToGrid w:val="0"/>
              <w:spacing w:before="58" w:line="221" w:lineRule="auto"/>
              <w:ind w:left="13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已进行备案。</w:t>
            </w:r>
          </w:p>
        </w:tc>
        <w:tc>
          <w:tcPr>
            <w:tcW w:w="548" w:type="dxa"/>
            <w:tcBorders>
              <w:bottom w:val="single" w:color="000000" w:sz="10" w:space="0"/>
              <w:right w:val="single" w:color="000000" w:sz="10" w:space="0"/>
            </w:tcBorders>
            <w:textDirection w:val="tbRlV"/>
            <w:vAlign w:val="top"/>
          </w:tcPr>
          <w:p w14:paraId="7B177809">
            <w:pPr>
              <w:kinsoku w:val="0"/>
              <w:autoSpaceDE w:val="0"/>
              <w:autoSpaceDN w:val="0"/>
              <w:adjustRightInd w:val="0"/>
              <w:snapToGrid w:val="0"/>
              <w:spacing w:before="235" w:line="207" w:lineRule="auto"/>
              <w:ind w:left="46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符</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合</w:t>
            </w:r>
          </w:p>
        </w:tc>
      </w:tr>
    </w:tbl>
    <w:p w14:paraId="6AEBC9D0">
      <w:pPr>
        <w:keepNext w:val="0"/>
        <w:keepLines w:val="0"/>
        <w:pageBreakBefore w:val="0"/>
        <w:widowControl w:val="0"/>
        <w:kinsoku/>
        <w:wordWrap/>
        <w:overflowPunct/>
        <w:topLinePunct w:val="0"/>
        <w:autoSpaceDE/>
        <w:autoSpaceDN/>
        <w:bidi w:val="0"/>
        <w:adjustRightInd/>
        <w:snapToGrid/>
        <w:jc w:val="center"/>
        <w:textAlignment w:val="auto"/>
        <w:rPr>
          <w:rFonts w:ascii="宋体" w:hAnsi="宋体" w:eastAsia="宋体" w:cs="宋体"/>
          <w:snapToGrid w:val="0"/>
          <w:color w:val="000000"/>
          <w:spacing w:val="-12"/>
          <w:kern w:val="0"/>
          <w:sz w:val="28"/>
          <w:szCs w:val="28"/>
          <w:lang w:eastAsia="en-US"/>
        </w:rPr>
      </w:pPr>
      <w:r>
        <w:rPr>
          <w:rFonts w:ascii="宋体" w:hAnsi="宋体" w:eastAsia="宋体" w:cs="宋体"/>
          <w:snapToGrid w:val="0"/>
          <w:color w:val="000000"/>
          <w:spacing w:val="-12"/>
          <w:kern w:val="0"/>
          <w:sz w:val="28"/>
          <w:szCs w:val="28"/>
          <w:lang w:eastAsia="en-US"/>
        </w:rPr>
        <w:t>评价结论：从上述安全检查表</w:t>
      </w:r>
      <w:r>
        <w:rPr>
          <w:rFonts w:ascii="宋体" w:hAnsi="宋体" w:eastAsia="宋体" w:cs="宋体"/>
          <w:snapToGrid w:val="0"/>
          <w:color w:val="000000"/>
          <w:spacing w:val="-67"/>
          <w:kern w:val="0"/>
          <w:sz w:val="28"/>
          <w:szCs w:val="28"/>
          <w:lang w:eastAsia="en-US"/>
        </w:rPr>
        <w:t xml:space="preserve"> </w:t>
      </w:r>
      <w:r>
        <w:rPr>
          <w:rFonts w:ascii="Times New Roman" w:hAnsi="Times New Roman" w:eastAsia="Times New Roman" w:cs="Times New Roman"/>
          <w:snapToGrid w:val="0"/>
          <w:color w:val="000000"/>
          <w:spacing w:val="-12"/>
          <w:kern w:val="0"/>
          <w:sz w:val="28"/>
          <w:szCs w:val="28"/>
          <w:lang w:eastAsia="en-US"/>
        </w:rPr>
        <w:t xml:space="preserve">5-1 </w:t>
      </w:r>
      <w:r>
        <w:rPr>
          <w:rFonts w:ascii="宋体" w:hAnsi="宋体" w:eastAsia="宋体" w:cs="宋体"/>
          <w:snapToGrid w:val="0"/>
          <w:color w:val="000000"/>
          <w:spacing w:val="-12"/>
          <w:kern w:val="0"/>
          <w:sz w:val="28"/>
          <w:szCs w:val="28"/>
          <w:lang w:eastAsia="en-US"/>
        </w:rPr>
        <w:t>和</w:t>
      </w:r>
      <w:r>
        <w:rPr>
          <w:rFonts w:ascii="宋体" w:hAnsi="宋体" w:eastAsia="宋体" w:cs="宋体"/>
          <w:snapToGrid w:val="0"/>
          <w:color w:val="000000"/>
          <w:spacing w:val="-72"/>
          <w:kern w:val="0"/>
          <w:sz w:val="28"/>
          <w:szCs w:val="28"/>
          <w:lang w:eastAsia="en-US"/>
        </w:rPr>
        <w:t xml:space="preserve"> </w:t>
      </w:r>
      <w:r>
        <w:rPr>
          <w:rFonts w:ascii="Times New Roman" w:hAnsi="Times New Roman" w:eastAsia="Times New Roman" w:cs="Times New Roman"/>
          <w:snapToGrid w:val="0"/>
          <w:color w:val="000000"/>
          <w:spacing w:val="-12"/>
          <w:kern w:val="0"/>
          <w:sz w:val="28"/>
          <w:szCs w:val="28"/>
          <w:lang w:eastAsia="en-US"/>
        </w:rPr>
        <w:t>5-2</w:t>
      </w:r>
      <w:r>
        <w:rPr>
          <w:rFonts w:ascii="宋体" w:hAnsi="宋体" w:eastAsia="宋体" w:cs="宋体"/>
          <w:snapToGrid w:val="0"/>
          <w:color w:val="000000"/>
          <w:spacing w:val="-12"/>
          <w:kern w:val="0"/>
          <w:sz w:val="28"/>
          <w:szCs w:val="28"/>
          <w:lang w:eastAsia="en-US"/>
        </w:rPr>
        <w:t>的检查结果可知，符合要求。</w:t>
      </w:r>
    </w:p>
    <w:p w14:paraId="09EEEBB1">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rPr>
      </w:pPr>
      <w:bookmarkStart w:id="222" w:name="_Toc27794"/>
      <w:r>
        <w:rPr>
          <w:rFonts w:hint="eastAsia" w:ascii="楷体" w:hAnsi="楷体" w:eastAsia="楷体" w:cs="楷体"/>
          <w:sz w:val="32"/>
          <w:szCs w:val="32"/>
        </w:rPr>
        <w:t>5.2站址和总平面布置及建（构）筑物单元</w:t>
      </w:r>
      <w:bookmarkEnd w:id="222"/>
    </w:p>
    <w:p w14:paraId="3EF87C80">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rPr>
      </w:pPr>
      <w:bookmarkStart w:id="223" w:name="_Toc12366"/>
      <w:r>
        <w:rPr>
          <w:rFonts w:hint="eastAsia" w:ascii="楷体" w:hAnsi="楷体" w:eastAsia="楷体" w:cs="楷体"/>
          <w:sz w:val="32"/>
          <w:szCs w:val="32"/>
        </w:rPr>
        <w:t>5.2.1周边环境评价</w:t>
      </w:r>
      <w:bookmarkEnd w:id="223"/>
    </w:p>
    <w:p w14:paraId="5BFD1F2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加油站地处江西省上饶市余干县社庚乡社庚街，该加油站坐北朝南方向。东侧为辅助房，辅助房距离柴油储罐最近12.44m；东侧为民用建筑物和一根架空电力线（杆高6m，有绝缘层），该民用建筑距离柴油加油机最近15.1m，架空电力线距离柴油加油机最近16.84m；南侧为689县道，县道靠近加油站一侧距离加油机最近8.4m，县道对面为民用建筑及一根10kv的架空电力线（杆高8m，无绝缘层），该民用建筑距离加油机最近19.09m，架空电力线距离加油机最近18.63m；西侧有一根架空通讯线（杆高6m，有绝缘层），距离柴油加油机最近10.82m；西侧为民用建筑和隔油池，该民用建筑距离柴油储罐最近13.1m；西北侧为田地及学校（重要公共建筑物），学校距离柴油储罐最近71.61m</w:t>
      </w:r>
    </w:p>
    <w:p w14:paraId="1DE4FCE9">
      <w:pPr>
        <w:rPr>
          <w:rFonts w:hint="eastAsia"/>
        </w:rPr>
      </w:pPr>
      <w:r>
        <w:rPr>
          <w:rFonts w:hint="eastAsia" w:ascii="宋体" w:hAnsi="宋体" w:eastAsia="宋体" w:cs="宋体"/>
          <w:sz w:val="28"/>
          <w:szCs w:val="28"/>
        </w:rPr>
        <w:br w:type="page"/>
      </w:r>
    </w:p>
    <w:p w14:paraId="7B44EE67">
      <w:pPr>
        <w:jc w:val="center"/>
        <w:rPr>
          <w:rFonts w:hint="eastAsia" w:ascii="宋体" w:hAnsi="宋体" w:eastAsia="宋体" w:cs="宋体"/>
          <w:b/>
          <w:bCs/>
          <w:sz w:val="21"/>
          <w:szCs w:val="21"/>
        </w:rPr>
      </w:pPr>
      <w:r>
        <w:rPr>
          <w:rFonts w:hint="eastAsia" w:ascii="宋体" w:hAnsi="宋体" w:eastAsia="宋体" w:cs="宋体"/>
          <w:b/>
          <w:bCs/>
          <w:sz w:val="21"/>
          <w:szCs w:val="21"/>
        </w:rPr>
        <w:t>表</w:t>
      </w:r>
      <w:r>
        <w:rPr>
          <w:rFonts w:hint="eastAsia" w:ascii="宋体" w:hAnsi="宋体" w:cs="宋体"/>
          <w:b/>
          <w:bCs/>
          <w:sz w:val="21"/>
          <w:szCs w:val="21"/>
          <w:lang w:val="en-US" w:eastAsia="zh-CN"/>
        </w:rPr>
        <w:t>5-3</w:t>
      </w:r>
      <w:r>
        <w:rPr>
          <w:rFonts w:hint="eastAsia" w:ascii="宋体" w:hAnsi="宋体" w:eastAsia="宋体" w:cs="宋体"/>
          <w:b/>
          <w:bCs/>
          <w:sz w:val="21"/>
          <w:szCs w:val="21"/>
        </w:rPr>
        <w:t>汽油</w:t>
      </w:r>
      <w:r>
        <w:rPr>
          <w:rFonts w:hint="eastAsia" w:ascii="宋体" w:hAnsi="宋体" w:cs="宋体"/>
          <w:b/>
          <w:bCs/>
          <w:sz w:val="21"/>
          <w:szCs w:val="21"/>
          <w:lang w:eastAsia="zh-CN"/>
        </w:rPr>
        <w:t>（</w:t>
      </w:r>
      <w:r>
        <w:rPr>
          <w:rFonts w:hint="eastAsia" w:ascii="宋体" w:hAnsi="宋体" w:cs="宋体"/>
          <w:b/>
          <w:bCs/>
          <w:sz w:val="21"/>
          <w:szCs w:val="21"/>
          <w:lang w:val="en-US" w:eastAsia="zh-CN"/>
        </w:rPr>
        <w:t>工艺</w:t>
      </w:r>
      <w:r>
        <w:rPr>
          <w:rFonts w:hint="eastAsia" w:ascii="宋体" w:hAnsi="宋体" w:cs="宋体"/>
          <w:b/>
          <w:bCs/>
          <w:sz w:val="21"/>
          <w:szCs w:val="21"/>
          <w:lang w:eastAsia="zh-CN"/>
        </w:rPr>
        <w:t>）</w:t>
      </w:r>
      <w:r>
        <w:rPr>
          <w:rFonts w:hint="eastAsia" w:ascii="宋体" w:hAnsi="宋体" w:eastAsia="宋体" w:cs="宋体"/>
          <w:b/>
          <w:bCs/>
          <w:sz w:val="21"/>
          <w:szCs w:val="21"/>
        </w:rPr>
        <w:t>设备与站外建（构）筑物的安全间距（m）</w:t>
      </w:r>
    </w:p>
    <w:tbl>
      <w:tblPr>
        <w:tblStyle w:val="19"/>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
        <w:gridCol w:w="1962"/>
        <w:gridCol w:w="1019"/>
        <w:gridCol w:w="726"/>
        <w:gridCol w:w="851"/>
        <w:gridCol w:w="992"/>
        <w:gridCol w:w="992"/>
        <w:gridCol w:w="993"/>
        <w:gridCol w:w="816"/>
      </w:tblGrid>
      <w:tr w14:paraId="3340A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9" w:type="dxa"/>
            <w:gridSpan w:val="2"/>
            <w:vMerge w:val="restart"/>
            <w:vAlign w:val="center"/>
          </w:tcPr>
          <w:p w14:paraId="4F73F7B5">
            <w:pPr>
              <w:jc w:val="center"/>
              <w:rPr>
                <w:rFonts w:hint="eastAsia" w:ascii="宋体" w:hAnsi="宋体" w:eastAsia="宋体" w:cs="宋体"/>
                <w:sz w:val="21"/>
                <w:szCs w:val="21"/>
              </w:rPr>
            </w:pPr>
            <w:r>
              <w:rPr>
                <w:rFonts w:hint="eastAsia" w:ascii="宋体" w:hAnsi="宋体" w:eastAsia="宋体" w:cs="宋体"/>
                <w:sz w:val="21"/>
                <w:szCs w:val="21"/>
              </w:rPr>
              <w:t>站外建（构）筑物</w:t>
            </w:r>
          </w:p>
        </w:tc>
        <w:tc>
          <w:tcPr>
            <w:tcW w:w="2596" w:type="dxa"/>
            <w:gridSpan w:val="3"/>
            <w:vAlign w:val="center"/>
          </w:tcPr>
          <w:p w14:paraId="7498DA77">
            <w:pPr>
              <w:jc w:val="center"/>
              <w:rPr>
                <w:rFonts w:hint="eastAsia" w:ascii="宋体" w:hAnsi="宋体" w:eastAsia="宋体" w:cs="宋体"/>
                <w:b/>
                <w:bCs/>
                <w:sz w:val="21"/>
                <w:szCs w:val="21"/>
              </w:rPr>
            </w:pPr>
            <w:r>
              <w:rPr>
                <w:rFonts w:hint="eastAsia" w:ascii="宋体" w:hAnsi="宋体" w:eastAsia="宋体" w:cs="宋体"/>
                <w:sz w:val="21"/>
                <w:szCs w:val="21"/>
              </w:rPr>
              <w:t>三级站</w:t>
            </w:r>
          </w:p>
        </w:tc>
        <w:tc>
          <w:tcPr>
            <w:tcW w:w="2977" w:type="dxa"/>
            <w:gridSpan w:val="3"/>
            <w:vMerge w:val="restart"/>
            <w:vAlign w:val="center"/>
          </w:tcPr>
          <w:p w14:paraId="35F3A896">
            <w:pPr>
              <w:widowControl/>
              <w:ind w:left="-93" w:leftChars="-50" w:hanging="12" w:hangingChars="6"/>
              <w:jc w:val="center"/>
              <w:rPr>
                <w:rFonts w:hint="eastAsia" w:ascii="宋体" w:hAnsi="宋体" w:eastAsia="宋体" w:cs="宋体"/>
                <w:sz w:val="21"/>
                <w:szCs w:val="21"/>
              </w:rPr>
            </w:pPr>
            <w:r>
              <w:rPr>
                <w:rFonts w:hint="eastAsia" w:ascii="宋体" w:hAnsi="宋体" w:eastAsia="宋体" w:cs="宋体"/>
                <w:sz w:val="21"/>
                <w:szCs w:val="21"/>
              </w:rPr>
              <w:t>现场情况</w:t>
            </w:r>
          </w:p>
        </w:tc>
        <w:tc>
          <w:tcPr>
            <w:tcW w:w="816" w:type="dxa"/>
            <w:vMerge w:val="restart"/>
            <w:vAlign w:val="center"/>
          </w:tcPr>
          <w:p w14:paraId="0B16551D">
            <w:pPr>
              <w:widowControl/>
              <w:jc w:val="center"/>
              <w:rPr>
                <w:rFonts w:hint="eastAsia" w:ascii="宋体" w:hAnsi="宋体" w:eastAsia="宋体" w:cs="宋体"/>
                <w:sz w:val="21"/>
                <w:szCs w:val="21"/>
              </w:rPr>
            </w:pPr>
            <w:r>
              <w:rPr>
                <w:rFonts w:hint="eastAsia" w:ascii="宋体" w:hAnsi="宋体" w:eastAsia="宋体" w:cs="宋体"/>
                <w:sz w:val="21"/>
                <w:szCs w:val="21"/>
              </w:rPr>
              <w:t>结论</w:t>
            </w:r>
          </w:p>
        </w:tc>
      </w:tr>
      <w:tr w14:paraId="73D81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9" w:type="dxa"/>
            <w:gridSpan w:val="2"/>
            <w:vMerge w:val="continue"/>
            <w:vAlign w:val="center"/>
          </w:tcPr>
          <w:p w14:paraId="0A0C6DCF">
            <w:pPr>
              <w:jc w:val="center"/>
              <w:rPr>
                <w:rFonts w:hint="eastAsia" w:ascii="宋体" w:hAnsi="宋体" w:eastAsia="宋体" w:cs="宋体"/>
                <w:sz w:val="21"/>
                <w:szCs w:val="21"/>
              </w:rPr>
            </w:pPr>
          </w:p>
        </w:tc>
        <w:tc>
          <w:tcPr>
            <w:tcW w:w="2596" w:type="dxa"/>
            <w:gridSpan w:val="3"/>
            <w:vAlign w:val="center"/>
          </w:tcPr>
          <w:p w14:paraId="38F8E72C">
            <w:pPr>
              <w:jc w:val="center"/>
              <w:rPr>
                <w:rFonts w:hint="eastAsia" w:ascii="宋体" w:hAnsi="宋体" w:eastAsia="宋体" w:cs="宋体"/>
                <w:sz w:val="21"/>
                <w:szCs w:val="21"/>
              </w:rPr>
            </w:pPr>
            <w:r>
              <w:rPr>
                <w:rFonts w:hint="eastAsia" w:ascii="宋体" w:hAnsi="宋体" w:eastAsia="宋体" w:cs="宋体"/>
                <w:sz w:val="21"/>
                <w:szCs w:val="21"/>
              </w:rPr>
              <w:t>有卸油和加油油气</w:t>
            </w:r>
          </w:p>
          <w:p w14:paraId="745B41F4">
            <w:pPr>
              <w:jc w:val="center"/>
              <w:rPr>
                <w:rFonts w:hint="eastAsia" w:ascii="宋体" w:hAnsi="宋体" w:eastAsia="宋体" w:cs="宋体"/>
                <w:sz w:val="21"/>
                <w:szCs w:val="21"/>
              </w:rPr>
            </w:pPr>
            <w:r>
              <w:rPr>
                <w:rFonts w:hint="eastAsia" w:ascii="宋体" w:hAnsi="宋体" w:eastAsia="宋体" w:cs="宋体"/>
                <w:sz w:val="21"/>
                <w:szCs w:val="21"/>
              </w:rPr>
              <w:t>回收系统</w:t>
            </w:r>
          </w:p>
        </w:tc>
        <w:tc>
          <w:tcPr>
            <w:tcW w:w="2977" w:type="dxa"/>
            <w:gridSpan w:val="3"/>
            <w:vMerge w:val="continue"/>
            <w:vAlign w:val="center"/>
          </w:tcPr>
          <w:p w14:paraId="399D40A8">
            <w:pPr>
              <w:widowControl/>
              <w:jc w:val="center"/>
              <w:rPr>
                <w:rFonts w:hint="eastAsia" w:ascii="宋体" w:hAnsi="宋体" w:eastAsia="宋体" w:cs="宋体"/>
                <w:sz w:val="21"/>
                <w:szCs w:val="21"/>
              </w:rPr>
            </w:pPr>
          </w:p>
        </w:tc>
        <w:tc>
          <w:tcPr>
            <w:tcW w:w="816" w:type="dxa"/>
            <w:vMerge w:val="continue"/>
            <w:vAlign w:val="center"/>
          </w:tcPr>
          <w:p w14:paraId="795F4DED">
            <w:pPr>
              <w:widowControl/>
              <w:jc w:val="center"/>
              <w:rPr>
                <w:rFonts w:hint="eastAsia" w:ascii="宋体" w:hAnsi="宋体" w:eastAsia="宋体" w:cs="宋体"/>
                <w:sz w:val="21"/>
                <w:szCs w:val="21"/>
              </w:rPr>
            </w:pPr>
          </w:p>
        </w:tc>
      </w:tr>
      <w:tr w14:paraId="02E99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9" w:type="dxa"/>
            <w:gridSpan w:val="2"/>
            <w:vMerge w:val="continue"/>
            <w:vAlign w:val="center"/>
          </w:tcPr>
          <w:p w14:paraId="5662DA66">
            <w:pPr>
              <w:jc w:val="center"/>
              <w:rPr>
                <w:rFonts w:hint="eastAsia" w:ascii="宋体" w:hAnsi="宋体" w:eastAsia="宋体" w:cs="宋体"/>
                <w:sz w:val="21"/>
                <w:szCs w:val="21"/>
              </w:rPr>
            </w:pPr>
          </w:p>
        </w:tc>
        <w:tc>
          <w:tcPr>
            <w:tcW w:w="1019" w:type="dxa"/>
            <w:vAlign w:val="center"/>
          </w:tcPr>
          <w:p w14:paraId="0FF449CB">
            <w:pPr>
              <w:jc w:val="center"/>
              <w:rPr>
                <w:rFonts w:hint="eastAsia" w:ascii="宋体" w:hAnsi="宋体" w:eastAsia="宋体" w:cs="宋体"/>
                <w:sz w:val="21"/>
                <w:szCs w:val="21"/>
              </w:rPr>
            </w:pPr>
            <w:r>
              <w:rPr>
                <w:rFonts w:hint="eastAsia" w:ascii="宋体" w:hAnsi="宋体" w:eastAsia="宋体" w:cs="宋体"/>
                <w:b/>
                <w:bCs/>
                <w:sz w:val="21"/>
                <w:szCs w:val="21"/>
              </w:rPr>
              <w:t>汽油(埋地油罐)</w:t>
            </w:r>
          </w:p>
        </w:tc>
        <w:tc>
          <w:tcPr>
            <w:tcW w:w="726" w:type="dxa"/>
            <w:vAlign w:val="center"/>
          </w:tcPr>
          <w:p w14:paraId="11C097D9">
            <w:pPr>
              <w:jc w:val="center"/>
              <w:rPr>
                <w:rFonts w:hint="eastAsia" w:ascii="宋体" w:hAnsi="宋体" w:eastAsia="宋体" w:cs="宋体"/>
                <w:sz w:val="21"/>
                <w:szCs w:val="21"/>
              </w:rPr>
            </w:pPr>
            <w:r>
              <w:rPr>
                <w:rFonts w:hint="eastAsia" w:ascii="宋体" w:hAnsi="宋体" w:eastAsia="宋体" w:cs="宋体"/>
                <w:b/>
                <w:bCs/>
                <w:sz w:val="21"/>
                <w:szCs w:val="21"/>
              </w:rPr>
              <w:t>汽油(通气管口)</w:t>
            </w:r>
          </w:p>
        </w:tc>
        <w:tc>
          <w:tcPr>
            <w:tcW w:w="851" w:type="dxa"/>
            <w:vAlign w:val="center"/>
          </w:tcPr>
          <w:p w14:paraId="03B11F7E">
            <w:pPr>
              <w:jc w:val="center"/>
              <w:rPr>
                <w:rFonts w:hint="eastAsia" w:ascii="宋体" w:hAnsi="宋体" w:eastAsia="宋体" w:cs="宋体"/>
                <w:sz w:val="21"/>
                <w:szCs w:val="21"/>
              </w:rPr>
            </w:pPr>
            <w:r>
              <w:rPr>
                <w:rFonts w:hint="eastAsia" w:ascii="宋体" w:hAnsi="宋体" w:eastAsia="宋体" w:cs="宋体"/>
                <w:b/>
                <w:bCs/>
                <w:sz w:val="21"/>
                <w:szCs w:val="21"/>
              </w:rPr>
              <w:t>汽油加油机</w:t>
            </w:r>
          </w:p>
        </w:tc>
        <w:tc>
          <w:tcPr>
            <w:tcW w:w="992" w:type="dxa"/>
            <w:vAlign w:val="center"/>
          </w:tcPr>
          <w:p w14:paraId="169A93F3">
            <w:pPr>
              <w:jc w:val="center"/>
              <w:rPr>
                <w:rFonts w:hint="eastAsia" w:ascii="宋体" w:hAnsi="宋体" w:eastAsia="宋体" w:cs="宋体"/>
                <w:sz w:val="21"/>
                <w:szCs w:val="21"/>
              </w:rPr>
            </w:pPr>
            <w:r>
              <w:rPr>
                <w:rFonts w:hint="eastAsia" w:ascii="宋体" w:hAnsi="宋体" w:eastAsia="宋体" w:cs="宋体"/>
                <w:b/>
                <w:bCs/>
                <w:sz w:val="21"/>
                <w:szCs w:val="21"/>
              </w:rPr>
              <w:t>汽油(埋地油罐)</w:t>
            </w:r>
          </w:p>
        </w:tc>
        <w:tc>
          <w:tcPr>
            <w:tcW w:w="992" w:type="dxa"/>
            <w:vAlign w:val="center"/>
          </w:tcPr>
          <w:p w14:paraId="7618D672">
            <w:pPr>
              <w:jc w:val="center"/>
              <w:rPr>
                <w:rFonts w:hint="eastAsia" w:ascii="宋体" w:hAnsi="宋体" w:eastAsia="宋体" w:cs="宋体"/>
                <w:sz w:val="21"/>
                <w:szCs w:val="21"/>
              </w:rPr>
            </w:pPr>
            <w:r>
              <w:rPr>
                <w:rFonts w:hint="eastAsia" w:ascii="宋体" w:hAnsi="宋体" w:eastAsia="宋体" w:cs="宋体"/>
                <w:b/>
                <w:bCs/>
                <w:sz w:val="21"/>
                <w:szCs w:val="21"/>
              </w:rPr>
              <w:t>汽油(通气管口)</w:t>
            </w:r>
          </w:p>
        </w:tc>
        <w:tc>
          <w:tcPr>
            <w:tcW w:w="993" w:type="dxa"/>
            <w:vAlign w:val="center"/>
          </w:tcPr>
          <w:p w14:paraId="1F957166">
            <w:pPr>
              <w:jc w:val="center"/>
              <w:rPr>
                <w:rFonts w:hint="eastAsia" w:ascii="宋体" w:hAnsi="宋体" w:eastAsia="宋体" w:cs="宋体"/>
                <w:sz w:val="21"/>
                <w:szCs w:val="21"/>
              </w:rPr>
            </w:pPr>
            <w:r>
              <w:rPr>
                <w:rFonts w:hint="eastAsia" w:ascii="宋体" w:hAnsi="宋体" w:eastAsia="宋体" w:cs="宋体"/>
                <w:b/>
                <w:bCs/>
                <w:sz w:val="21"/>
                <w:szCs w:val="21"/>
              </w:rPr>
              <w:t>汽油加油机</w:t>
            </w:r>
          </w:p>
        </w:tc>
        <w:tc>
          <w:tcPr>
            <w:tcW w:w="816" w:type="dxa"/>
            <w:vMerge w:val="continue"/>
            <w:vAlign w:val="center"/>
          </w:tcPr>
          <w:p w14:paraId="5BEA2F16">
            <w:pPr>
              <w:jc w:val="center"/>
              <w:rPr>
                <w:rFonts w:hint="eastAsia" w:ascii="宋体" w:hAnsi="宋体" w:eastAsia="宋体" w:cs="宋体"/>
                <w:sz w:val="21"/>
                <w:szCs w:val="21"/>
              </w:rPr>
            </w:pPr>
          </w:p>
        </w:tc>
      </w:tr>
      <w:tr w14:paraId="5B271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2899" w:type="dxa"/>
            <w:gridSpan w:val="2"/>
            <w:vAlign w:val="center"/>
          </w:tcPr>
          <w:p w14:paraId="7F76D9EE">
            <w:pPr>
              <w:jc w:val="center"/>
              <w:rPr>
                <w:rFonts w:hint="default" w:ascii="宋体" w:hAnsi="宋体" w:eastAsia="宋体" w:cs="宋体"/>
                <w:sz w:val="21"/>
                <w:szCs w:val="21"/>
                <w:lang w:val="en-US" w:eastAsia="zh-CN"/>
              </w:rPr>
            </w:pPr>
            <w:r>
              <w:rPr>
                <w:rFonts w:hint="eastAsia" w:ascii="宋体" w:hAnsi="宋体" w:eastAsia="宋体" w:cs="宋体"/>
                <w:sz w:val="21"/>
                <w:szCs w:val="21"/>
              </w:rPr>
              <w:t>重要公共建筑物</w:t>
            </w:r>
          </w:p>
        </w:tc>
        <w:tc>
          <w:tcPr>
            <w:tcW w:w="1019" w:type="dxa"/>
            <w:vAlign w:val="center"/>
          </w:tcPr>
          <w:p w14:paraId="0A52976D">
            <w:pPr>
              <w:jc w:val="center"/>
              <w:rPr>
                <w:rFonts w:hint="eastAsia" w:ascii="宋体" w:hAnsi="宋体" w:eastAsia="宋体" w:cs="宋体"/>
                <w:sz w:val="21"/>
                <w:szCs w:val="21"/>
              </w:rPr>
            </w:pPr>
            <w:r>
              <w:rPr>
                <w:rFonts w:hint="eastAsia" w:ascii="宋体" w:hAnsi="宋体" w:eastAsia="宋体" w:cs="宋体"/>
                <w:sz w:val="21"/>
                <w:szCs w:val="21"/>
              </w:rPr>
              <w:t>35</w:t>
            </w:r>
          </w:p>
        </w:tc>
        <w:tc>
          <w:tcPr>
            <w:tcW w:w="726" w:type="dxa"/>
            <w:vAlign w:val="center"/>
          </w:tcPr>
          <w:p w14:paraId="5C0B1605">
            <w:pPr>
              <w:jc w:val="center"/>
              <w:rPr>
                <w:rFonts w:hint="eastAsia" w:ascii="宋体" w:hAnsi="宋体" w:eastAsia="宋体" w:cs="宋体"/>
                <w:sz w:val="21"/>
                <w:szCs w:val="21"/>
              </w:rPr>
            </w:pPr>
            <w:r>
              <w:rPr>
                <w:rFonts w:hint="eastAsia" w:ascii="宋体" w:hAnsi="宋体" w:eastAsia="宋体" w:cs="宋体"/>
                <w:sz w:val="21"/>
                <w:szCs w:val="21"/>
              </w:rPr>
              <w:t>35</w:t>
            </w:r>
          </w:p>
        </w:tc>
        <w:tc>
          <w:tcPr>
            <w:tcW w:w="851" w:type="dxa"/>
            <w:vAlign w:val="center"/>
          </w:tcPr>
          <w:p w14:paraId="1F99ED89">
            <w:pPr>
              <w:jc w:val="center"/>
              <w:rPr>
                <w:rFonts w:hint="eastAsia" w:ascii="宋体" w:hAnsi="宋体" w:eastAsia="宋体" w:cs="宋体"/>
                <w:sz w:val="21"/>
                <w:szCs w:val="21"/>
              </w:rPr>
            </w:pPr>
            <w:r>
              <w:rPr>
                <w:rFonts w:hint="eastAsia" w:ascii="宋体" w:hAnsi="宋体" w:eastAsia="宋体" w:cs="宋体"/>
                <w:sz w:val="21"/>
                <w:szCs w:val="21"/>
              </w:rPr>
              <w:t>35</w:t>
            </w:r>
          </w:p>
        </w:tc>
        <w:tc>
          <w:tcPr>
            <w:tcW w:w="992" w:type="dxa"/>
            <w:vAlign w:val="center"/>
          </w:tcPr>
          <w:p w14:paraId="4CDF160D">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74.64</w:t>
            </w:r>
          </w:p>
        </w:tc>
        <w:tc>
          <w:tcPr>
            <w:tcW w:w="992" w:type="dxa"/>
            <w:vAlign w:val="center"/>
          </w:tcPr>
          <w:p w14:paraId="5646FE17">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78.61</w:t>
            </w:r>
          </w:p>
        </w:tc>
        <w:tc>
          <w:tcPr>
            <w:tcW w:w="993" w:type="dxa"/>
            <w:vAlign w:val="center"/>
          </w:tcPr>
          <w:p w14:paraId="42A74834">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246BFD4B">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符合</w:t>
            </w:r>
          </w:p>
        </w:tc>
      </w:tr>
      <w:tr w14:paraId="07CE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9" w:type="dxa"/>
            <w:gridSpan w:val="2"/>
            <w:vAlign w:val="center"/>
          </w:tcPr>
          <w:p w14:paraId="29C9E9E3">
            <w:pPr>
              <w:jc w:val="center"/>
              <w:rPr>
                <w:rFonts w:hint="eastAsia" w:ascii="宋体" w:hAnsi="宋体" w:eastAsia="宋体" w:cs="宋体"/>
                <w:sz w:val="21"/>
                <w:szCs w:val="21"/>
              </w:rPr>
            </w:pPr>
            <w:r>
              <w:rPr>
                <w:rFonts w:hint="eastAsia" w:ascii="宋体" w:hAnsi="宋体" w:eastAsia="宋体" w:cs="宋体"/>
                <w:sz w:val="21"/>
                <w:szCs w:val="21"/>
              </w:rPr>
              <w:t>明火地点或散发火花地点</w:t>
            </w:r>
          </w:p>
        </w:tc>
        <w:tc>
          <w:tcPr>
            <w:tcW w:w="1019" w:type="dxa"/>
            <w:vAlign w:val="center"/>
          </w:tcPr>
          <w:p w14:paraId="01F75F3B">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726" w:type="dxa"/>
            <w:vAlign w:val="center"/>
          </w:tcPr>
          <w:p w14:paraId="3559FC1A">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851" w:type="dxa"/>
            <w:vAlign w:val="center"/>
          </w:tcPr>
          <w:p w14:paraId="10E55C84">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992" w:type="dxa"/>
            <w:vAlign w:val="center"/>
          </w:tcPr>
          <w:p w14:paraId="5B25A2A4">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6DD2528E">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690165BA">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268B6D5D">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5F86C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937" w:type="dxa"/>
            <w:vMerge w:val="restart"/>
            <w:vAlign w:val="center"/>
          </w:tcPr>
          <w:p w14:paraId="0B73BA3C">
            <w:pPr>
              <w:jc w:val="center"/>
              <w:rPr>
                <w:rFonts w:hint="eastAsia" w:ascii="宋体" w:hAnsi="宋体" w:eastAsia="宋体" w:cs="宋体"/>
                <w:sz w:val="21"/>
                <w:szCs w:val="21"/>
              </w:rPr>
            </w:pPr>
            <w:r>
              <w:rPr>
                <w:rFonts w:hint="eastAsia" w:ascii="宋体" w:hAnsi="宋体" w:eastAsia="宋体" w:cs="宋体"/>
                <w:sz w:val="21"/>
                <w:szCs w:val="21"/>
              </w:rPr>
              <w:t>民用建筑物保护类别</w:t>
            </w:r>
          </w:p>
        </w:tc>
        <w:tc>
          <w:tcPr>
            <w:tcW w:w="1962" w:type="dxa"/>
            <w:vAlign w:val="center"/>
          </w:tcPr>
          <w:p w14:paraId="5909D098">
            <w:pPr>
              <w:jc w:val="center"/>
              <w:rPr>
                <w:rFonts w:hint="default"/>
                <w:lang w:val="en-US" w:eastAsia="zh-CN"/>
              </w:rPr>
            </w:pPr>
            <w:r>
              <w:rPr>
                <w:rFonts w:hint="eastAsia" w:ascii="宋体" w:hAnsi="宋体" w:eastAsia="宋体" w:cs="宋体"/>
                <w:sz w:val="21"/>
                <w:szCs w:val="21"/>
              </w:rPr>
              <w:t>一类保护物</w:t>
            </w:r>
          </w:p>
        </w:tc>
        <w:tc>
          <w:tcPr>
            <w:tcW w:w="1019" w:type="dxa"/>
            <w:vAlign w:val="center"/>
          </w:tcPr>
          <w:p w14:paraId="6E1E0265">
            <w:pPr>
              <w:jc w:val="center"/>
              <w:rPr>
                <w:rFonts w:hint="eastAsia" w:ascii="宋体" w:hAnsi="宋体" w:eastAsia="宋体" w:cs="宋体"/>
                <w:sz w:val="21"/>
                <w:szCs w:val="21"/>
              </w:rPr>
            </w:pPr>
            <w:r>
              <w:rPr>
                <w:rFonts w:hint="eastAsia" w:ascii="宋体" w:hAnsi="宋体" w:eastAsia="宋体" w:cs="宋体"/>
                <w:sz w:val="21"/>
                <w:szCs w:val="21"/>
              </w:rPr>
              <w:t>11</w:t>
            </w:r>
          </w:p>
        </w:tc>
        <w:tc>
          <w:tcPr>
            <w:tcW w:w="726" w:type="dxa"/>
            <w:vAlign w:val="center"/>
          </w:tcPr>
          <w:p w14:paraId="452B78CD">
            <w:pPr>
              <w:jc w:val="center"/>
              <w:rPr>
                <w:rFonts w:hint="eastAsia" w:ascii="宋体" w:hAnsi="宋体" w:eastAsia="宋体" w:cs="宋体"/>
                <w:sz w:val="21"/>
                <w:szCs w:val="21"/>
              </w:rPr>
            </w:pPr>
            <w:r>
              <w:rPr>
                <w:rFonts w:hint="eastAsia" w:ascii="宋体" w:hAnsi="宋体" w:eastAsia="宋体" w:cs="宋体"/>
                <w:sz w:val="21"/>
                <w:szCs w:val="21"/>
              </w:rPr>
              <w:t>11</w:t>
            </w:r>
          </w:p>
        </w:tc>
        <w:tc>
          <w:tcPr>
            <w:tcW w:w="851" w:type="dxa"/>
            <w:vAlign w:val="center"/>
          </w:tcPr>
          <w:p w14:paraId="5C925C75">
            <w:pPr>
              <w:jc w:val="center"/>
              <w:rPr>
                <w:rFonts w:hint="eastAsia" w:ascii="宋体" w:hAnsi="宋体" w:eastAsia="宋体" w:cs="宋体"/>
                <w:sz w:val="21"/>
                <w:szCs w:val="21"/>
              </w:rPr>
            </w:pPr>
            <w:r>
              <w:rPr>
                <w:rFonts w:hint="eastAsia" w:ascii="宋体" w:hAnsi="宋体" w:eastAsia="宋体" w:cs="宋体"/>
                <w:sz w:val="21"/>
                <w:szCs w:val="21"/>
              </w:rPr>
              <w:t>11</w:t>
            </w:r>
          </w:p>
        </w:tc>
        <w:tc>
          <w:tcPr>
            <w:tcW w:w="992" w:type="dxa"/>
            <w:vAlign w:val="center"/>
          </w:tcPr>
          <w:p w14:paraId="49D883F3">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w:t>
            </w:r>
          </w:p>
        </w:tc>
        <w:tc>
          <w:tcPr>
            <w:tcW w:w="992" w:type="dxa"/>
            <w:vAlign w:val="center"/>
          </w:tcPr>
          <w:p w14:paraId="1CA962D1">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w:t>
            </w:r>
          </w:p>
        </w:tc>
        <w:tc>
          <w:tcPr>
            <w:tcW w:w="993" w:type="dxa"/>
            <w:vAlign w:val="center"/>
          </w:tcPr>
          <w:p w14:paraId="0BC7262B">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67D7FE66">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w:t>
            </w:r>
          </w:p>
        </w:tc>
      </w:tr>
      <w:tr w14:paraId="04087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vAlign w:val="center"/>
          </w:tcPr>
          <w:p w14:paraId="0E8A2AB5">
            <w:pPr>
              <w:jc w:val="center"/>
              <w:rPr>
                <w:rFonts w:hint="eastAsia" w:ascii="宋体" w:hAnsi="宋体" w:eastAsia="宋体" w:cs="宋体"/>
                <w:sz w:val="21"/>
                <w:szCs w:val="21"/>
              </w:rPr>
            </w:pPr>
          </w:p>
        </w:tc>
        <w:tc>
          <w:tcPr>
            <w:tcW w:w="1962" w:type="dxa"/>
            <w:vAlign w:val="center"/>
          </w:tcPr>
          <w:p w14:paraId="42ADD8B5">
            <w:pPr>
              <w:jc w:val="center"/>
              <w:rPr>
                <w:rFonts w:hint="eastAsia" w:ascii="宋体" w:hAnsi="宋体" w:eastAsia="宋体" w:cs="宋体"/>
                <w:sz w:val="21"/>
                <w:szCs w:val="21"/>
              </w:rPr>
            </w:pPr>
            <w:r>
              <w:rPr>
                <w:rFonts w:hint="eastAsia" w:ascii="宋体" w:hAnsi="宋体" w:eastAsia="宋体" w:cs="宋体"/>
                <w:sz w:val="21"/>
                <w:szCs w:val="21"/>
              </w:rPr>
              <w:t>二类保护物</w:t>
            </w:r>
          </w:p>
        </w:tc>
        <w:tc>
          <w:tcPr>
            <w:tcW w:w="1019" w:type="dxa"/>
            <w:vAlign w:val="center"/>
          </w:tcPr>
          <w:p w14:paraId="74484507">
            <w:pPr>
              <w:jc w:val="center"/>
              <w:rPr>
                <w:rFonts w:hint="eastAsia" w:ascii="宋体" w:hAnsi="宋体" w:eastAsia="宋体" w:cs="宋体"/>
                <w:sz w:val="21"/>
                <w:szCs w:val="21"/>
              </w:rPr>
            </w:pPr>
            <w:r>
              <w:rPr>
                <w:rFonts w:hint="eastAsia" w:ascii="宋体" w:hAnsi="宋体" w:eastAsia="宋体" w:cs="宋体"/>
                <w:sz w:val="21"/>
                <w:szCs w:val="21"/>
              </w:rPr>
              <w:t>8.5</w:t>
            </w:r>
          </w:p>
        </w:tc>
        <w:tc>
          <w:tcPr>
            <w:tcW w:w="726" w:type="dxa"/>
            <w:vAlign w:val="center"/>
          </w:tcPr>
          <w:p w14:paraId="347B837B">
            <w:pPr>
              <w:jc w:val="center"/>
              <w:rPr>
                <w:rFonts w:hint="eastAsia" w:ascii="宋体" w:hAnsi="宋体" w:eastAsia="宋体" w:cs="宋体"/>
                <w:sz w:val="21"/>
                <w:szCs w:val="21"/>
              </w:rPr>
            </w:pPr>
            <w:r>
              <w:rPr>
                <w:rFonts w:hint="eastAsia" w:ascii="宋体" w:hAnsi="宋体" w:eastAsia="宋体" w:cs="宋体"/>
                <w:sz w:val="21"/>
                <w:szCs w:val="21"/>
              </w:rPr>
              <w:t>8.5</w:t>
            </w:r>
          </w:p>
        </w:tc>
        <w:tc>
          <w:tcPr>
            <w:tcW w:w="851" w:type="dxa"/>
            <w:vAlign w:val="center"/>
          </w:tcPr>
          <w:p w14:paraId="13CAE636">
            <w:pPr>
              <w:jc w:val="center"/>
              <w:rPr>
                <w:rFonts w:hint="eastAsia" w:ascii="宋体" w:hAnsi="宋体" w:eastAsia="宋体" w:cs="宋体"/>
                <w:sz w:val="21"/>
                <w:szCs w:val="21"/>
              </w:rPr>
            </w:pPr>
            <w:r>
              <w:rPr>
                <w:rFonts w:hint="eastAsia" w:ascii="宋体" w:hAnsi="宋体" w:eastAsia="宋体" w:cs="宋体"/>
                <w:sz w:val="21"/>
                <w:szCs w:val="21"/>
              </w:rPr>
              <w:t>8.5</w:t>
            </w:r>
          </w:p>
        </w:tc>
        <w:tc>
          <w:tcPr>
            <w:tcW w:w="992" w:type="dxa"/>
            <w:vAlign w:val="center"/>
          </w:tcPr>
          <w:p w14:paraId="2897989B">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14BF80D9">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08E65ECC">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2A8D0468">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37BCD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vAlign w:val="center"/>
          </w:tcPr>
          <w:p w14:paraId="06048125">
            <w:pPr>
              <w:jc w:val="center"/>
              <w:rPr>
                <w:rFonts w:hint="eastAsia" w:ascii="宋体" w:hAnsi="宋体" w:eastAsia="宋体" w:cs="宋体"/>
                <w:sz w:val="21"/>
                <w:szCs w:val="21"/>
              </w:rPr>
            </w:pPr>
          </w:p>
        </w:tc>
        <w:tc>
          <w:tcPr>
            <w:tcW w:w="1962" w:type="dxa"/>
            <w:vAlign w:val="center"/>
          </w:tcPr>
          <w:p w14:paraId="612D1148">
            <w:pPr>
              <w:jc w:val="center"/>
              <w:rPr>
                <w:rFonts w:hint="eastAsia" w:ascii="宋体" w:hAnsi="宋体" w:eastAsia="宋体" w:cs="宋体"/>
                <w:sz w:val="21"/>
                <w:szCs w:val="21"/>
              </w:rPr>
            </w:pPr>
            <w:r>
              <w:rPr>
                <w:rFonts w:hint="eastAsia" w:ascii="宋体" w:hAnsi="宋体" w:eastAsia="宋体" w:cs="宋体"/>
                <w:sz w:val="21"/>
                <w:szCs w:val="21"/>
              </w:rPr>
              <w:t>三类保护物</w:t>
            </w:r>
          </w:p>
        </w:tc>
        <w:tc>
          <w:tcPr>
            <w:tcW w:w="1019" w:type="dxa"/>
            <w:vAlign w:val="center"/>
          </w:tcPr>
          <w:p w14:paraId="5473B124">
            <w:pPr>
              <w:jc w:val="center"/>
              <w:rPr>
                <w:rFonts w:hint="eastAsia" w:ascii="宋体" w:hAnsi="宋体" w:eastAsia="宋体" w:cs="宋体"/>
                <w:sz w:val="21"/>
                <w:szCs w:val="21"/>
              </w:rPr>
            </w:pPr>
            <w:r>
              <w:rPr>
                <w:rFonts w:hint="eastAsia" w:ascii="宋体" w:hAnsi="宋体" w:eastAsia="宋体" w:cs="宋体"/>
                <w:sz w:val="21"/>
                <w:szCs w:val="21"/>
              </w:rPr>
              <w:t>7</w:t>
            </w:r>
          </w:p>
        </w:tc>
        <w:tc>
          <w:tcPr>
            <w:tcW w:w="726" w:type="dxa"/>
            <w:vAlign w:val="center"/>
          </w:tcPr>
          <w:p w14:paraId="493A842B">
            <w:pPr>
              <w:jc w:val="center"/>
              <w:rPr>
                <w:rFonts w:hint="eastAsia" w:ascii="宋体" w:hAnsi="宋体" w:eastAsia="宋体" w:cs="宋体"/>
                <w:sz w:val="21"/>
                <w:szCs w:val="21"/>
              </w:rPr>
            </w:pPr>
            <w:r>
              <w:rPr>
                <w:rFonts w:hint="eastAsia" w:ascii="宋体" w:hAnsi="宋体" w:eastAsia="宋体" w:cs="宋体"/>
                <w:sz w:val="21"/>
                <w:szCs w:val="21"/>
              </w:rPr>
              <w:t>7</w:t>
            </w:r>
          </w:p>
        </w:tc>
        <w:tc>
          <w:tcPr>
            <w:tcW w:w="851" w:type="dxa"/>
            <w:vAlign w:val="center"/>
          </w:tcPr>
          <w:p w14:paraId="2E99B322">
            <w:pPr>
              <w:jc w:val="center"/>
              <w:rPr>
                <w:rFonts w:hint="eastAsia" w:ascii="宋体" w:hAnsi="宋体" w:eastAsia="宋体" w:cs="宋体"/>
                <w:sz w:val="21"/>
                <w:szCs w:val="21"/>
              </w:rPr>
            </w:pPr>
            <w:r>
              <w:rPr>
                <w:rFonts w:hint="eastAsia" w:ascii="宋体" w:hAnsi="宋体" w:eastAsia="宋体" w:cs="宋体"/>
                <w:sz w:val="21"/>
                <w:szCs w:val="21"/>
              </w:rPr>
              <w:t>7</w:t>
            </w:r>
          </w:p>
        </w:tc>
        <w:tc>
          <w:tcPr>
            <w:tcW w:w="992" w:type="dxa"/>
          </w:tcPr>
          <w:p w14:paraId="1FF12939">
            <w:pPr>
              <w:widowControl/>
              <w:jc w:val="center"/>
              <w:rPr>
                <w:rFonts w:hint="eastAsia" w:ascii="宋体" w:hAnsi="宋体" w:eastAsia="宋体" w:cs="宋体"/>
                <w:sz w:val="21"/>
                <w:szCs w:val="21"/>
                <w:lang w:eastAsia="zh-CN"/>
              </w:rPr>
            </w:pPr>
            <w:r>
              <w:rPr>
                <w:rFonts w:hint="eastAsia" w:ascii="宋体" w:hAnsi="宋体" w:eastAsia="宋体" w:cs="宋体"/>
                <w:sz w:val="21"/>
                <w:szCs w:val="21"/>
              </w:rPr>
              <w:t>13.</w:t>
            </w:r>
            <w:r>
              <w:rPr>
                <w:rFonts w:hint="eastAsia" w:ascii="宋体" w:hAnsi="宋体" w:cs="宋体"/>
                <w:sz w:val="21"/>
                <w:szCs w:val="21"/>
                <w:lang w:val="en-US" w:eastAsia="zh-CN"/>
              </w:rPr>
              <w:t>1</w:t>
            </w:r>
          </w:p>
        </w:tc>
        <w:tc>
          <w:tcPr>
            <w:tcW w:w="992" w:type="dxa"/>
          </w:tcPr>
          <w:p w14:paraId="57F92EE7">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26.48</w:t>
            </w:r>
          </w:p>
        </w:tc>
        <w:tc>
          <w:tcPr>
            <w:tcW w:w="993" w:type="dxa"/>
          </w:tcPr>
          <w:p w14:paraId="45081917">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19.09</w:t>
            </w:r>
          </w:p>
        </w:tc>
        <w:tc>
          <w:tcPr>
            <w:tcW w:w="816" w:type="dxa"/>
            <w:vAlign w:val="center"/>
          </w:tcPr>
          <w:p w14:paraId="1D02AFF0">
            <w:pPr>
              <w:widowControl/>
              <w:jc w:val="center"/>
              <w:rPr>
                <w:rFonts w:hint="eastAsia" w:ascii="宋体" w:hAnsi="宋体" w:eastAsia="宋体" w:cs="宋体"/>
                <w:sz w:val="21"/>
                <w:szCs w:val="21"/>
              </w:rPr>
            </w:pPr>
            <w:r>
              <w:rPr>
                <w:rFonts w:hint="eastAsia" w:ascii="宋体" w:hAnsi="宋体" w:eastAsia="宋体" w:cs="宋体"/>
                <w:sz w:val="21"/>
                <w:szCs w:val="21"/>
              </w:rPr>
              <w:t>符合</w:t>
            </w:r>
          </w:p>
        </w:tc>
      </w:tr>
      <w:tr w14:paraId="06264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9" w:type="dxa"/>
            <w:gridSpan w:val="2"/>
            <w:vAlign w:val="center"/>
          </w:tcPr>
          <w:p w14:paraId="718248E4">
            <w:pPr>
              <w:spacing w:line="240" w:lineRule="exact"/>
              <w:jc w:val="center"/>
              <w:rPr>
                <w:rFonts w:hint="eastAsia" w:ascii="宋体" w:hAnsi="宋体" w:eastAsia="宋体" w:cs="宋体"/>
                <w:sz w:val="21"/>
                <w:szCs w:val="21"/>
              </w:rPr>
            </w:pPr>
            <w:r>
              <w:rPr>
                <w:rFonts w:hint="eastAsia" w:ascii="宋体" w:hAnsi="宋体" w:eastAsia="宋体" w:cs="宋体"/>
                <w:sz w:val="21"/>
                <w:szCs w:val="21"/>
              </w:rPr>
              <w:t>甲、乙类物品生产厂房、库房和甲、乙类液体储罐</w:t>
            </w:r>
          </w:p>
        </w:tc>
        <w:tc>
          <w:tcPr>
            <w:tcW w:w="1019" w:type="dxa"/>
            <w:vAlign w:val="center"/>
          </w:tcPr>
          <w:p w14:paraId="14F99002">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726" w:type="dxa"/>
            <w:vAlign w:val="center"/>
          </w:tcPr>
          <w:p w14:paraId="0D0E21DE">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851" w:type="dxa"/>
            <w:vAlign w:val="center"/>
          </w:tcPr>
          <w:p w14:paraId="4F3B361B">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992" w:type="dxa"/>
            <w:vAlign w:val="center"/>
          </w:tcPr>
          <w:p w14:paraId="2CFBA386">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2A968760">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20C1B31E">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7FCD2CEB">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0AC04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2899" w:type="dxa"/>
            <w:gridSpan w:val="2"/>
            <w:vAlign w:val="center"/>
          </w:tcPr>
          <w:p w14:paraId="26A816C4">
            <w:pPr>
              <w:spacing w:line="240" w:lineRule="exact"/>
              <w:jc w:val="center"/>
              <w:rPr>
                <w:rFonts w:hint="eastAsia" w:ascii="宋体" w:hAnsi="宋体" w:eastAsia="宋体" w:cs="宋体"/>
                <w:sz w:val="21"/>
                <w:szCs w:val="21"/>
              </w:rPr>
            </w:pPr>
            <w:r>
              <w:rPr>
                <w:rFonts w:hint="eastAsia" w:ascii="宋体" w:hAnsi="宋体" w:eastAsia="宋体" w:cs="宋体"/>
                <w:sz w:val="21"/>
                <w:szCs w:val="21"/>
              </w:rPr>
              <w:t>丙、丁、戊类物品生产厂房、库房和丙类液体储罐以及容积不大于50m³的埋地甲、乙类液体储罐</w:t>
            </w:r>
          </w:p>
        </w:tc>
        <w:tc>
          <w:tcPr>
            <w:tcW w:w="1019" w:type="dxa"/>
            <w:vAlign w:val="center"/>
          </w:tcPr>
          <w:p w14:paraId="58BC73C0">
            <w:pPr>
              <w:jc w:val="center"/>
              <w:rPr>
                <w:rFonts w:hint="eastAsia" w:ascii="宋体" w:hAnsi="宋体" w:eastAsia="宋体" w:cs="宋体"/>
                <w:sz w:val="21"/>
                <w:szCs w:val="21"/>
              </w:rPr>
            </w:pPr>
            <w:r>
              <w:rPr>
                <w:rFonts w:hint="eastAsia" w:ascii="宋体" w:hAnsi="宋体" w:eastAsia="宋体" w:cs="宋体"/>
                <w:sz w:val="21"/>
                <w:szCs w:val="21"/>
              </w:rPr>
              <w:t>10.5</w:t>
            </w:r>
          </w:p>
        </w:tc>
        <w:tc>
          <w:tcPr>
            <w:tcW w:w="726" w:type="dxa"/>
            <w:vAlign w:val="center"/>
          </w:tcPr>
          <w:p w14:paraId="7C3C803D">
            <w:pPr>
              <w:jc w:val="center"/>
              <w:rPr>
                <w:rFonts w:hint="eastAsia" w:ascii="宋体" w:hAnsi="宋体" w:eastAsia="宋体" w:cs="宋体"/>
                <w:sz w:val="21"/>
                <w:szCs w:val="21"/>
              </w:rPr>
            </w:pPr>
            <w:r>
              <w:rPr>
                <w:rFonts w:hint="eastAsia" w:ascii="宋体" w:hAnsi="宋体" w:eastAsia="宋体" w:cs="宋体"/>
                <w:sz w:val="21"/>
                <w:szCs w:val="21"/>
              </w:rPr>
              <w:t>10.5</w:t>
            </w:r>
          </w:p>
        </w:tc>
        <w:tc>
          <w:tcPr>
            <w:tcW w:w="851" w:type="dxa"/>
            <w:vAlign w:val="center"/>
          </w:tcPr>
          <w:p w14:paraId="2F5AC06F">
            <w:pPr>
              <w:jc w:val="center"/>
              <w:rPr>
                <w:rFonts w:hint="eastAsia" w:ascii="宋体" w:hAnsi="宋体" w:eastAsia="宋体" w:cs="宋体"/>
                <w:sz w:val="21"/>
                <w:szCs w:val="21"/>
              </w:rPr>
            </w:pPr>
            <w:r>
              <w:rPr>
                <w:rFonts w:hint="eastAsia" w:ascii="宋体" w:hAnsi="宋体" w:eastAsia="宋体" w:cs="宋体"/>
                <w:sz w:val="21"/>
                <w:szCs w:val="21"/>
              </w:rPr>
              <w:t>10.5</w:t>
            </w:r>
          </w:p>
        </w:tc>
        <w:tc>
          <w:tcPr>
            <w:tcW w:w="992" w:type="dxa"/>
            <w:vAlign w:val="center"/>
          </w:tcPr>
          <w:p w14:paraId="34408E0D">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5DB5128B">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6C047C13">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11059ABF">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23DAB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9" w:type="dxa"/>
            <w:gridSpan w:val="2"/>
            <w:vAlign w:val="center"/>
          </w:tcPr>
          <w:p w14:paraId="2F97C9A7">
            <w:pPr>
              <w:jc w:val="center"/>
              <w:rPr>
                <w:rFonts w:hint="eastAsia" w:ascii="宋体" w:hAnsi="宋体" w:eastAsia="宋体" w:cs="宋体"/>
                <w:sz w:val="21"/>
                <w:szCs w:val="21"/>
              </w:rPr>
            </w:pPr>
            <w:r>
              <w:rPr>
                <w:rFonts w:hint="eastAsia" w:ascii="宋体" w:hAnsi="宋体" w:eastAsia="宋体" w:cs="宋体"/>
                <w:sz w:val="21"/>
                <w:szCs w:val="21"/>
              </w:rPr>
              <w:t>室外变配电站</w:t>
            </w:r>
          </w:p>
        </w:tc>
        <w:tc>
          <w:tcPr>
            <w:tcW w:w="1019" w:type="dxa"/>
            <w:vAlign w:val="center"/>
          </w:tcPr>
          <w:p w14:paraId="2ACD032A">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726" w:type="dxa"/>
            <w:vAlign w:val="center"/>
          </w:tcPr>
          <w:p w14:paraId="63991CFC">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851" w:type="dxa"/>
            <w:vAlign w:val="center"/>
          </w:tcPr>
          <w:p w14:paraId="1EFED18C">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992" w:type="dxa"/>
            <w:vAlign w:val="center"/>
          </w:tcPr>
          <w:p w14:paraId="52D6375B">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035E1CFB">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419832D7">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3A6642A7">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1E27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99" w:type="dxa"/>
            <w:gridSpan w:val="2"/>
            <w:vAlign w:val="center"/>
          </w:tcPr>
          <w:p w14:paraId="4CA60A9E">
            <w:pPr>
              <w:jc w:val="center"/>
              <w:rPr>
                <w:rFonts w:hint="eastAsia" w:ascii="宋体" w:hAnsi="宋体" w:eastAsia="宋体" w:cs="宋体"/>
                <w:sz w:val="21"/>
                <w:szCs w:val="21"/>
              </w:rPr>
            </w:pPr>
            <w:r>
              <w:rPr>
                <w:rFonts w:hint="eastAsia" w:ascii="宋体" w:hAnsi="宋体" w:eastAsia="宋体" w:cs="宋体"/>
                <w:sz w:val="21"/>
                <w:szCs w:val="21"/>
              </w:rPr>
              <w:t>铁路</w:t>
            </w:r>
          </w:p>
        </w:tc>
        <w:tc>
          <w:tcPr>
            <w:tcW w:w="1019" w:type="dxa"/>
            <w:vAlign w:val="center"/>
          </w:tcPr>
          <w:p w14:paraId="3C475DA9">
            <w:pPr>
              <w:jc w:val="center"/>
              <w:rPr>
                <w:rFonts w:hint="eastAsia" w:ascii="宋体" w:hAnsi="宋体" w:eastAsia="宋体" w:cs="宋体"/>
                <w:sz w:val="21"/>
                <w:szCs w:val="21"/>
              </w:rPr>
            </w:pPr>
            <w:r>
              <w:rPr>
                <w:rFonts w:hint="eastAsia" w:ascii="宋体" w:hAnsi="宋体" w:eastAsia="宋体" w:cs="宋体"/>
                <w:sz w:val="21"/>
                <w:szCs w:val="21"/>
              </w:rPr>
              <w:t>15.5</w:t>
            </w:r>
          </w:p>
        </w:tc>
        <w:tc>
          <w:tcPr>
            <w:tcW w:w="726" w:type="dxa"/>
            <w:vAlign w:val="center"/>
          </w:tcPr>
          <w:p w14:paraId="7E39AAA9">
            <w:pPr>
              <w:jc w:val="center"/>
              <w:rPr>
                <w:rFonts w:hint="eastAsia" w:ascii="宋体" w:hAnsi="宋体" w:eastAsia="宋体" w:cs="宋体"/>
                <w:sz w:val="21"/>
                <w:szCs w:val="21"/>
              </w:rPr>
            </w:pPr>
            <w:r>
              <w:rPr>
                <w:rFonts w:hint="eastAsia" w:ascii="宋体" w:hAnsi="宋体" w:eastAsia="宋体" w:cs="宋体"/>
                <w:sz w:val="21"/>
                <w:szCs w:val="21"/>
              </w:rPr>
              <w:t>1</w:t>
            </w:r>
            <w:r>
              <w:rPr>
                <w:rFonts w:hint="eastAsia" w:ascii="宋体" w:hAnsi="宋体" w:cs="宋体"/>
                <w:sz w:val="21"/>
                <w:szCs w:val="21"/>
                <w:lang w:val="en-US" w:eastAsia="zh-CN"/>
              </w:rPr>
              <w:t>5</w:t>
            </w:r>
            <w:r>
              <w:rPr>
                <w:rFonts w:hint="eastAsia" w:ascii="宋体" w:hAnsi="宋体" w:eastAsia="宋体" w:cs="宋体"/>
                <w:sz w:val="21"/>
                <w:szCs w:val="21"/>
              </w:rPr>
              <w:t>.5</w:t>
            </w:r>
          </w:p>
        </w:tc>
        <w:tc>
          <w:tcPr>
            <w:tcW w:w="851" w:type="dxa"/>
            <w:vAlign w:val="center"/>
          </w:tcPr>
          <w:p w14:paraId="1DC32E23">
            <w:pPr>
              <w:jc w:val="center"/>
              <w:rPr>
                <w:rFonts w:hint="eastAsia" w:ascii="宋体" w:hAnsi="宋体" w:eastAsia="宋体" w:cs="宋体"/>
                <w:sz w:val="21"/>
                <w:szCs w:val="21"/>
              </w:rPr>
            </w:pPr>
            <w:r>
              <w:rPr>
                <w:rFonts w:hint="eastAsia" w:ascii="宋体" w:hAnsi="宋体" w:eastAsia="宋体" w:cs="宋体"/>
                <w:sz w:val="21"/>
                <w:szCs w:val="21"/>
              </w:rPr>
              <w:t>1</w:t>
            </w:r>
            <w:r>
              <w:rPr>
                <w:rFonts w:hint="eastAsia" w:ascii="宋体" w:hAnsi="宋体" w:cs="宋体"/>
                <w:sz w:val="21"/>
                <w:szCs w:val="21"/>
                <w:lang w:val="en-US" w:eastAsia="zh-CN"/>
              </w:rPr>
              <w:t>5</w:t>
            </w:r>
            <w:r>
              <w:rPr>
                <w:rFonts w:hint="eastAsia" w:ascii="宋体" w:hAnsi="宋体" w:eastAsia="宋体" w:cs="宋体"/>
                <w:sz w:val="21"/>
                <w:szCs w:val="21"/>
              </w:rPr>
              <w:t>.5</w:t>
            </w:r>
          </w:p>
        </w:tc>
        <w:tc>
          <w:tcPr>
            <w:tcW w:w="992" w:type="dxa"/>
            <w:vAlign w:val="center"/>
          </w:tcPr>
          <w:p w14:paraId="48C4EB70">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311C5922">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041E6291">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07D21BCE">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5207C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restart"/>
            <w:vAlign w:val="center"/>
          </w:tcPr>
          <w:p w14:paraId="62D0FC77">
            <w:pPr>
              <w:jc w:val="center"/>
              <w:rPr>
                <w:rFonts w:hint="eastAsia" w:ascii="宋体" w:hAnsi="宋体" w:eastAsia="宋体" w:cs="宋体"/>
                <w:sz w:val="21"/>
                <w:szCs w:val="21"/>
              </w:rPr>
            </w:pPr>
            <w:r>
              <w:rPr>
                <w:rFonts w:hint="eastAsia" w:ascii="宋体" w:hAnsi="宋体" w:eastAsia="宋体" w:cs="宋体"/>
                <w:sz w:val="21"/>
                <w:szCs w:val="21"/>
              </w:rPr>
              <w:t>城市道路</w:t>
            </w:r>
          </w:p>
        </w:tc>
        <w:tc>
          <w:tcPr>
            <w:tcW w:w="1962" w:type="dxa"/>
            <w:vAlign w:val="center"/>
          </w:tcPr>
          <w:p w14:paraId="6EB90214">
            <w:pPr>
              <w:jc w:val="center"/>
              <w:rPr>
                <w:rFonts w:hint="eastAsia" w:ascii="宋体" w:hAnsi="宋体" w:eastAsia="宋体" w:cs="宋体"/>
                <w:sz w:val="21"/>
                <w:szCs w:val="21"/>
              </w:rPr>
            </w:pPr>
            <w:r>
              <w:rPr>
                <w:rFonts w:hint="eastAsia" w:ascii="宋体" w:hAnsi="宋体" w:eastAsia="宋体" w:cs="宋体"/>
                <w:sz w:val="21"/>
                <w:szCs w:val="21"/>
              </w:rPr>
              <w:t>快速路、主干路</w:t>
            </w:r>
          </w:p>
        </w:tc>
        <w:tc>
          <w:tcPr>
            <w:tcW w:w="1019" w:type="dxa"/>
            <w:vAlign w:val="center"/>
          </w:tcPr>
          <w:p w14:paraId="3A0F54AA">
            <w:pPr>
              <w:jc w:val="center"/>
              <w:rPr>
                <w:rFonts w:hint="eastAsia" w:ascii="宋体" w:hAnsi="宋体" w:eastAsia="宋体" w:cs="宋体"/>
                <w:sz w:val="21"/>
                <w:szCs w:val="21"/>
              </w:rPr>
            </w:pPr>
            <w:r>
              <w:rPr>
                <w:rFonts w:hint="eastAsia" w:ascii="宋体" w:hAnsi="宋体" w:eastAsia="宋体" w:cs="宋体"/>
                <w:sz w:val="21"/>
                <w:szCs w:val="21"/>
              </w:rPr>
              <w:t>5.5</w:t>
            </w:r>
          </w:p>
        </w:tc>
        <w:tc>
          <w:tcPr>
            <w:tcW w:w="726" w:type="dxa"/>
            <w:vAlign w:val="center"/>
          </w:tcPr>
          <w:p w14:paraId="24B86FBE">
            <w:pPr>
              <w:jc w:val="center"/>
              <w:rPr>
                <w:rFonts w:hint="eastAsia" w:ascii="宋体" w:hAnsi="宋体" w:eastAsia="宋体" w:cs="宋体"/>
                <w:sz w:val="21"/>
                <w:szCs w:val="21"/>
              </w:rPr>
            </w:pPr>
            <w:r>
              <w:rPr>
                <w:rFonts w:hint="eastAsia" w:ascii="宋体" w:hAnsi="宋体" w:eastAsia="宋体" w:cs="宋体"/>
                <w:sz w:val="21"/>
                <w:szCs w:val="21"/>
              </w:rPr>
              <w:t>5</w:t>
            </w:r>
          </w:p>
        </w:tc>
        <w:tc>
          <w:tcPr>
            <w:tcW w:w="851" w:type="dxa"/>
            <w:vAlign w:val="center"/>
          </w:tcPr>
          <w:p w14:paraId="1420667C">
            <w:pPr>
              <w:jc w:val="center"/>
              <w:rPr>
                <w:rFonts w:hint="eastAsia" w:ascii="宋体" w:hAnsi="宋体" w:eastAsia="宋体" w:cs="宋体"/>
                <w:sz w:val="21"/>
                <w:szCs w:val="21"/>
              </w:rPr>
            </w:pPr>
            <w:r>
              <w:rPr>
                <w:rFonts w:hint="eastAsia" w:ascii="宋体" w:hAnsi="宋体" w:eastAsia="宋体" w:cs="宋体"/>
                <w:sz w:val="21"/>
                <w:szCs w:val="21"/>
              </w:rPr>
              <w:t>5</w:t>
            </w:r>
          </w:p>
        </w:tc>
        <w:tc>
          <w:tcPr>
            <w:tcW w:w="992" w:type="dxa"/>
            <w:vAlign w:val="center"/>
          </w:tcPr>
          <w:p w14:paraId="6A2FE654">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33.21</w:t>
            </w:r>
          </w:p>
        </w:tc>
        <w:tc>
          <w:tcPr>
            <w:tcW w:w="992" w:type="dxa"/>
            <w:vAlign w:val="center"/>
          </w:tcPr>
          <w:p w14:paraId="6741097F">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34.67</w:t>
            </w:r>
          </w:p>
        </w:tc>
        <w:tc>
          <w:tcPr>
            <w:tcW w:w="993" w:type="dxa"/>
            <w:vAlign w:val="center"/>
          </w:tcPr>
          <w:p w14:paraId="63210570">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8.4</w:t>
            </w:r>
          </w:p>
        </w:tc>
        <w:tc>
          <w:tcPr>
            <w:tcW w:w="816" w:type="dxa"/>
            <w:vAlign w:val="center"/>
          </w:tcPr>
          <w:p w14:paraId="37FF3033">
            <w:pPr>
              <w:widowControl/>
              <w:jc w:val="center"/>
              <w:rPr>
                <w:rFonts w:hint="eastAsia" w:ascii="宋体" w:hAnsi="宋体" w:eastAsia="宋体" w:cs="宋体"/>
                <w:sz w:val="21"/>
                <w:szCs w:val="21"/>
              </w:rPr>
            </w:pPr>
            <w:r>
              <w:rPr>
                <w:rFonts w:hint="eastAsia" w:ascii="宋体" w:hAnsi="宋体" w:eastAsia="宋体" w:cs="宋体"/>
                <w:sz w:val="21"/>
                <w:szCs w:val="21"/>
              </w:rPr>
              <w:t>符合</w:t>
            </w:r>
          </w:p>
        </w:tc>
      </w:tr>
      <w:tr w14:paraId="362AE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7" w:type="dxa"/>
            <w:vMerge w:val="continue"/>
            <w:vAlign w:val="center"/>
          </w:tcPr>
          <w:p w14:paraId="2683B16C">
            <w:pPr>
              <w:jc w:val="center"/>
              <w:rPr>
                <w:rFonts w:hint="eastAsia" w:ascii="宋体" w:hAnsi="宋体" w:eastAsia="宋体" w:cs="宋体"/>
                <w:sz w:val="21"/>
                <w:szCs w:val="21"/>
              </w:rPr>
            </w:pPr>
          </w:p>
        </w:tc>
        <w:tc>
          <w:tcPr>
            <w:tcW w:w="1962" w:type="dxa"/>
            <w:vAlign w:val="center"/>
          </w:tcPr>
          <w:p w14:paraId="0F9B4913">
            <w:pPr>
              <w:jc w:val="center"/>
              <w:rPr>
                <w:rFonts w:hint="eastAsia" w:ascii="宋体" w:hAnsi="宋体" w:eastAsia="宋体" w:cs="宋体"/>
                <w:sz w:val="21"/>
                <w:szCs w:val="21"/>
              </w:rPr>
            </w:pPr>
            <w:r>
              <w:rPr>
                <w:rFonts w:hint="eastAsia" w:ascii="宋体" w:hAnsi="宋体" w:eastAsia="宋体" w:cs="宋体"/>
                <w:sz w:val="21"/>
                <w:szCs w:val="21"/>
              </w:rPr>
              <w:t>次干路、支路</w:t>
            </w:r>
          </w:p>
        </w:tc>
        <w:tc>
          <w:tcPr>
            <w:tcW w:w="1019" w:type="dxa"/>
            <w:vAlign w:val="center"/>
          </w:tcPr>
          <w:p w14:paraId="67B6AC67">
            <w:pPr>
              <w:jc w:val="center"/>
              <w:rPr>
                <w:rFonts w:hint="eastAsia" w:ascii="宋体" w:hAnsi="宋体" w:eastAsia="宋体" w:cs="宋体"/>
                <w:sz w:val="21"/>
                <w:szCs w:val="21"/>
              </w:rPr>
            </w:pPr>
            <w:r>
              <w:rPr>
                <w:rFonts w:hint="eastAsia" w:ascii="宋体" w:hAnsi="宋体" w:eastAsia="宋体" w:cs="宋体"/>
                <w:sz w:val="21"/>
                <w:szCs w:val="21"/>
              </w:rPr>
              <w:t>5</w:t>
            </w:r>
          </w:p>
        </w:tc>
        <w:tc>
          <w:tcPr>
            <w:tcW w:w="726" w:type="dxa"/>
            <w:vAlign w:val="center"/>
          </w:tcPr>
          <w:p w14:paraId="3C66A718">
            <w:pPr>
              <w:jc w:val="center"/>
              <w:rPr>
                <w:rFonts w:hint="eastAsia" w:ascii="宋体" w:hAnsi="宋体" w:eastAsia="宋体" w:cs="宋体"/>
                <w:sz w:val="21"/>
                <w:szCs w:val="21"/>
              </w:rPr>
            </w:pPr>
            <w:r>
              <w:rPr>
                <w:rFonts w:hint="eastAsia" w:ascii="宋体" w:hAnsi="宋体" w:eastAsia="宋体" w:cs="宋体"/>
                <w:sz w:val="21"/>
                <w:szCs w:val="21"/>
              </w:rPr>
              <w:t>5</w:t>
            </w:r>
          </w:p>
        </w:tc>
        <w:tc>
          <w:tcPr>
            <w:tcW w:w="851" w:type="dxa"/>
            <w:vAlign w:val="center"/>
          </w:tcPr>
          <w:p w14:paraId="0971B749">
            <w:pPr>
              <w:jc w:val="center"/>
              <w:rPr>
                <w:rFonts w:hint="eastAsia" w:ascii="宋体" w:hAnsi="宋体" w:eastAsia="宋体" w:cs="宋体"/>
                <w:sz w:val="21"/>
                <w:szCs w:val="21"/>
              </w:rPr>
            </w:pPr>
            <w:r>
              <w:rPr>
                <w:rFonts w:hint="eastAsia" w:ascii="宋体" w:hAnsi="宋体" w:eastAsia="宋体" w:cs="宋体"/>
                <w:sz w:val="21"/>
                <w:szCs w:val="21"/>
              </w:rPr>
              <w:t>5</w:t>
            </w:r>
          </w:p>
        </w:tc>
        <w:tc>
          <w:tcPr>
            <w:tcW w:w="992" w:type="dxa"/>
            <w:vAlign w:val="center"/>
          </w:tcPr>
          <w:p w14:paraId="34C3B5AC">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6C96C14E">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151E849E">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4850F0D8">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0D79B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99" w:type="dxa"/>
            <w:gridSpan w:val="2"/>
            <w:vAlign w:val="center"/>
          </w:tcPr>
          <w:p w14:paraId="227D7079">
            <w:pPr>
              <w:jc w:val="center"/>
              <w:rPr>
                <w:rFonts w:hint="eastAsia" w:ascii="宋体" w:hAnsi="宋体" w:eastAsia="宋体" w:cs="宋体"/>
                <w:sz w:val="21"/>
                <w:szCs w:val="21"/>
              </w:rPr>
            </w:pPr>
            <w:r>
              <w:rPr>
                <w:rFonts w:hint="eastAsia" w:ascii="宋体" w:hAnsi="宋体" w:eastAsia="宋体" w:cs="宋体"/>
                <w:sz w:val="21"/>
                <w:szCs w:val="21"/>
              </w:rPr>
              <w:t>架空通信线</w:t>
            </w:r>
          </w:p>
        </w:tc>
        <w:tc>
          <w:tcPr>
            <w:tcW w:w="2596" w:type="dxa"/>
            <w:gridSpan w:val="3"/>
            <w:vAlign w:val="center"/>
          </w:tcPr>
          <w:p w14:paraId="66C572EC">
            <w:pPr>
              <w:jc w:val="center"/>
              <w:rPr>
                <w:rFonts w:hint="eastAsia" w:ascii="宋体" w:hAnsi="宋体" w:eastAsia="宋体" w:cs="宋体"/>
                <w:sz w:val="21"/>
                <w:szCs w:val="21"/>
              </w:rPr>
            </w:pPr>
            <w:r>
              <w:rPr>
                <w:rFonts w:hint="eastAsia" w:ascii="宋体" w:hAnsi="宋体" w:eastAsia="宋体" w:cs="宋体"/>
                <w:sz w:val="21"/>
                <w:szCs w:val="21"/>
              </w:rPr>
              <w:t>5</w:t>
            </w:r>
          </w:p>
        </w:tc>
        <w:tc>
          <w:tcPr>
            <w:tcW w:w="992" w:type="dxa"/>
            <w:vAlign w:val="center"/>
          </w:tcPr>
          <w:p w14:paraId="6F7163D6">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17.19</w:t>
            </w:r>
          </w:p>
        </w:tc>
        <w:tc>
          <w:tcPr>
            <w:tcW w:w="992" w:type="dxa"/>
            <w:vAlign w:val="center"/>
          </w:tcPr>
          <w:p w14:paraId="1C4C180F">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20.53</w:t>
            </w:r>
          </w:p>
        </w:tc>
        <w:tc>
          <w:tcPr>
            <w:tcW w:w="993" w:type="dxa"/>
            <w:vAlign w:val="center"/>
          </w:tcPr>
          <w:p w14:paraId="70C02469">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17.21</w:t>
            </w:r>
          </w:p>
        </w:tc>
        <w:tc>
          <w:tcPr>
            <w:tcW w:w="816" w:type="dxa"/>
            <w:vAlign w:val="center"/>
          </w:tcPr>
          <w:p w14:paraId="00167E53">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符合</w:t>
            </w:r>
          </w:p>
        </w:tc>
      </w:tr>
      <w:tr w14:paraId="74673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937" w:type="dxa"/>
            <w:vMerge w:val="restart"/>
            <w:vAlign w:val="center"/>
          </w:tcPr>
          <w:p w14:paraId="7ECA4669">
            <w:pPr>
              <w:jc w:val="center"/>
              <w:rPr>
                <w:rFonts w:hint="eastAsia" w:ascii="宋体" w:hAnsi="宋体" w:eastAsia="宋体" w:cs="宋体"/>
                <w:sz w:val="21"/>
                <w:szCs w:val="21"/>
              </w:rPr>
            </w:pPr>
            <w:r>
              <w:rPr>
                <w:rFonts w:hint="eastAsia" w:ascii="宋体" w:hAnsi="宋体" w:eastAsia="宋体" w:cs="宋体"/>
                <w:sz w:val="21"/>
                <w:szCs w:val="21"/>
              </w:rPr>
              <w:t>架空电力线路</w:t>
            </w:r>
          </w:p>
        </w:tc>
        <w:tc>
          <w:tcPr>
            <w:tcW w:w="1962" w:type="dxa"/>
            <w:vAlign w:val="center"/>
          </w:tcPr>
          <w:p w14:paraId="2739AC69">
            <w:pPr>
              <w:jc w:val="center"/>
              <w:rPr>
                <w:rFonts w:hint="eastAsia" w:ascii="宋体" w:hAnsi="宋体" w:eastAsia="宋体" w:cs="宋体"/>
                <w:sz w:val="21"/>
                <w:szCs w:val="21"/>
              </w:rPr>
            </w:pPr>
            <w:r>
              <w:rPr>
                <w:rFonts w:hint="eastAsia" w:ascii="宋体" w:hAnsi="宋体" w:eastAsia="宋体" w:cs="宋体"/>
                <w:sz w:val="21"/>
                <w:szCs w:val="21"/>
              </w:rPr>
              <w:t>无绝缘层</w:t>
            </w:r>
          </w:p>
        </w:tc>
        <w:tc>
          <w:tcPr>
            <w:tcW w:w="2596" w:type="dxa"/>
            <w:gridSpan w:val="3"/>
            <w:vAlign w:val="center"/>
          </w:tcPr>
          <w:p w14:paraId="69310FD8">
            <w:pPr>
              <w:jc w:val="center"/>
              <w:rPr>
                <w:rFonts w:hint="eastAsia" w:ascii="宋体" w:hAnsi="宋体" w:eastAsia="宋体" w:cs="宋体"/>
                <w:sz w:val="21"/>
                <w:szCs w:val="21"/>
              </w:rPr>
            </w:pPr>
            <w:r>
              <w:rPr>
                <w:rFonts w:hint="eastAsia" w:ascii="宋体" w:hAnsi="宋体" w:eastAsia="宋体" w:cs="宋体"/>
                <w:sz w:val="21"/>
                <w:szCs w:val="21"/>
              </w:rPr>
              <w:t>6.5</w:t>
            </w:r>
          </w:p>
        </w:tc>
        <w:tc>
          <w:tcPr>
            <w:tcW w:w="992" w:type="dxa"/>
            <w:vAlign w:val="center"/>
          </w:tcPr>
          <w:p w14:paraId="73178BBC">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44.97</w:t>
            </w:r>
          </w:p>
        </w:tc>
        <w:tc>
          <w:tcPr>
            <w:tcW w:w="992" w:type="dxa"/>
            <w:vAlign w:val="center"/>
          </w:tcPr>
          <w:p w14:paraId="1BEF8DE5">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46.07</w:t>
            </w:r>
          </w:p>
        </w:tc>
        <w:tc>
          <w:tcPr>
            <w:tcW w:w="993" w:type="dxa"/>
            <w:vAlign w:val="center"/>
          </w:tcPr>
          <w:p w14:paraId="25026588">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18.63</w:t>
            </w:r>
          </w:p>
        </w:tc>
        <w:tc>
          <w:tcPr>
            <w:tcW w:w="816" w:type="dxa"/>
            <w:vAlign w:val="center"/>
          </w:tcPr>
          <w:p w14:paraId="226339BB">
            <w:pPr>
              <w:widowControl/>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符合</w:t>
            </w:r>
          </w:p>
        </w:tc>
      </w:tr>
      <w:tr w14:paraId="28353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937" w:type="dxa"/>
            <w:vMerge w:val="continue"/>
            <w:vAlign w:val="center"/>
          </w:tcPr>
          <w:p w14:paraId="31D07332">
            <w:pPr>
              <w:jc w:val="center"/>
              <w:rPr>
                <w:rFonts w:hint="eastAsia" w:ascii="宋体" w:hAnsi="宋体" w:eastAsia="宋体" w:cs="宋体"/>
                <w:sz w:val="21"/>
                <w:szCs w:val="21"/>
              </w:rPr>
            </w:pPr>
          </w:p>
        </w:tc>
        <w:tc>
          <w:tcPr>
            <w:tcW w:w="1962" w:type="dxa"/>
            <w:vAlign w:val="center"/>
          </w:tcPr>
          <w:p w14:paraId="4A61B316">
            <w:pPr>
              <w:jc w:val="center"/>
              <w:rPr>
                <w:rFonts w:hint="eastAsia" w:ascii="宋体" w:hAnsi="宋体" w:eastAsia="宋体" w:cs="宋体"/>
                <w:sz w:val="21"/>
                <w:szCs w:val="21"/>
              </w:rPr>
            </w:pPr>
            <w:r>
              <w:rPr>
                <w:rFonts w:hint="eastAsia" w:ascii="宋体" w:hAnsi="宋体" w:eastAsia="宋体" w:cs="宋体"/>
                <w:sz w:val="21"/>
                <w:szCs w:val="21"/>
              </w:rPr>
              <w:t>有绝缘层</w:t>
            </w:r>
          </w:p>
        </w:tc>
        <w:tc>
          <w:tcPr>
            <w:tcW w:w="2596" w:type="dxa"/>
            <w:gridSpan w:val="3"/>
            <w:vAlign w:val="center"/>
          </w:tcPr>
          <w:p w14:paraId="527C4CA0">
            <w:pPr>
              <w:jc w:val="center"/>
              <w:rPr>
                <w:rFonts w:hint="eastAsia" w:ascii="宋体" w:hAnsi="宋体" w:eastAsia="宋体" w:cs="宋体"/>
                <w:sz w:val="21"/>
                <w:szCs w:val="21"/>
              </w:rPr>
            </w:pPr>
            <w:r>
              <w:rPr>
                <w:rFonts w:hint="eastAsia" w:ascii="宋体" w:hAnsi="宋体" w:eastAsia="宋体" w:cs="宋体"/>
                <w:sz w:val="21"/>
                <w:szCs w:val="21"/>
              </w:rPr>
              <w:t>5</w:t>
            </w:r>
          </w:p>
        </w:tc>
        <w:tc>
          <w:tcPr>
            <w:tcW w:w="992" w:type="dxa"/>
            <w:vAlign w:val="center"/>
          </w:tcPr>
          <w:p w14:paraId="10D75EE3">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43.44</w:t>
            </w:r>
          </w:p>
        </w:tc>
        <w:tc>
          <w:tcPr>
            <w:tcW w:w="992" w:type="dxa"/>
            <w:vAlign w:val="center"/>
          </w:tcPr>
          <w:p w14:paraId="45227A00">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26.48</w:t>
            </w:r>
          </w:p>
        </w:tc>
        <w:tc>
          <w:tcPr>
            <w:tcW w:w="993" w:type="dxa"/>
            <w:vAlign w:val="center"/>
          </w:tcPr>
          <w:p w14:paraId="33318675">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19.49</w:t>
            </w:r>
          </w:p>
        </w:tc>
        <w:tc>
          <w:tcPr>
            <w:tcW w:w="816" w:type="dxa"/>
            <w:vAlign w:val="center"/>
          </w:tcPr>
          <w:p w14:paraId="11401058">
            <w:pPr>
              <w:widowControl/>
              <w:jc w:val="center"/>
              <w:rPr>
                <w:rFonts w:hint="eastAsia" w:ascii="宋体" w:hAnsi="宋体" w:eastAsia="宋体" w:cs="宋体"/>
                <w:sz w:val="21"/>
                <w:szCs w:val="21"/>
              </w:rPr>
            </w:pPr>
            <w:r>
              <w:rPr>
                <w:rFonts w:hint="eastAsia" w:ascii="宋体" w:hAnsi="宋体" w:eastAsia="宋体" w:cs="宋体"/>
                <w:sz w:val="21"/>
                <w:szCs w:val="21"/>
              </w:rPr>
              <w:t>符合</w:t>
            </w:r>
          </w:p>
        </w:tc>
      </w:tr>
    </w:tbl>
    <w:p w14:paraId="1B415B91">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表</w:t>
      </w:r>
      <w:r>
        <w:rPr>
          <w:rFonts w:hint="eastAsia" w:ascii="宋体" w:hAnsi="宋体" w:cs="宋体"/>
          <w:b/>
          <w:bCs/>
          <w:sz w:val="21"/>
          <w:szCs w:val="21"/>
          <w:lang w:val="en-US" w:eastAsia="zh-CN"/>
        </w:rPr>
        <w:t>5-4</w:t>
      </w:r>
      <w:r>
        <w:rPr>
          <w:rFonts w:hint="eastAsia" w:ascii="宋体" w:hAnsi="宋体" w:eastAsia="宋体" w:cs="宋体"/>
          <w:b/>
          <w:bCs/>
          <w:sz w:val="21"/>
          <w:szCs w:val="21"/>
        </w:rPr>
        <w:t>柴油</w:t>
      </w:r>
      <w:r>
        <w:rPr>
          <w:rFonts w:hint="eastAsia" w:ascii="宋体" w:hAnsi="宋体" w:cs="宋体"/>
          <w:b/>
          <w:bCs/>
          <w:sz w:val="21"/>
          <w:szCs w:val="21"/>
          <w:lang w:eastAsia="zh-CN"/>
        </w:rPr>
        <w:t>（</w:t>
      </w:r>
      <w:r>
        <w:rPr>
          <w:rFonts w:hint="eastAsia" w:ascii="宋体" w:hAnsi="宋体" w:cs="宋体"/>
          <w:b/>
          <w:bCs/>
          <w:sz w:val="21"/>
          <w:szCs w:val="21"/>
          <w:lang w:val="en-US" w:eastAsia="zh-CN"/>
        </w:rPr>
        <w:t>工艺</w:t>
      </w:r>
      <w:r>
        <w:rPr>
          <w:rFonts w:hint="eastAsia" w:ascii="宋体" w:hAnsi="宋体" w:cs="宋体"/>
          <w:b/>
          <w:bCs/>
          <w:sz w:val="21"/>
          <w:szCs w:val="21"/>
          <w:lang w:eastAsia="zh-CN"/>
        </w:rPr>
        <w:t>）</w:t>
      </w:r>
      <w:r>
        <w:rPr>
          <w:rFonts w:hint="eastAsia" w:ascii="宋体" w:hAnsi="宋体" w:eastAsia="宋体" w:cs="宋体"/>
          <w:b/>
          <w:bCs/>
          <w:sz w:val="21"/>
          <w:szCs w:val="21"/>
        </w:rPr>
        <w:t>设备与站外建（构）筑物的安全间距（m）</w:t>
      </w:r>
    </w:p>
    <w:tbl>
      <w:tblPr>
        <w:tblStyle w:val="19"/>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1"/>
        <w:gridCol w:w="1401"/>
        <w:gridCol w:w="992"/>
        <w:gridCol w:w="850"/>
        <w:gridCol w:w="851"/>
        <w:gridCol w:w="992"/>
        <w:gridCol w:w="992"/>
        <w:gridCol w:w="993"/>
        <w:gridCol w:w="816"/>
      </w:tblGrid>
      <w:tr w14:paraId="08E05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Merge w:val="restart"/>
            <w:vAlign w:val="center"/>
          </w:tcPr>
          <w:p w14:paraId="672F5C8D">
            <w:pPr>
              <w:jc w:val="center"/>
              <w:rPr>
                <w:rFonts w:hint="eastAsia" w:ascii="宋体" w:hAnsi="宋体" w:eastAsia="宋体" w:cs="宋体"/>
                <w:sz w:val="21"/>
                <w:szCs w:val="21"/>
              </w:rPr>
            </w:pPr>
            <w:r>
              <w:rPr>
                <w:rFonts w:hint="eastAsia" w:ascii="宋体" w:hAnsi="宋体" w:eastAsia="宋体" w:cs="宋体"/>
                <w:sz w:val="21"/>
                <w:szCs w:val="21"/>
              </w:rPr>
              <w:t>站外建（构）筑物</w:t>
            </w:r>
          </w:p>
        </w:tc>
        <w:tc>
          <w:tcPr>
            <w:tcW w:w="2693" w:type="dxa"/>
            <w:gridSpan w:val="3"/>
            <w:vAlign w:val="center"/>
          </w:tcPr>
          <w:p w14:paraId="2587E0AA">
            <w:pPr>
              <w:jc w:val="center"/>
              <w:rPr>
                <w:rFonts w:hint="eastAsia" w:ascii="宋体" w:hAnsi="宋体" w:eastAsia="宋体" w:cs="宋体"/>
                <w:b/>
                <w:bCs/>
                <w:sz w:val="21"/>
                <w:szCs w:val="21"/>
              </w:rPr>
            </w:pPr>
            <w:r>
              <w:rPr>
                <w:rFonts w:hint="eastAsia" w:ascii="宋体" w:hAnsi="宋体" w:eastAsia="宋体" w:cs="宋体"/>
                <w:sz w:val="21"/>
                <w:szCs w:val="21"/>
              </w:rPr>
              <w:t>三级站规范要求</w:t>
            </w:r>
          </w:p>
        </w:tc>
        <w:tc>
          <w:tcPr>
            <w:tcW w:w="2977" w:type="dxa"/>
            <w:gridSpan w:val="3"/>
            <w:vMerge w:val="restart"/>
            <w:vAlign w:val="center"/>
          </w:tcPr>
          <w:p w14:paraId="31ED24AE">
            <w:pPr>
              <w:widowControl/>
              <w:ind w:left="-93" w:leftChars="-50" w:hanging="12" w:hangingChars="6"/>
              <w:jc w:val="center"/>
              <w:rPr>
                <w:rFonts w:hint="eastAsia" w:ascii="宋体" w:hAnsi="宋体" w:eastAsia="宋体" w:cs="宋体"/>
                <w:sz w:val="21"/>
                <w:szCs w:val="21"/>
              </w:rPr>
            </w:pPr>
            <w:r>
              <w:rPr>
                <w:rFonts w:hint="eastAsia" w:ascii="宋体" w:hAnsi="宋体" w:eastAsia="宋体" w:cs="宋体"/>
                <w:sz w:val="21"/>
                <w:szCs w:val="21"/>
              </w:rPr>
              <w:t>现场情况</w:t>
            </w:r>
          </w:p>
        </w:tc>
        <w:tc>
          <w:tcPr>
            <w:tcW w:w="816" w:type="dxa"/>
            <w:vMerge w:val="restart"/>
            <w:vAlign w:val="center"/>
          </w:tcPr>
          <w:p w14:paraId="74D4DE54">
            <w:pPr>
              <w:widowControl/>
              <w:jc w:val="center"/>
              <w:rPr>
                <w:rFonts w:hint="eastAsia" w:ascii="宋体" w:hAnsi="宋体" w:eastAsia="宋体" w:cs="宋体"/>
                <w:sz w:val="21"/>
                <w:szCs w:val="21"/>
              </w:rPr>
            </w:pPr>
            <w:r>
              <w:rPr>
                <w:rFonts w:hint="eastAsia" w:ascii="宋体" w:hAnsi="宋体" w:eastAsia="宋体" w:cs="宋体"/>
                <w:sz w:val="21"/>
                <w:szCs w:val="21"/>
              </w:rPr>
              <w:t>结论</w:t>
            </w:r>
          </w:p>
        </w:tc>
      </w:tr>
      <w:tr w14:paraId="69DC3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Merge w:val="continue"/>
            <w:vAlign w:val="center"/>
          </w:tcPr>
          <w:p w14:paraId="40151699">
            <w:pPr>
              <w:jc w:val="center"/>
              <w:rPr>
                <w:rFonts w:hint="eastAsia" w:ascii="宋体" w:hAnsi="宋体" w:eastAsia="宋体" w:cs="宋体"/>
                <w:sz w:val="21"/>
                <w:szCs w:val="21"/>
              </w:rPr>
            </w:pPr>
          </w:p>
        </w:tc>
        <w:tc>
          <w:tcPr>
            <w:tcW w:w="2693" w:type="dxa"/>
            <w:gridSpan w:val="3"/>
            <w:vAlign w:val="center"/>
          </w:tcPr>
          <w:p w14:paraId="7BAFE7A4">
            <w:pPr>
              <w:jc w:val="center"/>
              <w:rPr>
                <w:rFonts w:hint="eastAsia" w:ascii="宋体" w:hAnsi="宋体" w:eastAsia="宋体" w:cs="宋体"/>
                <w:sz w:val="21"/>
                <w:szCs w:val="21"/>
              </w:rPr>
            </w:pPr>
            <w:r>
              <w:rPr>
                <w:rFonts w:hint="eastAsia" w:ascii="宋体" w:hAnsi="宋体" w:eastAsia="宋体" w:cs="宋体"/>
                <w:sz w:val="21"/>
                <w:szCs w:val="21"/>
              </w:rPr>
              <w:t>有卸油和加油油气</w:t>
            </w:r>
          </w:p>
          <w:p w14:paraId="674C578C">
            <w:pPr>
              <w:jc w:val="center"/>
              <w:rPr>
                <w:rFonts w:hint="eastAsia" w:ascii="宋体" w:hAnsi="宋体" w:eastAsia="宋体" w:cs="宋体"/>
                <w:sz w:val="21"/>
                <w:szCs w:val="21"/>
              </w:rPr>
            </w:pPr>
            <w:r>
              <w:rPr>
                <w:rFonts w:hint="eastAsia" w:ascii="宋体" w:hAnsi="宋体" w:eastAsia="宋体" w:cs="宋体"/>
                <w:sz w:val="21"/>
                <w:szCs w:val="21"/>
              </w:rPr>
              <w:t>回收系统</w:t>
            </w:r>
          </w:p>
        </w:tc>
        <w:tc>
          <w:tcPr>
            <w:tcW w:w="2977" w:type="dxa"/>
            <w:gridSpan w:val="3"/>
            <w:vMerge w:val="continue"/>
            <w:vAlign w:val="center"/>
          </w:tcPr>
          <w:p w14:paraId="6C5BA896">
            <w:pPr>
              <w:widowControl/>
              <w:jc w:val="center"/>
              <w:rPr>
                <w:rFonts w:hint="eastAsia" w:ascii="宋体" w:hAnsi="宋体" w:eastAsia="宋体" w:cs="宋体"/>
                <w:sz w:val="21"/>
                <w:szCs w:val="21"/>
              </w:rPr>
            </w:pPr>
          </w:p>
        </w:tc>
        <w:tc>
          <w:tcPr>
            <w:tcW w:w="816" w:type="dxa"/>
            <w:vMerge w:val="continue"/>
            <w:vAlign w:val="center"/>
          </w:tcPr>
          <w:p w14:paraId="18B8CB78">
            <w:pPr>
              <w:widowControl/>
              <w:jc w:val="center"/>
              <w:rPr>
                <w:rFonts w:hint="eastAsia" w:ascii="宋体" w:hAnsi="宋体" w:eastAsia="宋体" w:cs="宋体"/>
                <w:sz w:val="21"/>
                <w:szCs w:val="21"/>
              </w:rPr>
            </w:pPr>
          </w:p>
        </w:tc>
      </w:tr>
      <w:tr w14:paraId="6E4BA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Merge w:val="continue"/>
            <w:vAlign w:val="center"/>
          </w:tcPr>
          <w:p w14:paraId="6E555E95">
            <w:pPr>
              <w:jc w:val="center"/>
              <w:rPr>
                <w:rFonts w:hint="eastAsia" w:ascii="宋体" w:hAnsi="宋体" w:eastAsia="宋体" w:cs="宋体"/>
                <w:sz w:val="21"/>
                <w:szCs w:val="21"/>
              </w:rPr>
            </w:pPr>
          </w:p>
        </w:tc>
        <w:tc>
          <w:tcPr>
            <w:tcW w:w="992" w:type="dxa"/>
            <w:vAlign w:val="center"/>
          </w:tcPr>
          <w:p w14:paraId="50C980B0">
            <w:pPr>
              <w:jc w:val="center"/>
              <w:rPr>
                <w:rFonts w:hint="eastAsia" w:ascii="宋体" w:hAnsi="宋体" w:eastAsia="宋体" w:cs="宋体"/>
                <w:sz w:val="21"/>
                <w:szCs w:val="21"/>
              </w:rPr>
            </w:pPr>
            <w:r>
              <w:rPr>
                <w:rFonts w:hint="eastAsia" w:ascii="宋体" w:hAnsi="宋体" w:eastAsia="宋体" w:cs="宋体"/>
                <w:b/>
                <w:bCs/>
                <w:sz w:val="21"/>
                <w:szCs w:val="21"/>
              </w:rPr>
              <w:t>柴油(埋地油罐)</w:t>
            </w:r>
          </w:p>
        </w:tc>
        <w:tc>
          <w:tcPr>
            <w:tcW w:w="850" w:type="dxa"/>
            <w:vAlign w:val="center"/>
          </w:tcPr>
          <w:p w14:paraId="181F3E06">
            <w:pPr>
              <w:jc w:val="center"/>
              <w:rPr>
                <w:rFonts w:hint="eastAsia" w:ascii="宋体" w:hAnsi="宋体" w:eastAsia="宋体" w:cs="宋体"/>
                <w:sz w:val="21"/>
                <w:szCs w:val="21"/>
              </w:rPr>
            </w:pPr>
            <w:r>
              <w:rPr>
                <w:rFonts w:hint="eastAsia" w:ascii="宋体" w:hAnsi="宋体" w:eastAsia="宋体" w:cs="宋体"/>
                <w:b/>
                <w:bCs/>
                <w:sz w:val="21"/>
                <w:szCs w:val="21"/>
              </w:rPr>
              <w:t>柴油(通气管口)</w:t>
            </w:r>
          </w:p>
        </w:tc>
        <w:tc>
          <w:tcPr>
            <w:tcW w:w="851" w:type="dxa"/>
            <w:vAlign w:val="center"/>
          </w:tcPr>
          <w:p w14:paraId="53500C15">
            <w:pPr>
              <w:jc w:val="center"/>
              <w:rPr>
                <w:rFonts w:hint="eastAsia" w:ascii="宋体" w:hAnsi="宋体" w:eastAsia="宋体" w:cs="宋体"/>
                <w:sz w:val="21"/>
                <w:szCs w:val="21"/>
              </w:rPr>
            </w:pPr>
            <w:r>
              <w:rPr>
                <w:rFonts w:hint="eastAsia" w:ascii="宋体" w:hAnsi="宋体" w:eastAsia="宋体" w:cs="宋体"/>
                <w:b/>
                <w:bCs/>
                <w:sz w:val="21"/>
                <w:szCs w:val="21"/>
              </w:rPr>
              <w:t>柴油加油机</w:t>
            </w:r>
          </w:p>
        </w:tc>
        <w:tc>
          <w:tcPr>
            <w:tcW w:w="992" w:type="dxa"/>
            <w:vAlign w:val="center"/>
          </w:tcPr>
          <w:p w14:paraId="6FC0B652">
            <w:pPr>
              <w:jc w:val="center"/>
              <w:rPr>
                <w:rFonts w:hint="eastAsia" w:ascii="宋体" w:hAnsi="宋体" w:eastAsia="宋体" w:cs="宋体"/>
                <w:sz w:val="21"/>
                <w:szCs w:val="21"/>
              </w:rPr>
            </w:pPr>
            <w:r>
              <w:rPr>
                <w:rFonts w:hint="eastAsia" w:ascii="宋体" w:hAnsi="宋体" w:eastAsia="宋体" w:cs="宋体"/>
                <w:b/>
                <w:bCs/>
                <w:sz w:val="21"/>
                <w:szCs w:val="21"/>
              </w:rPr>
              <w:t>柴油(埋地油罐)</w:t>
            </w:r>
          </w:p>
        </w:tc>
        <w:tc>
          <w:tcPr>
            <w:tcW w:w="992" w:type="dxa"/>
            <w:vAlign w:val="center"/>
          </w:tcPr>
          <w:p w14:paraId="71FCB258">
            <w:pPr>
              <w:jc w:val="center"/>
              <w:rPr>
                <w:rFonts w:hint="eastAsia" w:ascii="宋体" w:hAnsi="宋体" w:eastAsia="宋体" w:cs="宋体"/>
                <w:sz w:val="21"/>
                <w:szCs w:val="21"/>
              </w:rPr>
            </w:pPr>
            <w:r>
              <w:rPr>
                <w:rFonts w:hint="eastAsia" w:ascii="宋体" w:hAnsi="宋体" w:eastAsia="宋体" w:cs="宋体"/>
                <w:b/>
                <w:bCs/>
                <w:sz w:val="21"/>
                <w:szCs w:val="21"/>
              </w:rPr>
              <w:t>柴油(通气管口)</w:t>
            </w:r>
          </w:p>
        </w:tc>
        <w:tc>
          <w:tcPr>
            <w:tcW w:w="993" w:type="dxa"/>
            <w:vAlign w:val="center"/>
          </w:tcPr>
          <w:p w14:paraId="7DD7C18E">
            <w:pPr>
              <w:jc w:val="center"/>
              <w:rPr>
                <w:rFonts w:hint="eastAsia" w:ascii="宋体" w:hAnsi="宋体" w:eastAsia="宋体" w:cs="宋体"/>
                <w:sz w:val="21"/>
                <w:szCs w:val="21"/>
              </w:rPr>
            </w:pPr>
            <w:r>
              <w:rPr>
                <w:rFonts w:hint="eastAsia" w:ascii="宋体" w:hAnsi="宋体" w:eastAsia="宋体" w:cs="宋体"/>
                <w:b/>
                <w:bCs/>
                <w:sz w:val="21"/>
                <w:szCs w:val="21"/>
              </w:rPr>
              <w:t>柴油加油机</w:t>
            </w:r>
          </w:p>
        </w:tc>
        <w:tc>
          <w:tcPr>
            <w:tcW w:w="816" w:type="dxa"/>
            <w:vMerge w:val="continue"/>
            <w:vAlign w:val="center"/>
          </w:tcPr>
          <w:p w14:paraId="1DD0A5FA">
            <w:pPr>
              <w:jc w:val="center"/>
              <w:rPr>
                <w:rFonts w:hint="eastAsia" w:ascii="宋体" w:hAnsi="宋体" w:eastAsia="宋体" w:cs="宋体"/>
                <w:sz w:val="21"/>
                <w:szCs w:val="21"/>
              </w:rPr>
            </w:pPr>
          </w:p>
        </w:tc>
      </w:tr>
      <w:tr w14:paraId="4BDD6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Align w:val="center"/>
          </w:tcPr>
          <w:p w14:paraId="666ED41B">
            <w:pPr>
              <w:jc w:val="center"/>
              <w:rPr>
                <w:rFonts w:hint="eastAsia" w:ascii="宋体" w:hAnsi="宋体" w:eastAsia="宋体" w:cs="宋体"/>
                <w:sz w:val="21"/>
                <w:szCs w:val="21"/>
                <w:lang w:val="en-US" w:eastAsia="zh-CN"/>
              </w:rPr>
            </w:pPr>
            <w:r>
              <w:rPr>
                <w:rFonts w:hint="eastAsia" w:ascii="宋体" w:hAnsi="宋体" w:eastAsia="宋体" w:cs="宋体"/>
                <w:sz w:val="21"/>
                <w:szCs w:val="21"/>
              </w:rPr>
              <w:t>重要公共建筑物</w:t>
            </w:r>
          </w:p>
        </w:tc>
        <w:tc>
          <w:tcPr>
            <w:tcW w:w="992" w:type="dxa"/>
            <w:vAlign w:val="center"/>
          </w:tcPr>
          <w:p w14:paraId="7CBAC27C">
            <w:pPr>
              <w:jc w:val="center"/>
              <w:rPr>
                <w:rFonts w:hint="eastAsia" w:ascii="宋体" w:hAnsi="宋体" w:eastAsia="宋体" w:cs="宋体"/>
                <w:sz w:val="21"/>
                <w:szCs w:val="21"/>
              </w:rPr>
            </w:pPr>
            <w:r>
              <w:rPr>
                <w:rFonts w:hint="eastAsia" w:ascii="宋体" w:hAnsi="宋体" w:eastAsia="宋体" w:cs="宋体"/>
                <w:sz w:val="21"/>
                <w:szCs w:val="21"/>
              </w:rPr>
              <w:t>25</w:t>
            </w:r>
          </w:p>
        </w:tc>
        <w:tc>
          <w:tcPr>
            <w:tcW w:w="850" w:type="dxa"/>
            <w:vAlign w:val="center"/>
          </w:tcPr>
          <w:p w14:paraId="1A299ABF">
            <w:pPr>
              <w:jc w:val="center"/>
              <w:rPr>
                <w:rFonts w:hint="eastAsia" w:ascii="宋体" w:hAnsi="宋体" w:eastAsia="宋体" w:cs="宋体"/>
                <w:sz w:val="21"/>
                <w:szCs w:val="21"/>
              </w:rPr>
            </w:pPr>
            <w:r>
              <w:rPr>
                <w:rFonts w:hint="eastAsia" w:ascii="宋体" w:hAnsi="宋体" w:eastAsia="宋体" w:cs="宋体"/>
                <w:sz w:val="21"/>
                <w:szCs w:val="21"/>
              </w:rPr>
              <w:t>25</w:t>
            </w:r>
          </w:p>
        </w:tc>
        <w:tc>
          <w:tcPr>
            <w:tcW w:w="851" w:type="dxa"/>
            <w:vAlign w:val="center"/>
          </w:tcPr>
          <w:p w14:paraId="5FC29050">
            <w:pPr>
              <w:jc w:val="center"/>
              <w:rPr>
                <w:rFonts w:hint="eastAsia" w:ascii="宋体" w:hAnsi="宋体" w:eastAsia="宋体" w:cs="宋体"/>
                <w:sz w:val="21"/>
                <w:szCs w:val="21"/>
              </w:rPr>
            </w:pPr>
            <w:r>
              <w:rPr>
                <w:rFonts w:hint="eastAsia" w:ascii="宋体" w:hAnsi="宋体" w:eastAsia="宋体" w:cs="宋体"/>
                <w:sz w:val="21"/>
                <w:szCs w:val="21"/>
              </w:rPr>
              <w:t>25</w:t>
            </w:r>
          </w:p>
        </w:tc>
        <w:tc>
          <w:tcPr>
            <w:tcW w:w="992" w:type="dxa"/>
            <w:vAlign w:val="center"/>
          </w:tcPr>
          <w:p w14:paraId="4C5F68E7">
            <w:pPr>
              <w:widowControl/>
              <w:jc w:val="center"/>
              <w:rPr>
                <w:rFonts w:hint="default" w:ascii="宋体" w:hAnsi="宋体" w:eastAsia="宋体" w:cs="宋体"/>
                <w:b/>
                <w:bCs/>
                <w:sz w:val="21"/>
                <w:szCs w:val="21"/>
                <w:lang w:val="en-US" w:eastAsia="zh-CN"/>
              </w:rPr>
            </w:pPr>
            <w:r>
              <w:rPr>
                <w:rFonts w:hint="eastAsia" w:ascii="宋体" w:hAnsi="宋体" w:eastAsia="宋体" w:cs="宋体"/>
                <w:sz w:val="21"/>
                <w:szCs w:val="21"/>
                <w:lang w:val="en-US" w:eastAsia="zh-CN"/>
              </w:rPr>
              <w:t>72.28</w:t>
            </w:r>
          </w:p>
        </w:tc>
        <w:tc>
          <w:tcPr>
            <w:tcW w:w="992" w:type="dxa"/>
            <w:vAlign w:val="center"/>
          </w:tcPr>
          <w:p w14:paraId="20B827DF">
            <w:pPr>
              <w:widowControl/>
              <w:jc w:val="center"/>
              <w:rPr>
                <w:rFonts w:hint="default" w:ascii="宋体" w:hAnsi="宋体" w:eastAsia="宋体" w:cs="宋体"/>
                <w:b w:val="0"/>
                <w:bCs w:val="0"/>
                <w:sz w:val="21"/>
                <w:szCs w:val="21"/>
                <w:lang w:val="en-US" w:eastAsia="zh-CN"/>
              </w:rPr>
            </w:pPr>
            <w:r>
              <w:rPr>
                <w:rFonts w:hint="eastAsia" w:ascii="宋体" w:hAnsi="宋体" w:cs="宋体"/>
                <w:b w:val="0"/>
                <w:bCs w:val="0"/>
                <w:sz w:val="21"/>
                <w:szCs w:val="21"/>
                <w:lang w:val="en-US" w:eastAsia="zh-CN"/>
              </w:rPr>
              <w:t>78.61</w:t>
            </w:r>
          </w:p>
        </w:tc>
        <w:tc>
          <w:tcPr>
            <w:tcW w:w="993" w:type="dxa"/>
            <w:vAlign w:val="center"/>
          </w:tcPr>
          <w:p w14:paraId="295BB445">
            <w:pPr>
              <w:widowControl/>
              <w:jc w:val="center"/>
              <w:rPr>
                <w:rFonts w:hint="eastAsia" w:ascii="宋体" w:hAnsi="宋体" w:eastAsia="宋体" w:cs="宋体"/>
                <w:b/>
                <w:bCs/>
                <w:sz w:val="21"/>
                <w:szCs w:val="21"/>
              </w:rPr>
            </w:pPr>
            <w:r>
              <w:rPr>
                <w:rFonts w:hint="eastAsia" w:ascii="宋体" w:hAnsi="宋体" w:eastAsia="宋体" w:cs="宋体"/>
                <w:sz w:val="21"/>
                <w:szCs w:val="21"/>
              </w:rPr>
              <w:t>/</w:t>
            </w:r>
          </w:p>
        </w:tc>
        <w:tc>
          <w:tcPr>
            <w:tcW w:w="816" w:type="dxa"/>
            <w:vAlign w:val="center"/>
          </w:tcPr>
          <w:p w14:paraId="194D5ABA">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符合</w:t>
            </w:r>
          </w:p>
        </w:tc>
      </w:tr>
      <w:tr w14:paraId="1F696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Align w:val="center"/>
          </w:tcPr>
          <w:p w14:paraId="4AEE283E">
            <w:pPr>
              <w:jc w:val="center"/>
              <w:rPr>
                <w:rFonts w:hint="eastAsia" w:ascii="宋体" w:hAnsi="宋体" w:eastAsia="宋体" w:cs="宋体"/>
                <w:sz w:val="21"/>
                <w:szCs w:val="21"/>
              </w:rPr>
            </w:pPr>
            <w:r>
              <w:rPr>
                <w:rFonts w:hint="eastAsia" w:ascii="宋体" w:hAnsi="宋体" w:eastAsia="宋体" w:cs="宋体"/>
                <w:sz w:val="21"/>
                <w:szCs w:val="21"/>
              </w:rPr>
              <w:t>明火地点或散发火花地点</w:t>
            </w:r>
          </w:p>
        </w:tc>
        <w:tc>
          <w:tcPr>
            <w:tcW w:w="992" w:type="dxa"/>
            <w:vAlign w:val="center"/>
          </w:tcPr>
          <w:p w14:paraId="2721B095">
            <w:pPr>
              <w:jc w:val="center"/>
              <w:rPr>
                <w:rFonts w:hint="eastAsia" w:ascii="宋体" w:hAnsi="宋体" w:eastAsia="宋体" w:cs="宋体"/>
                <w:sz w:val="21"/>
                <w:szCs w:val="21"/>
              </w:rPr>
            </w:pPr>
            <w:r>
              <w:rPr>
                <w:rFonts w:hint="eastAsia" w:ascii="宋体" w:hAnsi="宋体" w:eastAsia="宋体" w:cs="宋体"/>
                <w:sz w:val="21"/>
                <w:szCs w:val="21"/>
              </w:rPr>
              <w:t>10</w:t>
            </w:r>
          </w:p>
        </w:tc>
        <w:tc>
          <w:tcPr>
            <w:tcW w:w="850" w:type="dxa"/>
            <w:vAlign w:val="center"/>
          </w:tcPr>
          <w:p w14:paraId="300B4963">
            <w:pPr>
              <w:jc w:val="center"/>
              <w:rPr>
                <w:rFonts w:hint="eastAsia" w:ascii="宋体" w:hAnsi="宋体" w:eastAsia="宋体" w:cs="宋体"/>
                <w:sz w:val="21"/>
                <w:szCs w:val="21"/>
              </w:rPr>
            </w:pPr>
            <w:r>
              <w:rPr>
                <w:rFonts w:hint="eastAsia" w:ascii="宋体" w:hAnsi="宋体" w:eastAsia="宋体" w:cs="宋体"/>
                <w:sz w:val="21"/>
                <w:szCs w:val="21"/>
              </w:rPr>
              <w:t>10</w:t>
            </w:r>
          </w:p>
        </w:tc>
        <w:tc>
          <w:tcPr>
            <w:tcW w:w="851" w:type="dxa"/>
            <w:vAlign w:val="center"/>
          </w:tcPr>
          <w:p w14:paraId="771FFC29">
            <w:pPr>
              <w:jc w:val="center"/>
              <w:rPr>
                <w:rFonts w:hint="eastAsia" w:ascii="宋体" w:hAnsi="宋体" w:eastAsia="宋体" w:cs="宋体"/>
                <w:sz w:val="21"/>
                <w:szCs w:val="21"/>
              </w:rPr>
            </w:pPr>
            <w:r>
              <w:rPr>
                <w:rFonts w:hint="eastAsia" w:ascii="宋体" w:hAnsi="宋体" w:eastAsia="宋体" w:cs="宋体"/>
                <w:sz w:val="21"/>
                <w:szCs w:val="21"/>
              </w:rPr>
              <w:t>10</w:t>
            </w:r>
          </w:p>
        </w:tc>
        <w:tc>
          <w:tcPr>
            <w:tcW w:w="992" w:type="dxa"/>
            <w:vAlign w:val="center"/>
          </w:tcPr>
          <w:p w14:paraId="324F7334">
            <w:pPr>
              <w:widowControl/>
              <w:jc w:val="center"/>
              <w:rPr>
                <w:rFonts w:hint="eastAsia" w:ascii="宋体" w:hAnsi="宋体" w:eastAsia="宋体" w:cs="宋体"/>
                <w:b/>
                <w:bCs/>
                <w:sz w:val="21"/>
                <w:szCs w:val="21"/>
              </w:rPr>
            </w:pPr>
            <w:r>
              <w:rPr>
                <w:rFonts w:hint="eastAsia" w:ascii="宋体" w:hAnsi="宋体" w:eastAsia="宋体" w:cs="宋体"/>
                <w:sz w:val="21"/>
                <w:szCs w:val="21"/>
              </w:rPr>
              <w:t>/</w:t>
            </w:r>
          </w:p>
        </w:tc>
        <w:tc>
          <w:tcPr>
            <w:tcW w:w="992" w:type="dxa"/>
            <w:vAlign w:val="center"/>
          </w:tcPr>
          <w:p w14:paraId="0B664C8F">
            <w:pPr>
              <w:widowControl/>
              <w:jc w:val="center"/>
              <w:rPr>
                <w:rFonts w:hint="eastAsia" w:ascii="宋体" w:hAnsi="宋体" w:eastAsia="宋体" w:cs="宋体"/>
                <w:b/>
                <w:bCs/>
                <w:sz w:val="21"/>
                <w:szCs w:val="21"/>
              </w:rPr>
            </w:pPr>
            <w:r>
              <w:rPr>
                <w:rFonts w:hint="eastAsia" w:ascii="宋体" w:hAnsi="宋体" w:eastAsia="宋体" w:cs="宋体"/>
                <w:sz w:val="21"/>
                <w:szCs w:val="21"/>
              </w:rPr>
              <w:t>/</w:t>
            </w:r>
          </w:p>
        </w:tc>
        <w:tc>
          <w:tcPr>
            <w:tcW w:w="993" w:type="dxa"/>
            <w:vAlign w:val="center"/>
          </w:tcPr>
          <w:p w14:paraId="708D3F49">
            <w:pPr>
              <w:widowControl/>
              <w:jc w:val="center"/>
              <w:rPr>
                <w:rFonts w:hint="eastAsia" w:ascii="宋体" w:hAnsi="宋体" w:eastAsia="宋体" w:cs="宋体"/>
                <w:b/>
                <w:bCs/>
                <w:sz w:val="21"/>
                <w:szCs w:val="21"/>
              </w:rPr>
            </w:pPr>
            <w:r>
              <w:rPr>
                <w:rFonts w:hint="eastAsia" w:ascii="宋体" w:hAnsi="宋体" w:eastAsia="宋体" w:cs="宋体"/>
                <w:sz w:val="21"/>
                <w:szCs w:val="21"/>
              </w:rPr>
              <w:t>/</w:t>
            </w:r>
          </w:p>
        </w:tc>
        <w:tc>
          <w:tcPr>
            <w:tcW w:w="816" w:type="dxa"/>
            <w:vAlign w:val="center"/>
          </w:tcPr>
          <w:p w14:paraId="757B6236">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5D4C0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401" w:type="dxa"/>
            <w:vMerge w:val="restart"/>
            <w:vAlign w:val="center"/>
          </w:tcPr>
          <w:p w14:paraId="371489EE">
            <w:pPr>
              <w:jc w:val="center"/>
              <w:rPr>
                <w:rFonts w:hint="eastAsia" w:ascii="宋体" w:hAnsi="宋体" w:eastAsia="宋体" w:cs="宋体"/>
                <w:sz w:val="21"/>
                <w:szCs w:val="21"/>
              </w:rPr>
            </w:pPr>
            <w:r>
              <w:rPr>
                <w:rFonts w:hint="eastAsia" w:ascii="宋体" w:hAnsi="宋体" w:eastAsia="宋体" w:cs="宋体"/>
                <w:sz w:val="21"/>
                <w:szCs w:val="21"/>
              </w:rPr>
              <w:t>民用建筑物保护类别</w:t>
            </w:r>
          </w:p>
        </w:tc>
        <w:tc>
          <w:tcPr>
            <w:tcW w:w="1401" w:type="dxa"/>
            <w:vAlign w:val="center"/>
          </w:tcPr>
          <w:p w14:paraId="06F842C4">
            <w:pPr>
              <w:jc w:val="center"/>
              <w:rPr>
                <w:rFonts w:hint="eastAsia" w:ascii="宋体" w:hAnsi="宋体" w:eastAsia="宋体" w:cs="宋体"/>
                <w:sz w:val="21"/>
                <w:szCs w:val="21"/>
              </w:rPr>
            </w:pPr>
            <w:r>
              <w:rPr>
                <w:rFonts w:hint="eastAsia" w:ascii="宋体" w:hAnsi="宋体" w:eastAsia="宋体" w:cs="宋体"/>
                <w:sz w:val="21"/>
                <w:szCs w:val="21"/>
              </w:rPr>
              <w:t>一类保护物</w:t>
            </w:r>
          </w:p>
        </w:tc>
        <w:tc>
          <w:tcPr>
            <w:tcW w:w="992" w:type="dxa"/>
            <w:vAlign w:val="center"/>
          </w:tcPr>
          <w:p w14:paraId="5B0F7BAB">
            <w:pPr>
              <w:jc w:val="center"/>
              <w:rPr>
                <w:rFonts w:hint="eastAsia" w:ascii="宋体" w:hAnsi="宋体" w:eastAsia="宋体" w:cs="宋体"/>
                <w:sz w:val="21"/>
                <w:szCs w:val="21"/>
              </w:rPr>
            </w:pPr>
            <w:r>
              <w:rPr>
                <w:rFonts w:hint="eastAsia" w:ascii="宋体" w:hAnsi="宋体" w:eastAsia="宋体" w:cs="宋体"/>
                <w:sz w:val="21"/>
                <w:szCs w:val="21"/>
              </w:rPr>
              <w:t>6</w:t>
            </w:r>
          </w:p>
        </w:tc>
        <w:tc>
          <w:tcPr>
            <w:tcW w:w="850" w:type="dxa"/>
            <w:vAlign w:val="center"/>
          </w:tcPr>
          <w:p w14:paraId="378EAE96">
            <w:pPr>
              <w:jc w:val="center"/>
              <w:rPr>
                <w:rFonts w:hint="eastAsia" w:ascii="宋体" w:hAnsi="宋体" w:eastAsia="宋体" w:cs="宋体"/>
                <w:sz w:val="21"/>
                <w:szCs w:val="21"/>
              </w:rPr>
            </w:pPr>
            <w:r>
              <w:rPr>
                <w:rFonts w:hint="eastAsia" w:ascii="宋体" w:hAnsi="宋体" w:eastAsia="宋体" w:cs="宋体"/>
                <w:sz w:val="21"/>
                <w:szCs w:val="21"/>
              </w:rPr>
              <w:t>6</w:t>
            </w:r>
          </w:p>
        </w:tc>
        <w:tc>
          <w:tcPr>
            <w:tcW w:w="851" w:type="dxa"/>
            <w:vAlign w:val="center"/>
          </w:tcPr>
          <w:p w14:paraId="06B68FD5">
            <w:pPr>
              <w:jc w:val="center"/>
              <w:rPr>
                <w:rFonts w:hint="eastAsia" w:ascii="宋体" w:hAnsi="宋体" w:eastAsia="宋体" w:cs="宋体"/>
                <w:sz w:val="21"/>
                <w:szCs w:val="21"/>
              </w:rPr>
            </w:pPr>
            <w:r>
              <w:rPr>
                <w:rFonts w:hint="eastAsia" w:ascii="宋体" w:hAnsi="宋体" w:eastAsia="宋体" w:cs="宋体"/>
                <w:sz w:val="21"/>
                <w:szCs w:val="21"/>
              </w:rPr>
              <w:t>6</w:t>
            </w:r>
          </w:p>
        </w:tc>
        <w:tc>
          <w:tcPr>
            <w:tcW w:w="992" w:type="dxa"/>
            <w:vAlign w:val="center"/>
          </w:tcPr>
          <w:p w14:paraId="68A38088">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w:t>
            </w:r>
          </w:p>
        </w:tc>
        <w:tc>
          <w:tcPr>
            <w:tcW w:w="992" w:type="dxa"/>
            <w:vAlign w:val="center"/>
          </w:tcPr>
          <w:p w14:paraId="498BDDA5">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w:t>
            </w:r>
          </w:p>
        </w:tc>
        <w:tc>
          <w:tcPr>
            <w:tcW w:w="993" w:type="dxa"/>
            <w:vAlign w:val="center"/>
          </w:tcPr>
          <w:p w14:paraId="1454152B">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2E80D776">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w:t>
            </w:r>
          </w:p>
        </w:tc>
      </w:tr>
      <w:tr w14:paraId="2C5DA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401" w:type="dxa"/>
            <w:vMerge w:val="continue"/>
            <w:vAlign w:val="center"/>
          </w:tcPr>
          <w:p w14:paraId="02FA0073">
            <w:pPr>
              <w:jc w:val="center"/>
              <w:rPr>
                <w:rFonts w:hint="eastAsia" w:ascii="宋体" w:hAnsi="宋体" w:eastAsia="宋体" w:cs="宋体"/>
                <w:sz w:val="21"/>
                <w:szCs w:val="21"/>
              </w:rPr>
            </w:pPr>
          </w:p>
        </w:tc>
        <w:tc>
          <w:tcPr>
            <w:tcW w:w="1401" w:type="dxa"/>
            <w:vAlign w:val="center"/>
          </w:tcPr>
          <w:p w14:paraId="2E6D19BE">
            <w:pPr>
              <w:jc w:val="center"/>
              <w:rPr>
                <w:rFonts w:hint="eastAsia" w:ascii="宋体" w:hAnsi="宋体" w:eastAsia="宋体" w:cs="宋体"/>
                <w:sz w:val="21"/>
                <w:szCs w:val="21"/>
              </w:rPr>
            </w:pPr>
            <w:r>
              <w:rPr>
                <w:rFonts w:hint="eastAsia" w:ascii="宋体" w:hAnsi="宋体" w:eastAsia="宋体" w:cs="宋体"/>
                <w:sz w:val="21"/>
                <w:szCs w:val="21"/>
              </w:rPr>
              <w:t>二类保护物</w:t>
            </w:r>
          </w:p>
        </w:tc>
        <w:tc>
          <w:tcPr>
            <w:tcW w:w="992" w:type="dxa"/>
            <w:vAlign w:val="center"/>
          </w:tcPr>
          <w:p w14:paraId="7B6F420A">
            <w:pPr>
              <w:jc w:val="center"/>
              <w:rPr>
                <w:rFonts w:hint="eastAsia" w:ascii="宋体" w:hAnsi="宋体" w:eastAsia="宋体" w:cs="宋体"/>
                <w:sz w:val="21"/>
                <w:szCs w:val="21"/>
              </w:rPr>
            </w:pPr>
            <w:r>
              <w:rPr>
                <w:rFonts w:hint="eastAsia" w:ascii="宋体" w:hAnsi="宋体" w:eastAsia="宋体" w:cs="宋体"/>
                <w:sz w:val="21"/>
                <w:szCs w:val="21"/>
              </w:rPr>
              <w:t>6</w:t>
            </w:r>
          </w:p>
        </w:tc>
        <w:tc>
          <w:tcPr>
            <w:tcW w:w="850" w:type="dxa"/>
            <w:vAlign w:val="center"/>
          </w:tcPr>
          <w:p w14:paraId="2EA9225B">
            <w:pPr>
              <w:jc w:val="center"/>
              <w:rPr>
                <w:rFonts w:hint="eastAsia" w:ascii="宋体" w:hAnsi="宋体" w:eastAsia="宋体" w:cs="宋体"/>
                <w:sz w:val="21"/>
                <w:szCs w:val="21"/>
              </w:rPr>
            </w:pPr>
            <w:r>
              <w:rPr>
                <w:rFonts w:hint="eastAsia" w:ascii="宋体" w:hAnsi="宋体" w:eastAsia="宋体" w:cs="宋体"/>
                <w:sz w:val="21"/>
                <w:szCs w:val="21"/>
              </w:rPr>
              <w:t>6</w:t>
            </w:r>
          </w:p>
        </w:tc>
        <w:tc>
          <w:tcPr>
            <w:tcW w:w="851" w:type="dxa"/>
            <w:vAlign w:val="center"/>
          </w:tcPr>
          <w:p w14:paraId="3B6FB233">
            <w:pPr>
              <w:jc w:val="center"/>
              <w:rPr>
                <w:rFonts w:hint="eastAsia" w:ascii="宋体" w:hAnsi="宋体" w:eastAsia="宋体" w:cs="宋体"/>
                <w:sz w:val="21"/>
                <w:szCs w:val="21"/>
              </w:rPr>
            </w:pPr>
            <w:r>
              <w:rPr>
                <w:rFonts w:hint="eastAsia" w:ascii="宋体" w:hAnsi="宋体" w:eastAsia="宋体" w:cs="宋体"/>
                <w:sz w:val="21"/>
                <w:szCs w:val="21"/>
              </w:rPr>
              <w:t>6</w:t>
            </w:r>
          </w:p>
        </w:tc>
        <w:tc>
          <w:tcPr>
            <w:tcW w:w="992" w:type="dxa"/>
            <w:vAlign w:val="center"/>
          </w:tcPr>
          <w:p w14:paraId="5C2A50E3">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4762A9CD">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09DB96E4">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7F623084">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74940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401" w:type="dxa"/>
            <w:vMerge w:val="continue"/>
            <w:vAlign w:val="center"/>
          </w:tcPr>
          <w:p w14:paraId="3E419698">
            <w:pPr>
              <w:jc w:val="center"/>
              <w:rPr>
                <w:rFonts w:hint="eastAsia" w:ascii="宋体" w:hAnsi="宋体" w:eastAsia="宋体" w:cs="宋体"/>
                <w:sz w:val="21"/>
                <w:szCs w:val="21"/>
              </w:rPr>
            </w:pPr>
          </w:p>
        </w:tc>
        <w:tc>
          <w:tcPr>
            <w:tcW w:w="1401" w:type="dxa"/>
            <w:vAlign w:val="center"/>
          </w:tcPr>
          <w:p w14:paraId="45776156">
            <w:pPr>
              <w:jc w:val="center"/>
              <w:rPr>
                <w:rFonts w:hint="eastAsia" w:ascii="宋体" w:hAnsi="宋体" w:eastAsia="宋体" w:cs="宋体"/>
                <w:sz w:val="21"/>
                <w:szCs w:val="21"/>
              </w:rPr>
            </w:pPr>
            <w:r>
              <w:rPr>
                <w:rFonts w:hint="eastAsia" w:ascii="宋体" w:hAnsi="宋体" w:eastAsia="宋体" w:cs="宋体"/>
                <w:sz w:val="21"/>
                <w:szCs w:val="21"/>
              </w:rPr>
              <w:t>三类保护物</w:t>
            </w:r>
          </w:p>
        </w:tc>
        <w:tc>
          <w:tcPr>
            <w:tcW w:w="992" w:type="dxa"/>
            <w:vAlign w:val="center"/>
          </w:tcPr>
          <w:p w14:paraId="74E67BB5">
            <w:pPr>
              <w:jc w:val="center"/>
              <w:rPr>
                <w:rFonts w:hint="eastAsia" w:ascii="宋体" w:hAnsi="宋体" w:eastAsia="宋体" w:cs="宋体"/>
                <w:sz w:val="21"/>
                <w:szCs w:val="21"/>
              </w:rPr>
            </w:pPr>
            <w:r>
              <w:rPr>
                <w:rFonts w:hint="eastAsia" w:ascii="宋体" w:hAnsi="宋体" w:eastAsia="宋体" w:cs="宋体"/>
                <w:sz w:val="21"/>
                <w:szCs w:val="21"/>
              </w:rPr>
              <w:t>6</w:t>
            </w:r>
          </w:p>
        </w:tc>
        <w:tc>
          <w:tcPr>
            <w:tcW w:w="850" w:type="dxa"/>
            <w:vAlign w:val="center"/>
          </w:tcPr>
          <w:p w14:paraId="699BC731">
            <w:pPr>
              <w:jc w:val="center"/>
              <w:rPr>
                <w:rFonts w:hint="eastAsia" w:ascii="宋体" w:hAnsi="宋体" w:eastAsia="宋体" w:cs="宋体"/>
                <w:sz w:val="21"/>
                <w:szCs w:val="21"/>
              </w:rPr>
            </w:pPr>
            <w:r>
              <w:rPr>
                <w:rFonts w:hint="eastAsia" w:ascii="宋体" w:hAnsi="宋体" w:eastAsia="宋体" w:cs="宋体"/>
                <w:sz w:val="21"/>
                <w:szCs w:val="21"/>
              </w:rPr>
              <w:t>6</w:t>
            </w:r>
          </w:p>
        </w:tc>
        <w:tc>
          <w:tcPr>
            <w:tcW w:w="851" w:type="dxa"/>
            <w:vAlign w:val="center"/>
          </w:tcPr>
          <w:p w14:paraId="08C16B9A">
            <w:pPr>
              <w:jc w:val="center"/>
              <w:rPr>
                <w:rFonts w:hint="eastAsia" w:ascii="宋体" w:hAnsi="宋体" w:eastAsia="宋体" w:cs="宋体"/>
                <w:sz w:val="21"/>
                <w:szCs w:val="21"/>
              </w:rPr>
            </w:pPr>
            <w:r>
              <w:rPr>
                <w:rFonts w:hint="eastAsia" w:ascii="宋体" w:hAnsi="宋体" w:eastAsia="宋体" w:cs="宋体"/>
                <w:sz w:val="21"/>
                <w:szCs w:val="21"/>
              </w:rPr>
              <w:t>6</w:t>
            </w:r>
          </w:p>
        </w:tc>
        <w:tc>
          <w:tcPr>
            <w:tcW w:w="992" w:type="dxa"/>
            <w:vAlign w:val="center"/>
          </w:tcPr>
          <w:p w14:paraId="50A2F2D7">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13.1</w:t>
            </w:r>
          </w:p>
        </w:tc>
        <w:tc>
          <w:tcPr>
            <w:tcW w:w="992" w:type="dxa"/>
            <w:vAlign w:val="center"/>
          </w:tcPr>
          <w:p w14:paraId="17F6E4A6">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18.49</w:t>
            </w:r>
          </w:p>
        </w:tc>
        <w:tc>
          <w:tcPr>
            <w:tcW w:w="993" w:type="dxa"/>
            <w:vAlign w:val="center"/>
          </w:tcPr>
          <w:p w14:paraId="46BA4141">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19.09</w:t>
            </w:r>
          </w:p>
        </w:tc>
        <w:tc>
          <w:tcPr>
            <w:tcW w:w="816" w:type="dxa"/>
            <w:vAlign w:val="center"/>
          </w:tcPr>
          <w:p w14:paraId="5E38CAFE">
            <w:pPr>
              <w:jc w:val="center"/>
              <w:rPr>
                <w:rFonts w:hint="eastAsia" w:ascii="宋体" w:hAnsi="宋体" w:eastAsia="宋体" w:cs="宋体"/>
                <w:sz w:val="21"/>
                <w:szCs w:val="21"/>
              </w:rPr>
            </w:pPr>
            <w:r>
              <w:rPr>
                <w:rFonts w:hint="eastAsia" w:ascii="宋体" w:hAnsi="宋体" w:eastAsia="宋体" w:cs="宋体"/>
                <w:sz w:val="21"/>
                <w:szCs w:val="21"/>
              </w:rPr>
              <w:t>符合</w:t>
            </w:r>
          </w:p>
        </w:tc>
      </w:tr>
      <w:tr w14:paraId="72340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Align w:val="center"/>
          </w:tcPr>
          <w:p w14:paraId="2FC2ED11">
            <w:pPr>
              <w:spacing w:line="240" w:lineRule="exact"/>
              <w:jc w:val="center"/>
              <w:rPr>
                <w:rFonts w:hint="eastAsia" w:ascii="宋体" w:hAnsi="宋体" w:eastAsia="宋体" w:cs="宋体"/>
                <w:sz w:val="21"/>
                <w:szCs w:val="21"/>
              </w:rPr>
            </w:pPr>
            <w:r>
              <w:rPr>
                <w:rFonts w:hint="eastAsia" w:ascii="宋体" w:hAnsi="宋体" w:eastAsia="宋体" w:cs="宋体"/>
                <w:sz w:val="21"/>
                <w:szCs w:val="21"/>
              </w:rPr>
              <w:t>甲、乙类物品生产厂房、库房和甲、乙类液体储罐</w:t>
            </w:r>
          </w:p>
        </w:tc>
        <w:tc>
          <w:tcPr>
            <w:tcW w:w="992" w:type="dxa"/>
            <w:vAlign w:val="center"/>
          </w:tcPr>
          <w:p w14:paraId="06702E00">
            <w:pPr>
              <w:jc w:val="center"/>
              <w:rPr>
                <w:rFonts w:hint="eastAsia" w:ascii="宋体" w:hAnsi="宋体" w:eastAsia="宋体" w:cs="宋体"/>
                <w:sz w:val="21"/>
                <w:szCs w:val="21"/>
              </w:rPr>
            </w:pPr>
            <w:r>
              <w:rPr>
                <w:rFonts w:hint="eastAsia" w:ascii="宋体" w:hAnsi="宋体" w:eastAsia="宋体" w:cs="宋体"/>
                <w:sz w:val="21"/>
                <w:szCs w:val="21"/>
              </w:rPr>
              <w:t>9</w:t>
            </w:r>
          </w:p>
        </w:tc>
        <w:tc>
          <w:tcPr>
            <w:tcW w:w="850" w:type="dxa"/>
            <w:vAlign w:val="center"/>
          </w:tcPr>
          <w:p w14:paraId="38AFFB46">
            <w:pPr>
              <w:jc w:val="center"/>
              <w:rPr>
                <w:rFonts w:hint="eastAsia" w:ascii="宋体" w:hAnsi="宋体" w:eastAsia="宋体" w:cs="宋体"/>
                <w:sz w:val="21"/>
                <w:szCs w:val="21"/>
              </w:rPr>
            </w:pPr>
            <w:r>
              <w:rPr>
                <w:rFonts w:hint="eastAsia" w:ascii="宋体" w:hAnsi="宋体" w:eastAsia="宋体" w:cs="宋体"/>
                <w:sz w:val="21"/>
                <w:szCs w:val="21"/>
              </w:rPr>
              <w:t>9</w:t>
            </w:r>
          </w:p>
        </w:tc>
        <w:tc>
          <w:tcPr>
            <w:tcW w:w="851" w:type="dxa"/>
            <w:vAlign w:val="center"/>
          </w:tcPr>
          <w:p w14:paraId="0C6837A6">
            <w:pPr>
              <w:jc w:val="center"/>
              <w:rPr>
                <w:rFonts w:hint="eastAsia" w:ascii="宋体" w:hAnsi="宋体" w:eastAsia="宋体" w:cs="宋体"/>
                <w:sz w:val="21"/>
                <w:szCs w:val="21"/>
              </w:rPr>
            </w:pPr>
            <w:r>
              <w:rPr>
                <w:rFonts w:hint="eastAsia" w:ascii="宋体" w:hAnsi="宋体" w:eastAsia="宋体" w:cs="宋体"/>
                <w:sz w:val="21"/>
                <w:szCs w:val="21"/>
              </w:rPr>
              <w:t>9</w:t>
            </w:r>
          </w:p>
        </w:tc>
        <w:tc>
          <w:tcPr>
            <w:tcW w:w="992" w:type="dxa"/>
            <w:vAlign w:val="center"/>
          </w:tcPr>
          <w:p w14:paraId="498D75A1">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6D7C56F2">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7E23E43D">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5EAEC1CF">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44E4D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Align w:val="center"/>
          </w:tcPr>
          <w:p w14:paraId="2CAF4C00">
            <w:pPr>
              <w:spacing w:line="240" w:lineRule="exact"/>
              <w:jc w:val="center"/>
              <w:rPr>
                <w:rFonts w:hint="eastAsia" w:ascii="宋体" w:hAnsi="宋体" w:eastAsia="宋体" w:cs="宋体"/>
                <w:sz w:val="21"/>
                <w:szCs w:val="21"/>
              </w:rPr>
            </w:pPr>
            <w:r>
              <w:rPr>
                <w:rFonts w:hint="eastAsia" w:ascii="宋体" w:hAnsi="宋体" w:eastAsia="宋体" w:cs="宋体"/>
                <w:sz w:val="21"/>
                <w:szCs w:val="21"/>
              </w:rPr>
              <w:t>丙、丁、戊类物品生产厂房、库房和丙类液体储罐以及容积不大于50m3的埋地甲、乙类液体储罐</w:t>
            </w:r>
          </w:p>
        </w:tc>
        <w:tc>
          <w:tcPr>
            <w:tcW w:w="992" w:type="dxa"/>
            <w:vAlign w:val="center"/>
          </w:tcPr>
          <w:p w14:paraId="4FB2021A">
            <w:pPr>
              <w:jc w:val="center"/>
              <w:rPr>
                <w:rFonts w:hint="eastAsia" w:ascii="宋体" w:hAnsi="宋体" w:eastAsia="宋体" w:cs="宋体"/>
                <w:sz w:val="21"/>
                <w:szCs w:val="21"/>
              </w:rPr>
            </w:pPr>
            <w:r>
              <w:rPr>
                <w:rFonts w:hint="eastAsia" w:ascii="宋体" w:hAnsi="宋体" w:eastAsia="宋体" w:cs="宋体"/>
                <w:sz w:val="21"/>
                <w:szCs w:val="21"/>
              </w:rPr>
              <w:t>9</w:t>
            </w:r>
          </w:p>
        </w:tc>
        <w:tc>
          <w:tcPr>
            <w:tcW w:w="850" w:type="dxa"/>
            <w:vAlign w:val="center"/>
          </w:tcPr>
          <w:p w14:paraId="017B85BE">
            <w:pPr>
              <w:jc w:val="center"/>
              <w:rPr>
                <w:rFonts w:hint="eastAsia" w:ascii="宋体" w:hAnsi="宋体" w:eastAsia="宋体" w:cs="宋体"/>
                <w:sz w:val="21"/>
                <w:szCs w:val="21"/>
              </w:rPr>
            </w:pPr>
            <w:r>
              <w:rPr>
                <w:rFonts w:hint="eastAsia" w:ascii="宋体" w:hAnsi="宋体" w:eastAsia="宋体" w:cs="宋体"/>
                <w:sz w:val="21"/>
                <w:szCs w:val="21"/>
              </w:rPr>
              <w:t>9</w:t>
            </w:r>
          </w:p>
        </w:tc>
        <w:tc>
          <w:tcPr>
            <w:tcW w:w="851" w:type="dxa"/>
            <w:vAlign w:val="center"/>
          </w:tcPr>
          <w:p w14:paraId="75B0CF01">
            <w:pPr>
              <w:jc w:val="center"/>
              <w:rPr>
                <w:rFonts w:hint="eastAsia" w:ascii="宋体" w:hAnsi="宋体" w:eastAsia="宋体" w:cs="宋体"/>
                <w:sz w:val="21"/>
                <w:szCs w:val="21"/>
              </w:rPr>
            </w:pPr>
            <w:r>
              <w:rPr>
                <w:rFonts w:hint="eastAsia" w:ascii="宋体" w:hAnsi="宋体" w:eastAsia="宋体" w:cs="宋体"/>
                <w:sz w:val="21"/>
                <w:szCs w:val="21"/>
              </w:rPr>
              <w:t>9</w:t>
            </w:r>
          </w:p>
        </w:tc>
        <w:tc>
          <w:tcPr>
            <w:tcW w:w="992" w:type="dxa"/>
            <w:vAlign w:val="center"/>
          </w:tcPr>
          <w:p w14:paraId="06E877D1">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0863686A">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39A24113">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034BD064">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01881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2802" w:type="dxa"/>
            <w:gridSpan w:val="2"/>
            <w:vAlign w:val="center"/>
          </w:tcPr>
          <w:p w14:paraId="5B6F2176">
            <w:pPr>
              <w:jc w:val="center"/>
              <w:rPr>
                <w:rFonts w:hint="eastAsia" w:ascii="宋体" w:hAnsi="宋体" w:eastAsia="宋体" w:cs="宋体"/>
                <w:sz w:val="21"/>
                <w:szCs w:val="21"/>
              </w:rPr>
            </w:pPr>
            <w:r>
              <w:rPr>
                <w:rFonts w:hint="eastAsia" w:ascii="宋体" w:hAnsi="宋体" w:eastAsia="宋体" w:cs="宋体"/>
                <w:sz w:val="21"/>
                <w:szCs w:val="21"/>
              </w:rPr>
              <w:br w:type="page"/>
            </w:r>
            <w:r>
              <w:rPr>
                <w:rFonts w:hint="eastAsia" w:ascii="宋体" w:hAnsi="宋体" w:eastAsia="宋体" w:cs="宋体"/>
                <w:sz w:val="21"/>
                <w:szCs w:val="21"/>
              </w:rPr>
              <w:t>室外变配电站</w:t>
            </w:r>
          </w:p>
        </w:tc>
        <w:tc>
          <w:tcPr>
            <w:tcW w:w="992" w:type="dxa"/>
            <w:vAlign w:val="center"/>
          </w:tcPr>
          <w:p w14:paraId="3E08D409">
            <w:pPr>
              <w:jc w:val="center"/>
              <w:rPr>
                <w:rFonts w:hint="eastAsia" w:ascii="宋体" w:hAnsi="宋体" w:eastAsia="宋体" w:cs="宋体"/>
                <w:sz w:val="21"/>
                <w:szCs w:val="21"/>
              </w:rPr>
            </w:pPr>
            <w:r>
              <w:rPr>
                <w:rFonts w:hint="eastAsia" w:ascii="宋体" w:hAnsi="宋体" w:eastAsia="宋体" w:cs="宋体"/>
                <w:sz w:val="21"/>
                <w:szCs w:val="21"/>
              </w:rPr>
              <w:t>12.5</w:t>
            </w:r>
          </w:p>
        </w:tc>
        <w:tc>
          <w:tcPr>
            <w:tcW w:w="850" w:type="dxa"/>
            <w:vAlign w:val="center"/>
          </w:tcPr>
          <w:p w14:paraId="021B24A4">
            <w:pPr>
              <w:jc w:val="center"/>
              <w:rPr>
                <w:rFonts w:hint="default"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cs="宋体"/>
                <w:sz w:val="21"/>
                <w:szCs w:val="21"/>
                <w:lang w:val="en-US" w:eastAsia="zh-CN"/>
              </w:rPr>
              <w:t>2.5</w:t>
            </w:r>
          </w:p>
        </w:tc>
        <w:tc>
          <w:tcPr>
            <w:tcW w:w="851" w:type="dxa"/>
            <w:vAlign w:val="center"/>
          </w:tcPr>
          <w:p w14:paraId="4633652F">
            <w:pPr>
              <w:jc w:val="center"/>
              <w:rPr>
                <w:rFonts w:hint="default"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cs="宋体"/>
                <w:sz w:val="21"/>
                <w:szCs w:val="21"/>
                <w:lang w:val="en-US" w:eastAsia="zh-CN"/>
              </w:rPr>
              <w:t>2.5</w:t>
            </w:r>
          </w:p>
        </w:tc>
        <w:tc>
          <w:tcPr>
            <w:tcW w:w="992" w:type="dxa"/>
            <w:vAlign w:val="center"/>
          </w:tcPr>
          <w:p w14:paraId="51856144">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3AF11B0A">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267CC4B1">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22FEC600">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1D024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Align w:val="center"/>
          </w:tcPr>
          <w:p w14:paraId="0F76420A">
            <w:pPr>
              <w:jc w:val="center"/>
              <w:rPr>
                <w:rFonts w:hint="eastAsia" w:ascii="宋体" w:hAnsi="宋体" w:eastAsia="宋体" w:cs="宋体"/>
                <w:sz w:val="21"/>
                <w:szCs w:val="21"/>
              </w:rPr>
            </w:pPr>
            <w:r>
              <w:rPr>
                <w:rFonts w:hint="eastAsia" w:ascii="宋体" w:hAnsi="宋体" w:eastAsia="宋体" w:cs="宋体"/>
                <w:sz w:val="21"/>
                <w:szCs w:val="21"/>
              </w:rPr>
              <w:t>铁路</w:t>
            </w:r>
          </w:p>
        </w:tc>
        <w:tc>
          <w:tcPr>
            <w:tcW w:w="992" w:type="dxa"/>
            <w:vAlign w:val="center"/>
          </w:tcPr>
          <w:p w14:paraId="48A968AE">
            <w:pPr>
              <w:jc w:val="center"/>
              <w:rPr>
                <w:rFonts w:hint="eastAsia" w:ascii="宋体" w:hAnsi="宋体" w:eastAsia="宋体" w:cs="宋体"/>
                <w:sz w:val="21"/>
                <w:szCs w:val="21"/>
              </w:rPr>
            </w:pPr>
            <w:r>
              <w:rPr>
                <w:rFonts w:hint="eastAsia" w:ascii="宋体" w:hAnsi="宋体" w:eastAsia="宋体" w:cs="宋体"/>
                <w:sz w:val="21"/>
                <w:szCs w:val="21"/>
              </w:rPr>
              <w:t>15</w:t>
            </w:r>
          </w:p>
        </w:tc>
        <w:tc>
          <w:tcPr>
            <w:tcW w:w="850" w:type="dxa"/>
            <w:vAlign w:val="center"/>
          </w:tcPr>
          <w:p w14:paraId="28B35B51">
            <w:pPr>
              <w:jc w:val="center"/>
              <w:rPr>
                <w:rFonts w:hint="eastAsia" w:ascii="宋体" w:hAnsi="宋体" w:eastAsia="宋体" w:cs="宋体"/>
                <w:sz w:val="21"/>
                <w:szCs w:val="21"/>
              </w:rPr>
            </w:pPr>
            <w:r>
              <w:rPr>
                <w:rFonts w:hint="eastAsia" w:ascii="宋体" w:hAnsi="宋体" w:eastAsia="宋体" w:cs="宋体"/>
                <w:sz w:val="21"/>
                <w:szCs w:val="21"/>
              </w:rPr>
              <w:t>15</w:t>
            </w:r>
          </w:p>
        </w:tc>
        <w:tc>
          <w:tcPr>
            <w:tcW w:w="851" w:type="dxa"/>
            <w:vAlign w:val="center"/>
          </w:tcPr>
          <w:p w14:paraId="656AACF4">
            <w:pPr>
              <w:jc w:val="center"/>
              <w:rPr>
                <w:rFonts w:hint="eastAsia" w:ascii="宋体" w:hAnsi="宋体" w:eastAsia="宋体" w:cs="宋体"/>
                <w:sz w:val="21"/>
                <w:szCs w:val="21"/>
              </w:rPr>
            </w:pPr>
            <w:r>
              <w:rPr>
                <w:rFonts w:hint="eastAsia" w:ascii="宋体" w:hAnsi="宋体" w:eastAsia="宋体" w:cs="宋体"/>
                <w:sz w:val="21"/>
                <w:szCs w:val="21"/>
              </w:rPr>
              <w:t>15</w:t>
            </w:r>
          </w:p>
        </w:tc>
        <w:tc>
          <w:tcPr>
            <w:tcW w:w="992" w:type="dxa"/>
            <w:vAlign w:val="center"/>
          </w:tcPr>
          <w:p w14:paraId="34CC1032">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6FB60398">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6F154907">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03314272">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6CC00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1" w:type="dxa"/>
            <w:vMerge w:val="restart"/>
            <w:vAlign w:val="center"/>
          </w:tcPr>
          <w:p w14:paraId="751B883D">
            <w:pPr>
              <w:jc w:val="center"/>
              <w:rPr>
                <w:rFonts w:hint="eastAsia" w:ascii="宋体" w:hAnsi="宋体" w:eastAsia="宋体" w:cs="宋体"/>
                <w:sz w:val="21"/>
                <w:szCs w:val="21"/>
              </w:rPr>
            </w:pPr>
            <w:r>
              <w:rPr>
                <w:rFonts w:hint="eastAsia" w:ascii="宋体" w:hAnsi="宋体" w:eastAsia="宋体" w:cs="宋体"/>
                <w:sz w:val="21"/>
                <w:szCs w:val="21"/>
              </w:rPr>
              <w:t>城市道路</w:t>
            </w:r>
          </w:p>
        </w:tc>
        <w:tc>
          <w:tcPr>
            <w:tcW w:w="1401" w:type="dxa"/>
            <w:vAlign w:val="center"/>
          </w:tcPr>
          <w:p w14:paraId="0F778C4B">
            <w:pPr>
              <w:jc w:val="center"/>
              <w:rPr>
                <w:rFonts w:hint="eastAsia" w:ascii="宋体" w:hAnsi="宋体" w:eastAsia="宋体" w:cs="宋体"/>
                <w:sz w:val="21"/>
                <w:szCs w:val="21"/>
              </w:rPr>
            </w:pPr>
            <w:r>
              <w:rPr>
                <w:rFonts w:hint="eastAsia" w:ascii="宋体" w:hAnsi="宋体" w:eastAsia="宋体" w:cs="宋体"/>
                <w:sz w:val="21"/>
                <w:szCs w:val="21"/>
              </w:rPr>
              <w:t>快速路、主干路</w:t>
            </w:r>
          </w:p>
        </w:tc>
        <w:tc>
          <w:tcPr>
            <w:tcW w:w="992" w:type="dxa"/>
            <w:vAlign w:val="center"/>
          </w:tcPr>
          <w:p w14:paraId="653FE9B3">
            <w:pPr>
              <w:jc w:val="center"/>
              <w:rPr>
                <w:rFonts w:hint="eastAsia" w:ascii="宋体" w:hAnsi="宋体" w:eastAsia="宋体" w:cs="宋体"/>
                <w:sz w:val="21"/>
                <w:szCs w:val="21"/>
              </w:rPr>
            </w:pPr>
            <w:r>
              <w:rPr>
                <w:rFonts w:hint="eastAsia" w:ascii="宋体" w:hAnsi="宋体" w:eastAsia="宋体" w:cs="宋体"/>
                <w:sz w:val="21"/>
                <w:szCs w:val="21"/>
              </w:rPr>
              <w:t>3</w:t>
            </w:r>
          </w:p>
        </w:tc>
        <w:tc>
          <w:tcPr>
            <w:tcW w:w="850" w:type="dxa"/>
            <w:vAlign w:val="center"/>
          </w:tcPr>
          <w:p w14:paraId="7DDFB5EC">
            <w:pPr>
              <w:jc w:val="center"/>
              <w:rPr>
                <w:rFonts w:hint="eastAsia" w:ascii="宋体" w:hAnsi="宋体" w:eastAsia="宋体" w:cs="宋体"/>
                <w:sz w:val="21"/>
                <w:szCs w:val="21"/>
              </w:rPr>
            </w:pPr>
            <w:r>
              <w:rPr>
                <w:rFonts w:hint="eastAsia" w:ascii="宋体" w:hAnsi="宋体" w:eastAsia="宋体" w:cs="宋体"/>
                <w:sz w:val="21"/>
                <w:szCs w:val="21"/>
              </w:rPr>
              <w:t>3</w:t>
            </w:r>
          </w:p>
        </w:tc>
        <w:tc>
          <w:tcPr>
            <w:tcW w:w="851" w:type="dxa"/>
            <w:vAlign w:val="center"/>
          </w:tcPr>
          <w:p w14:paraId="311FD580">
            <w:pPr>
              <w:jc w:val="center"/>
              <w:rPr>
                <w:rFonts w:hint="eastAsia" w:ascii="宋体" w:hAnsi="宋体" w:eastAsia="宋体" w:cs="宋体"/>
                <w:sz w:val="21"/>
                <w:szCs w:val="21"/>
              </w:rPr>
            </w:pPr>
            <w:r>
              <w:rPr>
                <w:rFonts w:hint="eastAsia" w:ascii="宋体" w:hAnsi="宋体" w:eastAsia="宋体" w:cs="宋体"/>
                <w:sz w:val="21"/>
                <w:szCs w:val="21"/>
              </w:rPr>
              <w:t>3</w:t>
            </w:r>
          </w:p>
        </w:tc>
        <w:tc>
          <w:tcPr>
            <w:tcW w:w="992" w:type="dxa"/>
            <w:vAlign w:val="center"/>
          </w:tcPr>
          <w:p w14:paraId="2F0CCA06">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29.8</w:t>
            </w:r>
          </w:p>
        </w:tc>
        <w:tc>
          <w:tcPr>
            <w:tcW w:w="992" w:type="dxa"/>
            <w:vAlign w:val="center"/>
          </w:tcPr>
          <w:p w14:paraId="2C7E0253">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35.75</w:t>
            </w:r>
          </w:p>
        </w:tc>
        <w:tc>
          <w:tcPr>
            <w:tcW w:w="993" w:type="dxa"/>
            <w:vAlign w:val="center"/>
          </w:tcPr>
          <w:p w14:paraId="51D4F090">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8.4</w:t>
            </w:r>
          </w:p>
        </w:tc>
        <w:tc>
          <w:tcPr>
            <w:tcW w:w="816" w:type="dxa"/>
            <w:vAlign w:val="center"/>
          </w:tcPr>
          <w:p w14:paraId="1C839EAD">
            <w:pPr>
              <w:jc w:val="center"/>
              <w:rPr>
                <w:rFonts w:hint="eastAsia" w:ascii="宋体" w:hAnsi="宋体" w:eastAsia="宋体" w:cs="宋体"/>
                <w:sz w:val="21"/>
                <w:szCs w:val="21"/>
              </w:rPr>
            </w:pPr>
            <w:r>
              <w:rPr>
                <w:rFonts w:hint="eastAsia" w:ascii="宋体" w:hAnsi="宋体" w:eastAsia="宋体" w:cs="宋体"/>
                <w:sz w:val="21"/>
                <w:szCs w:val="21"/>
              </w:rPr>
              <w:t>符合</w:t>
            </w:r>
          </w:p>
        </w:tc>
      </w:tr>
      <w:tr w14:paraId="79859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1" w:type="dxa"/>
            <w:vMerge w:val="continue"/>
            <w:vAlign w:val="center"/>
          </w:tcPr>
          <w:p w14:paraId="520464D0">
            <w:pPr>
              <w:jc w:val="center"/>
              <w:rPr>
                <w:rFonts w:hint="eastAsia" w:ascii="宋体" w:hAnsi="宋体" w:eastAsia="宋体" w:cs="宋体"/>
                <w:sz w:val="21"/>
                <w:szCs w:val="21"/>
              </w:rPr>
            </w:pPr>
          </w:p>
        </w:tc>
        <w:tc>
          <w:tcPr>
            <w:tcW w:w="1401" w:type="dxa"/>
            <w:vAlign w:val="center"/>
          </w:tcPr>
          <w:p w14:paraId="221F90F3">
            <w:pPr>
              <w:jc w:val="center"/>
              <w:rPr>
                <w:rFonts w:hint="eastAsia" w:ascii="宋体" w:hAnsi="宋体" w:eastAsia="宋体" w:cs="宋体"/>
                <w:sz w:val="21"/>
                <w:szCs w:val="21"/>
              </w:rPr>
            </w:pPr>
            <w:r>
              <w:rPr>
                <w:rFonts w:hint="eastAsia" w:ascii="宋体" w:hAnsi="宋体" w:eastAsia="宋体" w:cs="宋体"/>
                <w:sz w:val="21"/>
                <w:szCs w:val="21"/>
              </w:rPr>
              <w:t>次干路、支路</w:t>
            </w:r>
          </w:p>
        </w:tc>
        <w:tc>
          <w:tcPr>
            <w:tcW w:w="992" w:type="dxa"/>
            <w:vAlign w:val="center"/>
          </w:tcPr>
          <w:p w14:paraId="3C134B8E">
            <w:pPr>
              <w:jc w:val="center"/>
              <w:rPr>
                <w:rFonts w:hint="eastAsia" w:ascii="宋体" w:hAnsi="宋体" w:eastAsia="宋体" w:cs="宋体"/>
                <w:sz w:val="21"/>
                <w:szCs w:val="21"/>
              </w:rPr>
            </w:pPr>
            <w:r>
              <w:rPr>
                <w:rFonts w:hint="eastAsia" w:ascii="宋体" w:hAnsi="宋体" w:eastAsia="宋体" w:cs="宋体"/>
                <w:sz w:val="21"/>
                <w:szCs w:val="21"/>
              </w:rPr>
              <w:t>3</w:t>
            </w:r>
          </w:p>
        </w:tc>
        <w:tc>
          <w:tcPr>
            <w:tcW w:w="850" w:type="dxa"/>
            <w:vAlign w:val="center"/>
          </w:tcPr>
          <w:p w14:paraId="3B2F8AAB">
            <w:pPr>
              <w:jc w:val="center"/>
              <w:rPr>
                <w:rFonts w:hint="eastAsia" w:ascii="宋体" w:hAnsi="宋体" w:eastAsia="宋体" w:cs="宋体"/>
                <w:sz w:val="21"/>
                <w:szCs w:val="21"/>
              </w:rPr>
            </w:pPr>
            <w:r>
              <w:rPr>
                <w:rFonts w:hint="eastAsia" w:ascii="宋体" w:hAnsi="宋体" w:eastAsia="宋体" w:cs="宋体"/>
                <w:sz w:val="21"/>
                <w:szCs w:val="21"/>
              </w:rPr>
              <w:t>3</w:t>
            </w:r>
          </w:p>
        </w:tc>
        <w:tc>
          <w:tcPr>
            <w:tcW w:w="851" w:type="dxa"/>
            <w:vAlign w:val="center"/>
          </w:tcPr>
          <w:p w14:paraId="588F8A77">
            <w:pPr>
              <w:jc w:val="center"/>
              <w:rPr>
                <w:rFonts w:hint="eastAsia" w:ascii="宋体" w:hAnsi="宋体" w:eastAsia="宋体" w:cs="宋体"/>
                <w:sz w:val="21"/>
                <w:szCs w:val="21"/>
              </w:rPr>
            </w:pPr>
            <w:r>
              <w:rPr>
                <w:rFonts w:hint="eastAsia" w:ascii="宋体" w:hAnsi="宋体" w:eastAsia="宋体" w:cs="宋体"/>
                <w:sz w:val="21"/>
                <w:szCs w:val="21"/>
              </w:rPr>
              <w:t>3</w:t>
            </w:r>
          </w:p>
        </w:tc>
        <w:tc>
          <w:tcPr>
            <w:tcW w:w="992" w:type="dxa"/>
            <w:vAlign w:val="center"/>
          </w:tcPr>
          <w:p w14:paraId="3D8431D6">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2" w:type="dxa"/>
            <w:vAlign w:val="center"/>
          </w:tcPr>
          <w:p w14:paraId="00AA6BC1">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993" w:type="dxa"/>
            <w:vAlign w:val="center"/>
          </w:tcPr>
          <w:p w14:paraId="37E64FBE">
            <w:pPr>
              <w:widowControl/>
              <w:jc w:val="center"/>
              <w:rPr>
                <w:rFonts w:hint="eastAsia" w:ascii="宋体" w:hAnsi="宋体" w:eastAsia="宋体" w:cs="宋体"/>
                <w:sz w:val="21"/>
                <w:szCs w:val="21"/>
              </w:rPr>
            </w:pPr>
            <w:r>
              <w:rPr>
                <w:rFonts w:hint="eastAsia" w:ascii="宋体" w:hAnsi="宋体" w:eastAsia="宋体" w:cs="宋体"/>
                <w:sz w:val="21"/>
                <w:szCs w:val="21"/>
              </w:rPr>
              <w:t>/</w:t>
            </w:r>
          </w:p>
        </w:tc>
        <w:tc>
          <w:tcPr>
            <w:tcW w:w="816" w:type="dxa"/>
            <w:vAlign w:val="center"/>
          </w:tcPr>
          <w:p w14:paraId="0E99329F">
            <w:pPr>
              <w:widowControl/>
              <w:jc w:val="center"/>
              <w:rPr>
                <w:rFonts w:hint="eastAsia" w:ascii="宋体" w:hAnsi="宋体" w:eastAsia="宋体" w:cs="宋体"/>
                <w:sz w:val="21"/>
                <w:szCs w:val="21"/>
              </w:rPr>
            </w:pPr>
            <w:r>
              <w:rPr>
                <w:rFonts w:hint="eastAsia" w:ascii="宋体" w:hAnsi="宋体" w:eastAsia="宋体" w:cs="宋体"/>
                <w:sz w:val="21"/>
                <w:szCs w:val="21"/>
              </w:rPr>
              <w:t>/</w:t>
            </w:r>
          </w:p>
        </w:tc>
      </w:tr>
      <w:tr w14:paraId="0A43E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vAlign w:val="center"/>
          </w:tcPr>
          <w:p w14:paraId="6078E0B0">
            <w:pPr>
              <w:jc w:val="center"/>
              <w:rPr>
                <w:rFonts w:hint="eastAsia" w:ascii="宋体" w:hAnsi="宋体" w:eastAsia="宋体" w:cs="宋体"/>
                <w:sz w:val="21"/>
                <w:szCs w:val="21"/>
              </w:rPr>
            </w:pPr>
            <w:r>
              <w:rPr>
                <w:rFonts w:hint="eastAsia" w:ascii="宋体" w:hAnsi="宋体" w:eastAsia="宋体" w:cs="宋体"/>
                <w:sz w:val="21"/>
                <w:szCs w:val="21"/>
              </w:rPr>
              <w:t>架空通信线</w:t>
            </w:r>
          </w:p>
        </w:tc>
        <w:tc>
          <w:tcPr>
            <w:tcW w:w="2693" w:type="dxa"/>
            <w:gridSpan w:val="3"/>
            <w:vAlign w:val="center"/>
          </w:tcPr>
          <w:p w14:paraId="325C27CD">
            <w:pPr>
              <w:jc w:val="center"/>
              <w:rPr>
                <w:rFonts w:hint="eastAsia" w:ascii="宋体" w:hAnsi="宋体" w:eastAsia="宋体" w:cs="宋体"/>
                <w:b/>
                <w:bCs/>
                <w:sz w:val="21"/>
                <w:szCs w:val="21"/>
              </w:rPr>
            </w:pPr>
            <w:r>
              <w:rPr>
                <w:rFonts w:hint="eastAsia" w:ascii="宋体" w:hAnsi="宋体" w:eastAsia="宋体" w:cs="宋体"/>
                <w:sz w:val="21"/>
                <w:szCs w:val="21"/>
              </w:rPr>
              <w:t>5</w:t>
            </w:r>
          </w:p>
        </w:tc>
        <w:tc>
          <w:tcPr>
            <w:tcW w:w="992" w:type="dxa"/>
            <w:vAlign w:val="center"/>
          </w:tcPr>
          <w:p w14:paraId="696F8682">
            <w:pPr>
              <w:widowControl/>
              <w:jc w:val="center"/>
              <w:rPr>
                <w:rFonts w:hint="default" w:ascii="宋体" w:hAnsi="宋体" w:eastAsia="宋体" w:cs="宋体"/>
                <w:b/>
                <w:bCs/>
                <w:sz w:val="21"/>
                <w:szCs w:val="21"/>
                <w:lang w:val="en-US" w:eastAsia="zh-CN"/>
              </w:rPr>
            </w:pPr>
            <w:r>
              <w:rPr>
                <w:rFonts w:hint="eastAsia" w:ascii="宋体" w:hAnsi="宋体" w:cs="宋体"/>
                <w:sz w:val="21"/>
                <w:szCs w:val="21"/>
                <w:lang w:val="en-US" w:eastAsia="zh-CN"/>
              </w:rPr>
              <w:t>14</w:t>
            </w:r>
          </w:p>
        </w:tc>
        <w:tc>
          <w:tcPr>
            <w:tcW w:w="992" w:type="dxa"/>
            <w:vAlign w:val="center"/>
          </w:tcPr>
          <w:p w14:paraId="6C49C83D">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20.53</w:t>
            </w:r>
          </w:p>
        </w:tc>
        <w:tc>
          <w:tcPr>
            <w:tcW w:w="993" w:type="dxa"/>
            <w:vAlign w:val="center"/>
          </w:tcPr>
          <w:p w14:paraId="2E65FF41">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10.82</w:t>
            </w:r>
          </w:p>
        </w:tc>
        <w:tc>
          <w:tcPr>
            <w:tcW w:w="816" w:type="dxa"/>
            <w:vAlign w:val="center"/>
          </w:tcPr>
          <w:p w14:paraId="29360955">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符合</w:t>
            </w:r>
          </w:p>
        </w:tc>
      </w:tr>
      <w:tr w14:paraId="42245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1" w:type="dxa"/>
            <w:vMerge w:val="restart"/>
            <w:vAlign w:val="center"/>
          </w:tcPr>
          <w:p w14:paraId="6A855BB9">
            <w:pPr>
              <w:jc w:val="center"/>
              <w:rPr>
                <w:rFonts w:hint="eastAsia" w:ascii="宋体" w:hAnsi="宋体" w:eastAsia="宋体" w:cs="宋体"/>
                <w:sz w:val="21"/>
                <w:szCs w:val="21"/>
              </w:rPr>
            </w:pPr>
            <w:r>
              <w:rPr>
                <w:rFonts w:hint="eastAsia" w:ascii="宋体" w:hAnsi="宋体" w:eastAsia="宋体" w:cs="宋体"/>
                <w:sz w:val="21"/>
                <w:szCs w:val="21"/>
              </w:rPr>
              <w:t>架空电力线路</w:t>
            </w:r>
          </w:p>
        </w:tc>
        <w:tc>
          <w:tcPr>
            <w:tcW w:w="1401" w:type="dxa"/>
            <w:vAlign w:val="center"/>
          </w:tcPr>
          <w:p w14:paraId="020C82F1">
            <w:pPr>
              <w:jc w:val="center"/>
              <w:rPr>
                <w:rFonts w:hint="eastAsia" w:ascii="宋体" w:hAnsi="宋体" w:eastAsia="宋体" w:cs="宋体"/>
                <w:sz w:val="21"/>
                <w:szCs w:val="21"/>
              </w:rPr>
            </w:pPr>
            <w:r>
              <w:rPr>
                <w:rFonts w:hint="eastAsia" w:ascii="宋体" w:hAnsi="宋体" w:eastAsia="宋体" w:cs="宋体"/>
                <w:sz w:val="21"/>
                <w:szCs w:val="21"/>
              </w:rPr>
              <w:t>无绝缘层</w:t>
            </w:r>
          </w:p>
        </w:tc>
        <w:tc>
          <w:tcPr>
            <w:tcW w:w="992" w:type="dxa"/>
            <w:vAlign w:val="center"/>
          </w:tcPr>
          <w:p w14:paraId="5F70A49B">
            <w:pPr>
              <w:jc w:val="center"/>
              <w:rPr>
                <w:rFonts w:hint="eastAsia" w:ascii="宋体" w:hAnsi="宋体" w:eastAsia="宋体" w:cs="宋体"/>
                <w:sz w:val="21"/>
                <w:szCs w:val="21"/>
              </w:rPr>
            </w:pPr>
            <w:r>
              <w:rPr>
                <w:rFonts w:hint="eastAsia" w:ascii="宋体" w:hAnsi="宋体" w:eastAsia="宋体" w:cs="宋体"/>
                <w:sz w:val="21"/>
                <w:szCs w:val="21"/>
              </w:rPr>
              <w:t>6.5</w:t>
            </w:r>
          </w:p>
        </w:tc>
        <w:tc>
          <w:tcPr>
            <w:tcW w:w="850" w:type="dxa"/>
            <w:vAlign w:val="center"/>
          </w:tcPr>
          <w:p w14:paraId="2618FAFF">
            <w:pPr>
              <w:jc w:val="center"/>
              <w:rPr>
                <w:rFonts w:hint="eastAsia" w:ascii="宋体" w:hAnsi="宋体" w:eastAsia="宋体" w:cs="宋体"/>
                <w:sz w:val="21"/>
                <w:szCs w:val="21"/>
              </w:rPr>
            </w:pPr>
            <w:r>
              <w:rPr>
                <w:rFonts w:hint="eastAsia" w:ascii="宋体" w:hAnsi="宋体" w:eastAsia="宋体" w:cs="宋体"/>
                <w:sz w:val="21"/>
                <w:szCs w:val="21"/>
              </w:rPr>
              <w:t>6.5</w:t>
            </w:r>
          </w:p>
        </w:tc>
        <w:tc>
          <w:tcPr>
            <w:tcW w:w="851" w:type="dxa"/>
            <w:vAlign w:val="center"/>
          </w:tcPr>
          <w:p w14:paraId="56979A44">
            <w:pPr>
              <w:jc w:val="center"/>
              <w:rPr>
                <w:rFonts w:hint="eastAsia" w:ascii="宋体" w:hAnsi="宋体" w:eastAsia="宋体" w:cs="宋体"/>
                <w:sz w:val="21"/>
                <w:szCs w:val="21"/>
              </w:rPr>
            </w:pPr>
            <w:r>
              <w:rPr>
                <w:rFonts w:hint="eastAsia" w:ascii="宋体" w:hAnsi="宋体" w:eastAsia="宋体" w:cs="宋体"/>
                <w:sz w:val="21"/>
                <w:szCs w:val="21"/>
              </w:rPr>
              <w:t>6.5</w:t>
            </w:r>
          </w:p>
        </w:tc>
        <w:tc>
          <w:tcPr>
            <w:tcW w:w="992" w:type="dxa"/>
            <w:vAlign w:val="center"/>
          </w:tcPr>
          <w:p w14:paraId="06564DC4">
            <w:pPr>
              <w:widowControl/>
              <w:jc w:val="center"/>
              <w:rPr>
                <w:rFonts w:hint="default" w:ascii="宋体" w:hAnsi="宋体" w:eastAsia="宋体" w:cs="宋体"/>
                <w:b/>
                <w:bCs/>
                <w:sz w:val="21"/>
                <w:szCs w:val="21"/>
                <w:lang w:val="en-US" w:eastAsia="zh-CN"/>
              </w:rPr>
            </w:pPr>
            <w:r>
              <w:rPr>
                <w:rFonts w:hint="eastAsia" w:ascii="宋体" w:hAnsi="宋体" w:cs="宋体"/>
                <w:sz w:val="21"/>
                <w:szCs w:val="21"/>
                <w:lang w:val="en-US" w:eastAsia="zh-CN"/>
              </w:rPr>
              <w:t>44.56</w:t>
            </w:r>
          </w:p>
        </w:tc>
        <w:tc>
          <w:tcPr>
            <w:tcW w:w="992" w:type="dxa"/>
            <w:vAlign w:val="center"/>
          </w:tcPr>
          <w:p w14:paraId="4CA38EBA">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44.68</w:t>
            </w:r>
          </w:p>
        </w:tc>
        <w:tc>
          <w:tcPr>
            <w:tcW w:w="993" w:type="dxa"/>
            <w:vAlign w:val="center"/>
          </w:tcPr>
          <w:p w14:paraId="3DDAD5BF">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18.63</w:t>
            </w:r>
          </w:p>
        </w:tc>
        <w:tc>
          <w:tcPr>
            <w:tcW w:w="816" w:type="dxa"/>
            <w:vAlign w:val="center"/>
          </w:tcPr>
          <w:p w14:paraId="50FAF613">
            <w:pPr>
              <w:widowControl/>
              <w:jc w:val="center"/>
              <w:rPr>
                <w:rFonts w:hint="eastAsia" w:ascii="宋体" w:hAnsi="宋体" w:eastAsia="宋体" w:cs="宋体"/>
                <w:sz w:val="21"/>
                <w:szCs w:val="21"/>
                <w:lang w:eastAsia="zh-CN"/>
              </w:rPr>
            </w:pPr>
            <w:r>
              <w:rPr>
                <w:rFonts w:hint="eastAsia" w:ascii="宋体" w:hAnsi="宋体" w:cs="宋体"/>
                <w:sz w:val="21"/>
                <w:szCs w:val="21"/>
                <w:lang w:val="en-US" w:eastAsia="zh-CN"/>
              </w:rPr>
              <w:t>符合</w:t>
            </w:r>
          </w:p>
        </w:tc>
      </w:tr>
      <w:tr w14:paraId="4F055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1" w:type="dxa"/>
            <w:vMerge w:val="continue"/>
            <w:vAlign w:val="center"/>
          </w:tcPr>
          <w:p w14:paraId="5CD0A167">
            <w:pPr>
              <w:jc w:val="center"/>
              <w:rPr>
                <w:rFonts w:hint="eastAsia" w:ascii="宋体" w:hAnsi="宋体" w:eastAsia="宋体" w:cs="宋体"/>
                <w:sz w:val="21"/>
                <w:szCs w:val="21"/>
              </w:rPr>
            </w:pPr>
          </w:p>
        </w:tc>
        <w:tc>
          <w:tcPr>
            <w:tcW w:w="1401" w:type="dxa"/>
            <w:vAlign w:val="center"/>
          </w:tcPr>
          <w:p w14:paraId="7747A2C7">
            <w:pPr>
              <w:jc w:val="center"/>
              <w:rPr>
                <w:rFonts w:hint="eastAsia" w:ascii="宋体" w:hAnsi="宋体" w:eastAsia="宋体" w:cs="宋体"/>
                <w:sz w:val="21"/>
                <w:szCs w:val="21"/>
              </w:rPr>
            </w:pPr>
            <w:r>
              <w:rPr>
                <w:rFonts w:hint="eastAsia" w:ascii="宋体" w:hAnsi="宋体" w:eastAsia="宋体" w:cs="宋体"/>
                <w:sz w:val="21"/>
                <w:szCs w:val="21"/>
              </w:rPr>
              <w:t>有绝缘层</w:t>
            </w:r>
          </w:p>
        </w:tc>
        <w:tc>
          <w:tcPr>
            <w:tcW w:w="992" w:type="dxa"/>
            <w:vAlign w:val="center"/>
          </w:tcPr>
          <w:p w14:paraId="2800FA37">
            <w:pPr>
              <w:jc w:val="center"/>
              <w:rPr>
                <w:rFonts w:hint="eastAsia" w:ascii="宋体" w:hAnsi="宋体" w:eastAsia="宋体" w:cs="宋体"/>
                <w:sz w:val="21"/>
                <w:szCs w:val="21"/>
              </w:rPr>
            </w:pPr>
            <w:r>
              <w:rPr>
                <w:rFonts w:hint="eastAsia" w:ascii="宋体" w:hAnsi="宋体" w:eastAsia="宋体" w:cs="宋体"/>
                <w:sz w:val="21"/>
                <w:szCs w:val="21"/>
              </w:rPr>
              <w:t>5</w:t>
            </w:r>
          </w:p>
        </w:tc>
        <w:tc>
          <w:tcPr>
            <w:tcW w:w="850" w:type="dxa"/>
            <w:vAlign w:val="center"/>
          </w:tcPr>
          <w:p w14:paraId="0656ACD3">
            <w:pPr>
              <w:jc w:val="center"/>
              <w:rPr>
                <w:rFonts w:hint="eastAsia" w:ascii="宋体" w:hAnsi="宋体" w:eastAsia="宋体" w:cs="宋体"/>
                <w:sz w:val="21"/>
                <w:szCs w:val="21"/>
              </w:rPr>
            </w:pPr>
            <w:r>
              <w:rPr>
                <w:rFonts w:hint="eastAsia" w:ascii="宋体" w:hAnsi="宋体" w:eastAsia="宋体" w:cs="宋体"/>
                <w:sz w:val="21"/>
                <w:szCs w:val="21"/>
              </w:rPr>
              <w:t>5</w:t>
            </w:r>
          </w:p>
        </w:tc>
        <w:tc>
          <w:tcPr>
            <w:tcW w:w="851" w:type="dxa"/>
            <w:vAlign w:val="center"/>
          </w:tcPr>
          <w:p w14:paraId="66217937">
            <w:pPr>
              <w:jc w:val="center"/>
              <w:rPr>
                <w:rFonts w:hint="eastAsia" w:ascii="宋体" w:hAnsi="宋体" w:eastAsia="宋体" w:cs="宋体"/>
                <w:sz w:val="21"/>
                <w:szCs w:val="21"/>
              </w:rPr>
            </w:pPr>
            <w:r>
              <w:rPr>
                <w:rFonts w:hint="eastAsia" w:ascii="宋体" w:hAnsi="宋体" w:eastAsia="宋体" w:cs="宋体"/>
                <w:sz w:val="21"/>
                <w:szCs w:val="21"/>
              </w:rPr>
              <w:t>5</w:t>
            </w:r>
          </w:p>
        </w:tc>
        <w:tc>
          <w:tcPr>
            <w:tcW w:w="992" w:type="dxa"/>
            <w:vAlign w:val="center"/>
          </w:tcPr>
          <w:p w14:paraId="45027B7A">
            <w:pPr>
              <w:widowControl/>
              <w:jc w:val="center"/>
              <w:rPr>
                <w:rFonts w:hint="default" w:ascii="宋体" w:hAnsi="宋体" w:eastAsia="宋体" w:cs="宋体"/>
                <w:b/>
                <w:bCs/>
                <w:sz w:val="21"/>
                <w:szCs w:val="21"/>
                <w:lang w:val="en-US" w:eastAsia="zh-CN"/>
              </w:rPr>
            </w:pPr>
            <w:r>
              <w:rPr>
                <w:rFonts w:hint="eastAsia" w:ascii="宋体" w:hAnsi="宋体" w:cs="宋体"/>
                <w:sz w:val="21"/>
                <w:szCs w:val="21"/>
                <w:lang w:val="en-US" w:eastAsia="zh-CN"/>
              </w:rPr>
              <w:t>17.58</w:t>
            </w:r>
          </w:p>
        </w:tc>
        <w:tc>
          <w:tcPr>
            <w:tcW w:w="992" w:type="dxa"/>
            <w:vAlign w:val="center"/>
          </w:tcPr>
          <w:p w14:paraId="42FF5E5A">
            <w:pPr>
              <w:widowControl/>
              <w:jc w:val="center"/>
              <w:rPr>
                <w:rFonts w:hint="default" w:ascii="宋体" w:hAnsi="宋体" w:eastAsia="宋体" w:cs="宋体"/>
                <w:b/>
                <w:bCs/>
                <w:sz w:val="21"/>
                <w:szCs w:val="21"/>
                <w:lang w:val="en-US" w:eastAsia="zh-CN"/>
              </w:rPr>
            </w:pPr>
            <w:r>
              <w:rPr>
                <w:rFonts w:hint="eastAsia" w:ascii="宋体" w:hAnsi="宋体" w:cs="宋体"/>
                <w:sz w:val="21"/>
                <w:szCs w:val="21"/>
                <w:lang w:val="en-US" w:eastAsia="zh-CN"/>
              </w:rPr>
              <w:t>26.48</w:t>
            </w:r>
          </w:p>
        </w:tc>
        <w:tc>
          <w:tcPr>
            <w:tcW w:w="993" w:type="dxa"/>
            <w:vAlign w:val="center"/>
          </w:tcPr>
          <w:p w14:paraId="6577BDBA">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16.84</w:t>
            </w:r>
          </w:p>
        </w:tc>
        <w:tc>
          <w:tcPr>
            <w:tcW w:w="816" w:type="dxa"/>
            <w:vAlign w:val="center"/>
          </w:tcPr>
          <w:p w14:paraId="189BCF05">
            <w:pPr>
              <w:widowControl/>
              <w:jc w:val="center"/>
              <w:rPr>
                <w:rFonts w:hint="eastAsia" w:ascii="宋体" w:hAnsi="宋体" w:eastAsia="宋体" w:cs="宋体"/>
                <w:sz w:val="21"/>
                <w:szCs w:val="21"/>
              </w:rPr>
            </w:pPr>
            <w:r>
              <w:rPr>
                <w:rFonts w:hint="eastAsia" w:ascii="宋体" w:hAnsi="宋体" w:eastAsia="宋体" w:cs="宋体"/>
                <w:sz w:val="21"/>
                <w:szCs w:val="21"/>
              </w:rPr>
              <w:t>符合</w:t>
            </w:r>
          </w:p>
        </w:tc>
      </w:tr>
    </w:tbl>
    <w:p w14:paraId="4859882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从表5-</w:t>
      </w:r>
      <w:r>
        <w:rPr>
          <w:rFonts w:hint="eastAsia" w:ascii="宋体" w:hAnsi="宋体" w:eastAsia="宋体" w:cs="宋体"/>
          <w:sz w:val="28"/>
          <w:szCs w:val="28"/>
          <w:lang w:val="en-US" w:eastAsia="zh-CN"/>
        </w:rPr>
        <w:t>3</w:t>
      </w:r>
      <w:r>
        <w:rPr>
          <w:rFonts w:hint="eastAsia" w:ascii="宋体" w:hAnsi="宋体" w:eastAsia="宋体" w:cs="宋体"/>
          <w:sz w:val="28"/>
          <w:szCs w:val="28"/>
        </w:rPr>
        <w:t>、表5-</w:t>
      </w:r>
      <w:r>
        <w:rPr>
          <w:rFonts w:hint="eastAsia" w:ascii="宋体" w:hAnsi="宋体" w:eastAsia="宋体" w:cs="宋体"/>
          <w:sz w:val="28"/>
          <w:szCs w:val="28"/>
          <w:lang w:val="en-US" w:eastAsia="zh-CN"/>
        </w:rPr>
        <w:t>4</w:t>
      </w:r>
      <w:r>
        <w:rPr>
          <w:rFonts w:hint="eastAsia" w:ascii="宋体" w:hAnsi="宋体" w:eastAsia="宋体" w:cs="宋体"/>
          <w:sz w:val="28"/>
          <w:szCs w:val="28"/>
        </w:rPr>
        <w:t>可以看出，该加油站的油罐、加油机、通气管管口与站外建、构筑物的防火距离符合《汽车加油加汽加氢站技术标准》（GB50156-2021）第4.0.4条的规定</w:t>
      </w:r>
    </w:p>
    <w:p w14:paraId="1408A5F3">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24" w:name="_Toc19298"/>
      <w:r>
        <w:rPr>
          <w:rFonts w:hint="eastAsia" w:ascii="楷体" w:hAnsi="楷体" w:eastAsia="楷体" w:cs="楷体"/>
          <w:sz w:val="32"/>
          <w:szCs w:val="32"/>
          <w:lang w:eastAsia="en-US"/>
        </w:rPr>
        <w:t>5.2.2平面布置评价</w:t>
      </w:r>
      <w:bookmarkEnd w:id="224"/>
    </w:p>
    <w:p w14:paraId="47C4F6B9">
      <w:pPr>
        <w:widowControl/>
        <w:kinsoku w:val="0"/>
        <w:autoSpaceDE w:val="0"/>
        <w:autoSpaceDN w:val="0"/>
        <w:adjustRightInd w:val="0"/>
        <w:snapToGrid w:val="0"/>
        <w:spacing w:before="291" w:line="219" w:lineRule="auto"/>
        <w:ind w:left="569"/>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1"/>
          <w:kern w:val="0"/>
          <w:sz w:val="28"/>
          <w:szCs w:val="28"/>
          <w:lang w:eastAsia="en-US"/>
        </w:rPr>
        <w:t>平面布置距离评价，评价结果见表</w:t>
      </w:r>
      <w:r>
        <w:rPr>
          <w:rFonts w:ascii="宋体" w:hAnsi="宋体" w:eastAsia="宋体" w:cs="宋体"/>
          <w:snapToGrid w:val="0"/>
          <w:color w:val="000000"/>
          <w:spacing w:val="-58"/>
          <w:kern w:val="0"/>
          <w:sz w:val="28"/>
          <w:szCs w:val="28"/>
          <w:lang w:eastAsia="en-US"/>
        </w:rPr>
        <w:t xml:space="preserve"> </w:t>
      </w:r>
      <w:r>
        <w:rPr>
          <w:rFonts w:ascii="Times New Roman" w:hAnsi="Times New Roman" w:eastAsia="Times New Roman" w:cs="Times New Roman"/>
          <w:snapToGrid w:val="0"/>
          <w:color w:val="000000"/>
          <w:spacing w:val="-1"/>
          <w:kern w:val="0"/>
          <w:sz w:val="28"/>
          <w:szCs w:val="28"/>
          <w:lang w:eastAsia="en-US"/>
        </w:rPr>
        <w:t>5</w:t>
      </w:r>
      <w:r>
        <w:rPr>
          <w:rFonts w:hint="eastAsia" w:ascii="Times New Roman" w:hAnsi="Times New Roman" w:eastAsia="宋体" w:cs="Times New Roman"/>
          <w:snapToGrid w:val="0"/>
          <w:color w:val="000000"/>
          <w:spacing w:val="-1"/>
          <w:kern w:val="0"/>
          <w:sz w:val="28"/>
          <w:szCs w:val="28"/>
          <w:lang w:val="en-US" w:eastAsia="zh-CN"/>
        </w:rPr>
        <w:t>-5</w:t>
      </w:r>
      <w:r>
        <w:rPr>
          <w:rFonts w:ascii="宋体" w:hAnsi="宋体" w:eastAsia="宋体" w:cs="宋体"/>
          <w:snapToGrid w:val="0"/>
          <w:color w:val="000000"/>
          <w:spacing w:val="-2"/>
          <w:kern w:val="0"/>
          <w:sz w:val="28"/>
          <w:szCs w:val="28"/>
          <w:lang w:eastAsia="en-US"/>
        </w:rPr>
        <w:t>。</w:t>
      </w:r>
    </w:p>
    <w:p w14:paraId="1FF99755">
      <w:pPr>
        <w:widowControl/>
        <w:kinsoku w:val="0"/>
        <w:autoSpaceDE w:val="0"/>
        <w:autoSpaceDN w:val="0"/>
        <w:adjustRightInd w:val="0"/>
        <w:snapToGrid w:val="0"/>
        <w:spacing w:before="235" w:line="220" w:lineRule="auto"/>
        <w:ind w:left="2386"/>
        <w:jc w:val="both"/>
        <w:textAlignment w:val="baseline"/>
        <w:rPr>
          <w:rFonts w:hint="eastAsia" w:ascii="宋体" w:hAnsi="宋体" w:eastAsia="宋体" w:cs="宋体"/>
          <w:sz w:val="21"/>
          <w:szCs w:val="21"/>
        </w:rPr>
      </w:pPr>
      <w:r>
        <w:rPr>
          <w:rFonts w:hint="eastAsia" w:ascii="Times New Roman" w:hAnsi="Times New Roman" w:eastAsia="宋体" w:cs="Times New Roman"/>
          <w:b/>
          <w:bCs/>
          <w:snapToGrid w:val="0"/>
          <w:color w:val="000000"/>
          <w:spacing w:val="-1"/>
          <w:kern w:val="0"/>
          <w:sz w:val="24"/>
          <w:szCs w:val="24"/>
          <w:lang w:val="en-US" w:eastAsia="zh-CN"/>
        </w:rPr>
        <w:t>表</w:t>
      </w:r>
      <w:r>
        <w:rPr>
          <w:rFonts w:ascii="Times New Roman" w:hAnsi="Times New Roman" w:eastAsia="Times New Roman" w:cs="Times New Roman"/>
          <w:b/>
          <w:bCs/>
          <w:snapToGrid w:val="0"/>
          <w:color w:val="000000"/>
          <w:spacing w:val="-1"/>
          <w:kern w:val="0"/>
          <w:sz w:val="24"/>
          <w:szCs w:val="24"/>
          <w:lang w:eastAsia="en-US"/>
        </w:rPr>
        <w:t>5</w:t>
      </w:r>
      <w:r>
        <w:rPr>
          <w:rFonts w:hint="eastAsia" w:ascii="Times New Roman" w:hAnsi="Times New Roman" w:eastAsia="宋体" w:cs="Times New Roman"/>
          <w:b/>
          <w:bCs/>
          <w:snapToGrid w:val="0"/>
          <w:color w:val="000000"/>
          <w:spacing w:val="-1"/>
          <w:kern w:val="0"/>
          <w:sz w:val="24"/>
          <w:szCs w:val="24"/>
          <w:lang w:val="en-US" w:eastAsia="zh-CN"/>
        </w:rPr>
        <w:t>-5</w:t>
      </w:r>
      <w:r>
        <w:rPr>
          <w:rFonts w:ascii="宋体" w:hAnsi="宋体" w:eastAsia="宋体" w:cs="宋体"/>
          <w:b/>
          <w:bCs/>
          <w:snapToGrid w:val="0"/>
          <w:color w:val="000000"/>
          <w:spacing w:val="-1"/>
          <w:kern w:val="0"/>
          <w:sz w:val="24"/>
          <w:szCs w:val="24"/>
          <w:lang w:eastAsia="en-US"/>
        </w:rPr>
        <w:t>站内设施之间的防火距</w:t>
      </w:r>
      <w:r>
        <w:rPr>
          <w:rFonts w:ascii="宋体" w:hAnsi="宋体" w:eastAsia="宋体" w:cs="宋体"/>
          <w:b/>
          <w:bCs/>
          <w:snapToGrid w:val="0"/>
          <w:color w:val="000000"/>
          <w:spacing w:val="-2"/>
          <w:kern w:val="0"/>
          <w:sz w:val="24"/>
          <w:szCs w:val="24"/>
          <w:lang w:eastAsia="en-US"/>
        </w:rPr>
        <w:t>离（</w:t>
      </w:r>
      <w:r>
        <w:rPr>
          <w:rFonts w:ascii="Times New Roman" w:hAnsi="Times New Roman" w:eastAsia="Times New Roman" w:cs="Times New Roman"/>
          <w:b/>
          <w:bCs/>
          <w:snapToGrid w:val="0"/>
          <w:color w:val="000000"/>
          <w:spacing w:val="-2"/>
          <w:kern w:val="0"/>
          <w:sz w:val="24"/>
          <w:szCs w:val="24"/>
          <w:lang w:eastAsia="en-US"/>
        </w:rPr>
        <w:t>m</w:t>
      </w:r>
      <w:r>
        <w:rPr>
          <w:rFonts w:ascii="宋体" w:hAnsi="宋体" w:eastAsia="宋体" w:cs="宋体"/>
          <w:b/>
          <w:bCs/>
          <w:snapToGrid w:val="0"/>
          <w:color w:val="000000"/>
          <w:spacing w:val="-2"/>
          <w:kern w:val="0"/>
          <w:sz w:val="24"/>
          <w:szCs w:val="24"/>
          <w:lang w:eastAsia="en-US"/>
        </w:rPr>
        <w:t>）</w:t>
      </w:r>
    </w:p>
    <w:tbl>
      <w:tblPr>
        <w:tblStyle w:val="19"/>
        <w:tblW w:w="9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33"/>
        <w:gridCol w:w="1949"/>
        <w:gridCol w:w="1590"/>
        <w:gridCol w:w="1650"/>
        <w:gridCol w:w="1370"/>
        <w:gridCol w:w="1242"/>
      </w:tblGrid>
      <w:tr w14:paraId="23B63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4" w:hRule="atLeast"/>
          <w:jc w:val="center"/>
        </w:trPr>
        <w:tc>
          <w:tcPr>
            <w:tcW w:w="1233" w:type="dxa"/>
            <w:vAlign w:val="center"/>
          </w:tcPr>
          <w:p w14:paraId="7DA82038">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序号</w:t>
            </w:r>
          </w:p>
        </w:tc>
        <w:tc>
          <w:tcPr>
            <w:tcW w:w="1949" w:type="dxa"/>
            <w:vAlign w:val="center"/>
          </w:tcPr>
          <w:p w14:paraId="32A098DD">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设施名称</w:t>
            </w:r>
          </w:p>
        </w:tc>
        <w:tc>
          <w:tcPr>
            <w:tcW w:w="1590" w:type="dxa"/>
            <w:vAlign w:val="center"/>
          </w:tcPr>
          <w:p w14:paraId="2619015A">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相邻设施</w:t>
            </w:r>
          </w:p>
        </w:tc>
        <w:tc>
          <w:tcPr>
            <w:tcW w:w="1650" w:type="dxa"/>
            <w:vAlign w:val="center"/>
          </w:tcPr>
          <w:p w14:paraId="10FECEDA">
            <w:pPr>
              <w:spacing w:line="220" w:lineRule="exact"/>
              <w:rPr>
                <w:rFonts w:hint="eastAsia" w:ascii="宋体" w:hAnsi="宋体" w:eastAsia="宋体" w:cs="宋体"/>
                <w:sz w:val="21"/>
                <w:szCs w:val="21"/>
              </w:rPr>
            </w:pPr>
            <w:r>
              <w:rPr>
                <w:rFonts w:hint="eastAsia" w:ascii="宋体" w:hAnsi="宋体" w:eastAsia="宋体" w:cs="宋体"/>
                <w:sz w:val="21"/>
                <w:szCs w:val="21"/>
              </w:rPr>
              <w:t>标准要求（m）</w:t>
            </w:r>
          </w:p>
        </w:tc>
        <w:tc>
          <w:tcPr>
            <w:tcW w:w="1370" w:type="dxa"/>
            <w:vAlign w:val="center"/>
          </w:tcPr>
          <w:p w14:paraId="73D355FA">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实际距离</w:t>
            </w:r>
            <w:r>
              <w:rPr>
                <w:rFonts w:hint="eastAsia" w:ascii="宋体" w:hAnsi="宋体" w:eastAsia="宋体" w:cs="宋体"/>
                <w:sz w:val="21"/>
                <w:szCs w:val="21"/>
              </w:rPr>
              <w:t>（m）</w:t>
            </w:r>
          </w:p>
        </w:tc>
        <w:tc>
          <w:tcPr>
            <w:tcW w:w="1242" w:type="dxa"/>
            <w:vAlign w:val="center"/>
          </w:tcPr>
          <w:p w14:paraId="75CC2E73">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结论</w:t>
            </w:r>
          </w:p>
        </w:tc>
      </w:tr>
      <w:tr w14:paraId="0A6D6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1233" w:type="dxa"/>
            <w:vAlign w:val="center"/>
          </w:tcPr>
          <w:p w14:paraId="31236A4D">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1</w:t>
            </w:r>
          </w:p>
        </w:tc>
        <w:tc>
          <w:tcPr>
            <w:tcW w:w="1949" w:type="dxa"/>
            <w:vAlign w:val="center"/>
          </w:tcPr>
          <w:p w14:paraId="7DE22761">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汽油埋地油罐</w:t>
            </w:r>
          </w:p>
        </w:tc>
        <w:tc>
          <w:tcPr>
            <w:tcW w:w="1590" w:type="dxa"/>
            <w:vAlign w:val="center"/>
          </w:tcPr>
          <w:p w14:paraId="0F77FE1A">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站房</w:t>
            </w:r>
          </w:p>
        </w:tc>
        <w:tc>
          <w:tcPr>
            <w:tcW w:w="1650" w:type="dxa"/>
            <w:vAlign w:val="center"/>
          </w:tcPr>
          <w:p w14:paraId="2F91D344">
            <w:pPr>
              <w:spacing w:line="220" w:lineRule="exact"/>
              <w:jc w:val="center"/>
              <w:rPr>
                <w:rFonts w:hint="eastAsia" w:ascii="宋体" w:hAnsi="宋体" w:eastAsia="宋体" w:cs="宋体"/>
                <w:sz w:val="21"/>
                <w:szCs w:val="21"/>
              </w:rPr>
            </w:pPr>
            <w:r>
              <w:rPr>
                <w:rFonts w:hint="eastAsia" w:ascii="宋体" w:hAnsi="宋体" w:eastAsia="宋体" w:cs="宋体"/>
                <w:sz w:val="21"/>
                <w:szCs w:val="21"/>
              </w:rPr>
              <w:t>4</w:t>
            </w:r>
          </w:p>
        </w:tc>
        <w:tc>
          <w:tcPr>
            <w:tcW w:w="1370" w:type="dxa"/>
            <w:vAlign w:val="center"/>
          </w:tcPr>
          <w:p w14:paraId="72232CE2">
            <w:pPr>
              <w:spacing w:line="220" w:lineRule="exact"/>
              <w:jc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rPr>
              <w:t>9.</w:t>
            </w:r>
            <w:r>
              <w:rPr>
                <w:rFonts w:hint="eastAsia" w:ascii="宋体" w:hAnsi="宋体" w:cs="宋体"/>
                <w:kern w:val="0"/>
                <w:sz w:val="21"/>
                <w:szCs w:val="21"/>
                <w:lang w:val="en-US" w:eastAsia="zh-CN"/>
              </w:rPr>
              <w:t>8</w:t>
            </w:r>
          </w:p>
        </w:tc>
        <w:tc>
          <w:tcPr>
            <w:tcW w:w="1242" w:type="dxa"/>
            <w:vAlign w:val="center"/>
          </w:tcPr>
          <w:p w14:paraId="4BD6387B">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7C8B8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1233" w:type="dxa"/>
            <w:vAlign w:val="center"/>
          </w:tcPr>
          <w:p w14:paraId="1B00DE14">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1949" w:type="dxa"/>
            <w:vAlign w:val="center"/>
          </w:tcPr>
          <w:p w14:paraId="3CEEFC77">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柴油埋地油罐</w:t>
            </w:r>
          </w:p>
        </w:tc>
        <w:tc>
          <w:tcPr>
            <w:tcW w:w="1590" w:type="dxa"/>
            <w:vAlign w:val="center"/>
          </w:tcPr>
          <w:p w14:paraId="24171BC1">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站房</w:t>
            </w:r>
          </w:p>
        </w:tc>
        <w:tc>
          <w:tcPr>
            <w:tcW w:w="1650" w:type="dxa"/>
            <w:vAlign w:val="center"/>
          </w:tcPr>
          <w:p w14:paraId="2C74DCDD">
            <w:pPr>
              <w:spacing w:line="220" w:lineRule="exact"/>
              <w:jc w:val="center"/>
              <w:rPr>
                <w:rFonts w:hint="eastAsia" w:ascii="宋体" w:hAnsi="宋体" w:eastAsia="宋体" w:cs="宋体"/>
                <w:sz w:val="21"/>
                <w:szCs w:val="21"/>
              </w:rPr>
            </w:pPr>
            <w:r>
              <w:rPr>
                <w:rFonts w:hint="eastAsia" w:ascii="宋体" w:hAnsi="宋体" w:eastAsia="宋体" w:cs="宋体"/>
                <w:sz w:val="21"/>
                <w:szCs w:val="21"/>
              </w:rPr>
              <w:t>3</w:t>
            </w:r>
          </w:p>
        </w:tc>
        <w:tc>
          <w:tcPr>
            <w:tcW w:w="1370" w:type="dxa"/>
            <w:vAlign w:val="center"/>
          </w:tcPr>
          <w:p w14:paraId="0F595270">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6.4</w:t>
            </w:r>
          </w:p>
        </w:tc>
        <w:tc>
          <w:tcPr>
            <w:tcW w:w="1242" w:type="dxa"/>
            <w:vAlign w:val="center"/>
          </w:tcPr>
          <w:p w14:paraId="4B41CCB8">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符合</w:t>
            </w:r>
          </w:p>
        </w:tc>
      </w:tr>
      <w:tr w14:paraId="4A2F2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1233" w:type="dxa"/>
            <w:vAlign w:val="center"/>
          </w:tcPr>
          <w:p w14:paraId="1660800F">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3</w:t>
            </w:r>
          </w:p>
        </w:tc>
        <w:tc>
          <w:tcPr>
            <w:tcW w:w="1949" w:type="dxa"/>
            <w:vAlign w:val="center"/>
          </w:tcPr>
          <w:p w14:paraId="330DF386">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汽油埋地油罐</w:t>
            </w:r>
          </w:p>
        </w:tc>
        <w:tc>
          <w:tcPr>
            <w:tcW w:w="1590" w:type="dxa"/>
            <w:vAlign w:val="center"/>
          </w:tcPr>
          <w:p w14:paraId="026F3A78">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配电间（有卸油油气回收）</w:t>
            </w:r>
          </w:p>
        </w:tc>
        <w:tc>
          <w:tcPr>
            <w:tcW w:w="1650" w:type="dxa"/>
            <w:vAlign w:val="center"/>
          </w:tcPr>
          <w:p w14:paraId="430D8CE2">
            <w:pPr>
              <w:autoSpaceDE w:val="0"/>
              <w:autoSpaceDN w:val="0"/>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4.5</w:t>
            </w:r>
          </w:p>
        </w:tc>
        <w:tc>
          <w:tcPr>
            <w:tcW w:w="1370" w:type="dxa"/>
            <w:vAlign w:val="center"/>
          </w:tcPr>
          <w:p w14:paraId="0A2A2328">
            <w:pPr>
              <w:spacing w:line="220" w:lineRule="exact"/>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11.34</w:t>
            </w:r>
          </w:p>
        </w:tc>
        <w:tc>
          <w:tcPr>
            <w:tcW w:w="1242" w:type="dxa"/>
            <w:vAlign w:val="center"/>
          </w:tcPr>
          <w:p w14:paraId="6A498FC6">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符合</w:t>
            </w:r>
          </w:p>
        </w:tc>
      </w:tr>
      <w:tr w14:paraId="32557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1233" w:type="dxa"/>
            <w:vAlign w:val="center"/>
          </w:tcPr>
          <w:p w14:paraId="0ACC3EB4">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4</w:t>
            </w:r>
          </w:p>
        </w:tc>
        <w:tc>
          <w:tcPr>
            <w:tcW w:w="1949" w:type="dxa"/>
            <w:vAlign w:val="center"/>
          </w:tcPr>
          <w:p w14:paraId="3B2A9FF3">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柴油埋地油罐</w:t>
            </w:r>
          </w:p>
        </w:tc>
        <w:tc>
          <w:tcPr>
            <w:tcW w:w="1590" w:type="dxa"/>
            <w:vAlign w:val="center"/>
          </w:tcPr>
          <w:p w14:paraId="6914E751">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配电间（有卸油油气回收）</w:t>
            </w:r>
          </w:p>
        </w:tc>
        <w:tc>
          <w:tcPr>
            <w:tcW w:w="1650" w:type="dxa"/>
            <w:vAlign w:val="center"/>
          </w:tcPr>
          <w:p w14:paraId="43F543CB">
            <w:pPr>
              <w:autoSpaceDE w:val="0"/>
              <w:autoSpaceDN w:val="0"/>
              <w:spacing w:line="220" w:lineRule="exact"/>
              <w:jc w:val="center"/>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3</w:t>
            </w:r>
          </w:p>
        </w:tc>
        <w:tc>
          <w:tcPr>
            <w:tcW w:w="1370" w:type="dxa"/>
            <w:vAlign w:val="center"/>
          </w:tcPr>
          <w:p w14:paraId="7069C359">
            <w:pPr>
              <w:spacing w:line="220" w:lineRule="exact"/>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8.45</w:t>
            </w:r>
          </w:p>
        </w:tc>
        <w:tc>
          <w:tcPr>
            <w:tcW w:w="1242" w:type="dxa"/>
            <w:vAlign w:val="center"/>
          </w:tcPr>
          <w:p w14:paraId="68C33BDC">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符合</w:t>
            </w:r>
          </w:p>
        </w:tc>
      </w:tr>
      <w:tr w14:paraId="1A9EC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1233" w:type="dxa"/>
            <w:vAlign w:val="center"/>
          </w:tcPr>
          <w:p w14:paraId="3F202998">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5</w:t>
            </w:r>
          </w:p>
        </w:tc>
        <w:tc>
          <w:tcPr>
            <w:tcW w:w="1949" w:type="dxa"/>
            <w:vAlign w:val="center"/>
          </w:tcPr>
          <w:p w14:paraId="5D9AF188">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埋地油罐</w:t>
            </w:r>
          </w:p>
        </w:tc>
        <w:tc>
          <w:tcPr>
            <w:tcW w:w="1590" w:type="dxa"/>
            <w:vAlign w:val="center"/>
          </w:tcPr>
          <w:p w14:paraId="25E1C7A5">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埋地油罐</w:t>
            </w:r>
          </w:p>
        </w:tc>
        <w:tc>
          <w:tcPr>
            <w:tcW w:w="1650" w:type="dxa"/>
            <w:vAlign w:val="center"/>
          </w:tcPr>
          <w:p w14:paraId="7AE7722B">
            <w:pPr>
              <w:spacing w:line="220" w:lineRule="exact"/>
              <w:jc w:val="center"/>
              <w:rPr>
                <w:rFonts w:hint="eastAsia" w:ascii="宋体" w:hAnsi="宋体" w:eastAsia="宋体" w:cs="宋体"/>
                <w:sz w:val="21"/>
                <w:szCs w:val="21"/>
              </w:rPr>
            </w:pPr>
            <w:r>
              <w:rPr>
                <w:rFonts w:hint="eastAsia" w:ascii="宋体" w:hAnsi="宋体" w:eastAsia="宋体" w:cs="宋体"/>
                <w:sz w:val="21"/>
                <w:szCs w:val="21"/>
              </w:rPr>
              <w:t>0.5</w:t>
            </w:r>
          </w:p>
        </w:tc>
        <w:tc>
          <w:tcPr>
            <w:tcW w:w="1370" w:type="dxa"/>
            <w:vAlign w:val="center"/>
          </w:tcPr>
          <w:p w14:paraId="6F88B069">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0.8</w:t>
            </w:r>
          </w:p>
        </w:tc>
        <w:tc>
          <w:tcPr>
            <w:tcW w:w="1242" w:type="dxa"/>
            <w:vAlign w:val="center"/>
          </w:tcPr>
          <w:p w14:paraId="59F5F590">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352D1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2" w:hRule="atLeast"/>
          <w:jc w:val="center"/>
        </w:trPr>
        <w:tc>
          <w:tcPr>
            <w:tcW w:w="1233" w:type="dxa"/>
            <w:vAlign w:val="center"/>
          </w:tcPr>
          <w:p w14:paraId="3D4972CE">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6</w:t>
            </w:r>
          </w:p>
        </w:tc>
        <w:tc>
          <w:tcPr>
            <w:tcW w:w="1949" w:type="dxa"/>
            <w:vAlign w:val="center"/>
          </w:tcPr>
          <w:p w14:paraId="378D4F8A">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汽油埋地油罐</w:t>
            </w:r>
          </w:p>
        </w:tc>
        <w:tc>
          <w:tcPr>
            <w:tcW w:w="1590" w:type="dxa"/>
            <w:vAlign w:val="center"/>
          </w:tcPr>
          <w:p w14:paraId="6B289C24">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站区围墙</w:t>
            </w:r>
          </w:p>
        </w:tc>
        <w:tc>
          <w:tcPr>
            <w:tcW w:w="1650" w:type="dxa"/>
            <w:vAlign w:val="center"/>
          </w:tcPr>
          <w:p w14:paraId="7A704BD8">
            <w:pPr>
              <w:autoSpaceDE w:val="0"/>
              <w:autoSpaceDN w:val="0"/>
              <w:spacing w:line="220" w:lineRule="exact"/>
              <w:jc w:val="center"/>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2</w:t>
            </w:r>
          </w:p>
        </w:tc>
        <w:tc>
          <w:tcPr>
            <w:tcW w:w="1370" w:type="dxa"/>
            <w:vAlign w:val="center"/>
          </w:tcPr>
          <w:p w14:paraId="25F98DCA">
            <w:pPr>
              <w:spacing w:line="22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9.4</w:t>
            </w:r>
          </w:p>
        </w:tc>
        <w:tc>
          <w:tcPr>
            <w:tcW w:w="1242" w:type="dxa"/>
            <w:vAlign w:val="center"/>
          </w:tcPr>
          <w:p w14:paraId="2F81A961">
            <w:pPr>
              <w:widowControl/>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4E93D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2" w:hRule="atLeast"/>
          <w:jc w:val="center"/>
        </w:trPr>
        <w:tc>
          <w:tcPr>
            <w:tcW w:w="1233" w:type="dxa"/>
            <w:vAlign w:val="center"/>
          </w:tcPr>
          <w:p w14:paraId="249EAE4F">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7</w:t>
            </w:r>
          </w:p>
        </w:tc>
        <w:tc>
          <w:tcPr>
            <w:tcW w:w="1949" w:type="dxa"/>
            <w:vAlign w:val="center"/>
          </w:tcPr>
          <w:p w14:paraId="3B75EE0A">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柴油埋地油罐</w:t>
            </w:r>
          </w:p>
        </w:tc>
        <w:tc>
          <w:tcPr>
            <w:tcW w:w="1590" w:type="dxa"/>
            <w:vAlign w:val="center"/>
          </w:tcPr>
          <w:p w14:paraId="3D04694A">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站区围墙</w:t>
            </w:r>
          </w:p>
        </w:tc>
        <w:tc>
          <w:tcPr>
            <w:tcW w:w="1650" w:type="dxa"/>
            <w:vAlign w:val="center"/>
          </w:tcPr>
          <w:p w14:paraId="2F68AC68">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1370" w:type="dxa"/>
            <w:vAlign w:val="center"/>
          </w:tcPr>
          <w:p w14:paraId="173978DD">
            <w:pPr>
              <w:spacing w:line="220" w:lineRule="exact"/>
              <w:jc w:val="center"/>
              <w:rPr>
                <w:rFonts w:hint="eastAsia" w:ascii="宋体" w:hAnsi="宋体" w:eastAsia="宋体" w:cs="宋体"/>
                <w:kern w:val="0"/>
                <w:sz w:val="21"/>
                <w:szCs w:val="21"/>
                <w:lang w:val="en-US" w:eastAsia="zh-CN"/>
              </w:rPr>
            </w:pPr>
            <w:r>
              <w:rPr>
                <w:rFonts w:hint="eastAsia" w:ascii="宋体" w:hAnsi="宋体" w:eastAsia="宋体" w:cs="宋体"/>
                <w:kern w:val="0"/>
                <w:sz w:val="21"/>
                <w:szCs w:val="21"/>
              </w:rPr>
              <w:t>4.2</w:t>
            </w:r>
            <w:r>
              <w:rPr>
                <w:rFonts w:hint="eastAsia" w:ascii="宋体" w:hAnsi="宋体" w:cs="宋体"/>
                <w:kern w:val="0"/>
                <w:sz w:val="21"/>
                <w:szCs w:val="21"/>
                <w:lang w:val="en-US" w:eastAsia="zh-CN"/>
              </w:rPr>
              <w:t>8</w:t>
            </w:r>
          </w:p>
        </w:tc>
        <w:tc>
          <w:tcPr>
            <w:tcW w:w="1242" w:type="dxa"/>
            <w:vAlign w:val="center"/>
          </w:tcPr>
          <w:p w14:paraId="3DF7962C">
            <w:pPr>
              <w:widowControl/>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符合</w:t>
            </w:r>
          </w:p>
        </w:tc>
      </w:tr>
      <w:tr w14:paraId="134CB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1233" w:type="dxa"/>
            <w:vAlign w:val="center"/>
          </w:tcPr>
          <w:p w14:paraId="5E838C62">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8</w:t>
            </w:r>
          </w:p>
        </w:tc>
        <w:tc>
          <w:tcPr>
            <w:tcW w:w="1949" w:type="dxa"/>
            <w:vAlign w:val="center"/>
          </w:tcPr>
          <w:p w14:paraId="2B1D2D20">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汽油通气管管口</w:t>
            </w:r>
          </w:p>
        </w:tc>
        <w:tc>
          <w:tcPr>
            <w:tcW w:w="1590" w:type="dxa"/>
            <w:vAlign w:val="center"/>
          </w:tcPr>
          <w:p w14:paraId="0A8DADD2">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站房</w:t>
            </w:r>
          </w:p>
        </w:tc>
        <w:tc>
          <w:tcPr>
            <w:tcW w:w="1650" w:type="dxa"/>
            <w:vAlign w:val="center"/>
          </w:tcPr>
          <w:p w14:paraId="1060CFAE">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4</w:t>
            </w:r>
          </w:p>
        </w:tc>
        <w:tc>
          <w:tcPr>
            <w:tcW w:w="1370" w:type="dxa"/>
            <w:vAlign w:val="center"/>
          </w:tcPr>
          <w:p w14:paraId="68EE8E7C">
            <w:pPr>
              <w:spacing w:line="220" w:lineRule="exact"/>
              <w:jc w:val="center"/>
              <w:rPr>
                <w:rFonts w:hint="eastAsia" w:ascii="宋体" w:hAnsi="宋体" w:eastAsia="宋体" w:cs="宋体"/>
                <w:sz w:val="21"/>
                <w:szCs w:val="21"/>
              </w:rPr>
            </w:pPr>
            <w:r>
              <w:rPr>
                <w:rFonts w:hint="eastAsia" w:ascii="宋体" w:hAnsi="宋体" w:eastAsia="宋体" w:cs="宋体"/>
                <w:sz w:val="21"/>
                <w:szCs w:val="21"/>
              </w:rPr>
              <w:t>12.</w:t>
            </w:r>
            <w:r>
              <w:rPr>
                <w:rFonts w:hint="eastAsia" w:ascii="宋体" w:hAnsi="宋体" w:cs="宋体"/>
                <w:sz w:val="21"/>
                <w:szCs w:val="21"/>
                <w:lang w:val="en-US" w:eastAsia="zh-CN"/>
              </w:rPr>
              <w:t>3</w:t>
            </w:r>
            <w:r>
              <w:rPr>
                <w:rFonts w:hint="eastAsia" w:ascii="宋体" w:hAnsi="宋体" w:eastAsia="宋体" w:cs="宋体"/>
                <w:sz w:val="21"/>
                <w:szCs w:val="21"/>
              </w:rPr>
              <w:t>5</w:t>
            </w:r>
          </w:p>
        </w:tc>
        <w:tc>
          <w:tcPr>
            <w:tcW w:w="1242" w:type="dxa"/>
            <w:vAlign w:val="center"/>
          </w:tcPr>
          <w:p w14:paraId="5898666F">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64C50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1233" w:type="dxa"/>
            <w:vAlign w:val="center"/>
          </w:tcPr>
          <w:p w14:paraId="4C59B667">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9</w:t>
            </w:r>
          </w:p>
        </w:tc>
        <w:tc>
          <w:tcPr>
            <w:tcW w:w="1949" w:type="dxa"/>
            <w:vAlign w:val="center"/>
          </w:tcPr>
          <w:p w14:paraId="6B83E8E3">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柴油通气管管口</w:t>
            </w:r>
          </w:p>
        </w:tc>
        <w:tc>
          <w:tcPr>
            <w:tcW w:w="1590" w:type="dxa"/>
            <w:vAlign w:val="center"/>
          </w:tcPr>
          <w:p w14:paraId="022ADD28">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站房</w:t>
            </w:r>
          </w:p>
        </w:tc>
        <w:tc>
          <w:tcPr>
            <w:tcW w:w="1650" w:type="dxa"/>
            <w:vAlign w:val="center"/>
          </w:tcPr>
          <w:p w14:paraId="63940F21">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3.5</w:t>
            </w:r>
          </w:p>
        </w:tc>
        <w:tc>
          <w:tcPr>
            <w:tcW w:w="1370" w:type="dxa"/>
            <w:vAlign w:val="center"/>
          </w:tcPr>
          <w:p w14:paraId="69F2F5FF">
            <w:pPr>
              <w:spacing w:line="220" w:lineRule="exact"/>
              <w:jc w:val="center"/>
              <w:rPr>
                <w:rFonts w:hint="eastAsia" w:ascii="宋体" w:hAnsi="宋体" w:eastAsia="宋体" w:cs="宋体"/>
                <w:sz w:val="21"/>
                <w:szCs w:val="21"/>
              </w:rPr>
            </w:pPr>
            <w:r>
              <w:rPr>
                <w:rFonts w:hint="eastAsia" w:ascii="宋体" w:hAnsi="宋体" w:eastAsia="宋体" w:cs="宋体"/>
                <w:sz w:val="21"/>
                <w:szCs w:val="21"/>
              </w:rPr>
              <w:t>12.</w:t>
            </w:r>
            <w:r>
              <w:rPr>
                <w:rFonts w:hint="eastAsia" w:ascii="宋体" w:hAnsi="宋体" w:cs="宋体"/>
                <w:sz w:val="21"/>
                <w:szCs w:val="21"/>
                <w:lang w:val="en-US" w:eastAsia="zh-CN"/>
              </w:rPr>
              <w:t>3</w:t>
            </w:r>
            <w:r>
              <w:rPr>
                <w:rFonts w:hint="eastAsia" w:ascii="宋体" w:hAnsi="宋体" w:eastAsia="宋体" w:cs="宋体"/>
                <w:sz w:val="21"/>
                <w:szCs w:val="21"/>
              </w:rPr>
              <w:t>5</w:t>
            </w:r>
          </w:p>
        </w:tc>
        <w:tc>
          <w:tcPr>
            <w:tcW w:w="1242" w:type="dxa"/>
            <w:vAlign w:val="center"/>
          </w:tcPr>
          <w:p w14:paraId="7A60AF82">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符合</w:t>
            </w:r>
          </w:p>
        </w:tc>
      </w:tr>
      <w:tr w14:paraId="66E8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7" w:hRule="atLeast"/>
          <w:jc w:val="center"/>
        </w:trPr>
        <w:tc>
          <w:tcPr>
            <w:tcW w:w="1233" w:type="dxa"/>
            <w:vAlign w:val="center"/>
          </w:tcPr>
          <w:p w14:paraId="0856C431">
            <w:pPr>
              <w:spacing w:line="220" w:lineRule="exact"/>
              <w:jc w:val="center"/>
              <w:rPr>
                <w:rFonts w:hint="eastAsia" w:ascii="宋体" w:hAnsi="宋体" w:eastAsia="宋体" w:cs="宋体"/>
                <w:sz w:val="21"/>
                <w:szCs w:val="21"/>
                <w:lang w:val="en-US" w:eastAsia="zh-CN"/>
              </w:rPr>
            </w:pPr>
            <w:r>
              <w:rPr>
                <w:rFonts w:hint="eastAsia" w:ascii="宋体" w:hAnsi="宋体" w:eastAsia="宋体" w:cs="宋体"/>
                <w:kern w:val="0"/>
                <w:sz w:val="21"/>
                <w:szCs w:val="21"/>
              </w:rPr>
              <w:t>1</w:t>
            </w:r>
            <w:r>
              <w:rPr>
                <w:rFonts w:hint="eastAsia" w:ascii="宋体" w:hAnsi="宋体" w:cs="宋体"/>
                <w:kern w:val="0"/>
                <w:sz w:val="21"/>
                <w:szCs w:val="21"/>
                <w:lang w:val="en-US" w:eastAsia="zh-CN"/>
              </w:rPr>
              <w:t>0</w:t>
            </w:r>
          </w:p>
        </w:tc>
        <w:tc>
          <w:tcPr>
            <w:tcW w:w="1949" w:type="dxa"/>
            <w:vAlign w:val="center"/>
          </w:tcPr>
          <w:p w14:paraId="0A07F8B4">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汽油通气管管口</w:t>
            </w:r>
          </w:p>
        </w:tc>
        <w:tc>
          <w:tcPr>
            <w:tcW w:w="1590" w:type="dxa"/>
            <w:vAlign w:val="center"/>
          </w:tcPr>
          <w:p w14:paraId="106E5939">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站区围墙</w:t>
            </w:r>
          </w:p>
        </w:tc>
        <w:tc>
          <w:tcPr>
            <w:tcW w:w="1650" w:type="dxa"/>
            <w:vAlign w:val="center"/>
          </w:tcPr>
          <w:p w14:paraId="07E30758">
            <w:pPr>
              <w:autoSpaceDE w:val="0"/>
              <w:autoSpaceDN w:val="0"/>
              <w:spacing w:line="220" w:lineRule="exact"/>
              <w:jc w:val="center"/>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2</w:t>
            </w:r>
          </w:p>
        </w:tc>
        <w:tc>
          <w:tcPr>
            <w:tcW w:w="1370" w:type="dxa"/>
            <w:vAlign w:val="center"/>
          </w:tcPr>
          <w:p w14:paraId="477A563E">
            <w:pPr>
              <w:widowControl/>
              <w:spacing w:line="22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10.39</w:t>
            </w:r>
          </w:p>
        </w:tc>
        <w:tc>
          <w:tcPr>
            <w:tcW w:w="1242" w:type="dxa"/>
            <w:vAlign w:val="center"/>
          </w:tcPr>
          <w:p w14:paraId="14F971A0">
            <w:pPr>
              <w:widowControl/>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1D2FC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atLeast"/>
          <w:jc w:val="center"/>
        </w:trPr>
        <w:tc>
          <w:tcPr>
            <w:tcW w:w="1233" w:type="dxa"/>
            <w:vAlign w:val="center"/>
          </w:tcPr>
          <w:p w14:paraId="6DF9FE35">
            <w:pPr>
              <w:spacing w:line="220" w:lineRule="exact"/>
              <w:jc w:val="center"/>
              <w:rPr>
                <w:rFonts w:hint="eastAsia" w:ascii="宋体" w:hAnsi="宋体" w:eastAsia="宋体" w:cs="宋体"/>
                <w:kern w:val="0"/>
                <w:sz w:val="21"/>
                <w:szCs w:val="21"/>
                <w:lang w:val="en-US" w:eastAsia="zh-CN"/>
              </w:rPr>
            </w:pPr>
            <w:r>
              <w:rPr>
                <w:rFonts w:hint="eastAsia" w:ascii="宋体" w:hAnsi="宋体" w:eastAsia="宋体" w:cs="宋体"/>
                <w:kern w:val="0"/>
                <w:sz w:val="21"/>
                <w:szCs w:val="21"/>
              </w:rPr>
              <w:t>1</w:t>
            </w:r>
            <w:r>
              <w:rPr>
                <w:rFonts w:hint="eastAsia" w:ascii="宋体" w:hAnsi="宋体" w:cs="宋体"/>
                <w:kern w:val="0"/>
                <w:sz w:val="21"/>
                <w:szCs w:val="21"/>
                <w:lang w:val="en-US" w:eastAsia="zh-CN"/>
              </w:rPr>
              <w:t>1</w:t>
            </w:r>
          </w:p>
        </w:tc>
        <w:tc>
          <w:tcPr>
            <w:tcW w:w="1949" w:type="dxa"/>
            <w:vAlign w:val="center"/>
          </w:tcPr>
          <w:p w14:paraId="039F83E7">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柴油通气管管口</w:t>
            </w:r>
          </w:p>
        </w:tc>
        <w:tc>
          <w:tcPr>
            <w:tcW w:w="1590" w:type="dxa"/>
            <w:vAlign w:val="center"/>
          </w:tcPr>
          <w:p w14:paraId="4021C1AA">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站区围墙</w:t>
            </w:r>
          </w:p>
        </w:tc>
        <w:tc>
          <w:tcPr>
            <w:tcW w:w="1650" w:type="dxa"/>
            <w:vAlign w:val="center"/>
          </w:tcPr>
          <w:p w14:paraId="05834A57">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1370" w:type="dxa"/>
            <w:vAlign w:val="center"/>
          </w:tcPr>
          <w:p w14:paraId="432B75FA">
            <w:pPr>
              <w:widowControl/>
              <w:spacing w:line="22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10.39</w:t>
            </w:r>
          </w:p>
        </w:tc>
        <w:tc>
          <w:tcPr>
            <w:tcW w:w="1242" w:type="dxa"/>
            <w:vAlign w:val="center"/>
          </w:tcPr>
          <w:p w14:paraId="3E535BC8">
            <w:pPr>
              <w:widowControl/>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5610D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atLeast"/>
          <w:jc w:val="center"/>
        </w:trPr>
        <w:tc>
          <w:tcPr>
            <w:tcW w:w="1233" w:type="dxa"/>
            <w:vAlign w:val="center"/>
          </w:tcPr>
          <w:p w14:paraId="04057CE8">
            <w:pPr>
              <w:spacing w:line="220" w:lineRule="exact"/>
              <w:jc w:val="center"/>
              <w:rPr>
                <w:rFonts w:hint="eastAsia" w:ascii="宋体" w:hAnsi="宋体" w:eastAsia="宋体" w:cs="宋体"/>
                <w:sz w:val="21"/>
                <w:szCs w:val="21"/>
                <w:lang w:val="en-US" w:eastAsia="zh-CN"/>
              </w:rPr>
            </w:pPr>
            <w:r>
              <w:rPr>
                <w:rFonts w:hint="eastAsia" w:ascii="宋体" w:hAnsi="宋体" w:eastAsia="宋体" w:cs="宋体"/>
                <w:kern w:val="0"/>
                <w:sz w:val="21"/>
                <w:szCs w:val="21"/>
              </w:rPr>
              <w:t>1</w:t>
            </w:r>
            <w:r>
              <w:rPr>
                <w:rFonts w:hint="eastAsia" w:ascii="宋体" w:hAnsi="宋体" w:cs="宋体"/>
                <w:kern w:val="0"/>
                <w:sz w:val="21"/>
                <w:szCs w:val="21"/>
                <w:lang w:val="en-US" w:eastAsia="zh-CN"/>
              </w:rPr>
              <w:t>2</w:t>
            </w:r>
          </w:p>
        </w:tc>
        <w:tc>
          <w:tcPr>
            <w:tcW w:w="1949" w:type="dxa"/>
            <w:vMerge w:val="restart"/>
            <w:vAlign w:val="center"/>
          </w:tcPr>
          <w:p w14:paraId="3327BECD">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密闭卸油点</w:t>
            </w:r>
          </w:p>
        </w:tc>
        <w:tc>
          <w:tcPr>
            <w:tcW w:w="1590" w:type="dxa"/>
            <w:vAlign w:val="center"/>
          </w:tcPr>
          <w:p w14:paraId="098F02E6">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站房</w:t>
            </w:r>
          </w:p>
        </w:tc>
        <w:tc>
          <w:tcPr>
            <w:tcW w:w="1650" w:type="dxa"/>
            <w:vAlign w:val="center"/>
          </w:tcPr>
          <w:p w14:paraId="2D6F23C1">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5</w:t>
            </w:r>
          </w:p>
        </w:tc>
        <w:tc>
          <w:tcPr>
            <w:tcW w:w="1370" w:type="dxa"/>
            <w:vAlign w:val="center"/>
          </w:tcPr>
          <w:p w14:paraId="65BFC912">
            <w:pPr>
              <w:spacing w:line="22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9.8</w:t>
            </w:r>
          </w:p>
        </w:tc>
        <w:tc>
          <w:tcPr>
            <w:tcW w:w="1242" w:type="dxa"/>
            <w:vAlign w:val="center"/>
          </w:tcPr>
          <w:p w14:paraId="16341B6E">
            <w:pPr>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符合</w:t>
            </w:r>
          </w:p>
        </w:tc>
      </w:tr>
      <w:tr w14:paraId="629D8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1233" w:type="dxa"/>
            <w:vAlign w:val="center"/>
          </w:tcPr>
          <w:p w14:paraId="065E922A">
            <w:pPr>
              <w:spacing w:line="220" w:lineRule="exact"/>
              <w:jc w:val="center"/>
              <w:rPr>
                <w:rFonts w:hint="eastAsia" w:ascii="宋体" w:hAnsi="宋体" w:eastAsia="宋体" w:cs="宋体"/>
                <w:sz w:val="21"/>
                <w:szCs w:val="21"/>
                <w:lang w:val="en-US" w:eastAsia="zh-CN"/>
              </w:rPr>
            </w:pPr>
            <w:r>
              <w:rPr>
                <w:rFonts w:hint="eastAsia" w:ascii="宋体" w:hAnsi="宋体" w:eastAsia="宋体" w:cs="宋体"/>
                <w:kern w:val="0"/>
                <w:sz w:val="21"/>
                <w:szCs w:val="21"/>
              </w:rPr>
              <w:t>1</w:t>
            </w:r>
            <w:r>
              <w:rPr>
                <w:rFonts w:hint="eastAsia" w:ascii="宋体" w:hAnsi="宋体" w:cs="宋体"/>
                <w:kern w:val="0"/>
                <w:sz w:val="21"/>
                <w:szCs w:val="21"/>
                <w:lang w:val="en-US" w:eastAsia="zh-CN"/>
              </w:rPr>
              <w:t>3</w:t>
            </w:r>
          </w:p>
        </w:tc>
        <w:tc>
          <w:tcPr>
            <w:tcW w:w="1949" w:type="dxa"/>
            <w:vMerge w:val="continue"/>
            <w:vAlign w:val="center"/>
          </w:tcPr>
          <w:p w14:paraId="5476A2A2">
            <w:pPr>
              <w:autoSpaceDE w:val="0"/>
              <w:autoSpaceDN w:val="0"/>
              <w:spacing w:line="220" w:lineRule="exact"/>
              <w:jc w:val="center"/>
              <w:rPr>
                <w:rFonts w:hint="eastAsia" w:ascii="宋体" w:hAnsi="宋体" w:eastAsia="宋体" w:cs="宋体"/>
                <w:kern w:val="0"/>
                <w:sz w:val="21"/>
                <w:szCs w:val="21"/>
              </w:rPr>
            </w:pPr>
          </w:p>
        </w:tc>
        <w:tc>
          <w:tcPr>
            <w:tcW w:w="1590" w:type="dxa"/>
            <w:vAlign w:val="center"/>
          </w:tcPr>
          <w:p w14:paraId="5A0ED5E4">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配电间（有卸油油气回收）</w:t>
            </w:r>
          </w:p>
        </w:tc>
        <w:tc>
          <w:tcPr>
            <w:tcW w:w="1650" w:type="dxa"/>
            <w:vAlign w:val="center"/>
          </w:tcPr>
          <w:p w14:paraId="628854B0">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4.5</w:t>
            </w:r>
          </w:p>
        </w:tc>
        <w:tc>
          <w:tcPr>
            <w:tcW w:w="1370" w:type="dxa"/>
            <w:vAlign w:val="center"/>
          </w:tcPr>
          <w:p w14:paraId="791D2B4A">
            <w:pPr>
              <w:spacing w:line="22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15.59</w:t>
            </w:r>
          </w:p>
        </w:tc>
        <w:tc>
          <w:tcPr>
            <w:tcW w:w="1242" w:type="dxa"/>
            <w:vAlign w:val="center"/>
          </w:tcPr>
          <w:p w14:paraId="30B37074">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6197F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7" w:hRule="atLeast"/>
          <w:jc w:val="center"/>
        </w:trPr>
        <w:tc>
          <w:tcPr>
            <w:tcW w:w="1233" w:type="dxa"/>
            <w:vAlign w:val="center"/>
          </w:tcPr>
          <w:p w14:paraId="7A10EBD8">
            <w:pPr>
              <w:spacing w:line="22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14</w:t>
            </w:r>
          </w:p>
        </w:tc>
        <w:tc>
          <w:tcPr>
            <w:tcW w:w="1949" w:type="dxa"/>
            <w:vMerge w:val="restart"/>
            <w:vAlign w:val="center"/>
          </w:tcPr>
          <w:p w14:paraId="677EEAC4">
            <w:pPr>
              <w:autoSpaceDE w:val="0"/>
              <w:autoSpaceDN w:val="0"/>
              <w:spacing w:line="220" w:lineRule="exact"/>
              <w:jc w:val="center"/>
              <w:rPr>
                <w:rFonts w:hint="eastAsia" w:ascii="宋体" w:hAnsi="宋体" w:eastAsia="宋体" w:cs="宋体"/>
                <w:kern w:val="0"/>
                <w:sz w:val="21"/>
                <w:szCs w:val="21"/>
              </w:rPr>
            </w:pPr>
            <w:r>
              <w:rPr>
                <w:rFonts w:hint="eastAsia" w:ascii="宋体" w:hAnsi="宋体" w:cs="宋体"/>
                <w:kern w:val="0"/>
                <w:sz w:val="21"/>
                <w:szCs w:val="21"/>
                <w:lang w:val="en-US" w:eastAsia="zh-CN"/>
              </w:rPr>
              <w:t>汽油</w:t>
            </w:r>
            <w:r>
              <w:rPr>
                <w:rFonts w:hint="eastAsia" w:ascii="宋体" w:hAnsi="宋体" w:eastAsia="宋体" w:cs="宋体"/>
                <w:kern w:val="0"/>
                <w:sz w:val="21"/>
                <w:szCs w:val="21"/>
              </w:rPr>
              <w:t>加油机</w:t>
            </w:r>
          </w:p>
        </w:tc>
        <w:tc>
          <w:tcPr>
            <w:tcW w:w="1590" w:type="dxa"/>
            <w:vAlign w:val="center"/>
          </w:tcPr>
          <w:p w14:paraId="2D6228A3">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站房</w:t>
            </w:r>
          </w:p>
        </w:tc>
        <w:tc>
          <w:tcPr>
            <w:tcW w:w="1650" w:type="dxa"/>
            <w:vAlign w:val="center"/>
          </w:tcPr>
          <w:p w14:paraId="5AA4E5C3">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5</w:t>
            </w:r>
          </w:p>
        </w:tc>
        <w:tc>
          <w:tcPr>
            <w:tcW w:w="1370" w:type="dxa"/>
            <w:vAlign w:val="center"/>
          </w:tcPr>
          <w:p w14:paraId="6855BB54">
            <w:pPr>
              <w:spacing w:line="220" w:lineRule="exact"/>
              <w:jc w:val="center"/>
              <w:rPr>
                <w:rFonts w:hint="eastAsia" w:ascii="宋体" w:hAnsi="宋体" w:eastAsia="宋体" w:cs="宋体"/>
                <w:kern w:val="0"/>
                <w:sz w:val="21"/>
                <w:szCs w:val="21"/>
                <w:lang w:eastAsia="zh-CN"/>
              </w:rPr>
            </w:pPr>
            <w:r>
              <w:rPr>
                <w:rFonts w:hint="eastAsia" w:ascii="宋体" w:hAnsi="宋体" w:cs="宋体"/>
                <w:kern w:val="0"/>
                <w:sz w:val="21"/>
                <w:szCs w:val="21"/>
                <w:lang w:val="en-US" w:eastAsia="zh-CN"/>
              </w:rPr>
              <w:t>8</w:t>
            </w:r>
          </w:p>
        </w:tc>
        <w:tc>
          <w:tcPr>
            <w:tcW w:w="1242" w:type="dxa"/>
            <w:vAlign w:val="center"/>
          </w:tcPr>
          <w:p w14:paraId="70C8CE25">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700E6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 w:hRule="atLeast"/>
          <w:jc w:val="center"/>
        </w:trPr>
        <w:tc>
          <w:tcPr>
            <w:tcW w:w="1233" w:type="dxa"/>
            <w:vAlign w:val="center"/>
          </w:tcPr>
          <w:p w14:paraId="7D0E0B51">
            <w:pPr>
              <w:spacing w:line="22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15</w:t>
            </w:r>
          </w:p>
        </w:tc>
        <w:tc>
          <w:tcPr>
            <w:tcW w:w="1949" w:type="dxa"/>
            <w:vMerge w:val="continue"/>
            <w:vAlign w:val="center"/>
          </w:tcPr>
          <w:p w14:paraId="538742DC">
            <w:pPr>
              <w:autoSpaceDE w:val="0"/>
              <w:autoSpaceDN w:val="0"/>
              <w:spacing w:line="220" w:lineRule="exact"/>
              <w:jc w:val="center"/>
              <w:rPr>
                <w:rFonts w:hint="eastAsia" w:ascii="宋体" w:hAnsi="宋体" w:eastAsia="宋体" w:cs="宋体"/>
                <w:kern w:val="0"/>
                <w:sz w:val="21"/>
                <w:szCs w:val="21"/>
              </w:rPr>
            </w:pPr>
          </w:p>
        </w:tc>
        <w:tc>
          <w:tcPr>
            <w:tcW w:w="1590" w:type="dxa"/>
            <w:vAlign w:val="center"/>
          </w:tcPr>
          <w:p w14:paraId="759BC4F2">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配电间</w:t>
            </w:r>
          </w:p>
        </w:tc>
        <w:tc>
          <w:tcPr>
            <w:tcW w:w="1650" w:type="dxa"/>
            <w:vAlign w:val="center"/>
          </w:tcPr>
          <w:p w14:paraId="44C7E02B">
            <w:pPr>
              <w:autoSpaceDE w:val="0"/>
              <w:autoSpaceDN w:val="0"/>
              <w:spacing w:line="22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6</w:t>
            </w:r>
          </w:p>
        </w:tc>
        <w:tc>
          <w:tcPr>
            <w:tcW w:w="1370" w:type="dxa"/>
            <w:vAlign w:val="center"/>
          </w:tcPr>
          <w:p w14:paraId="6F8A7C75">
            <w:pPr>
              <w:spacing w:line="220" w:lineRule="exact"/>
              <w:jc w:val="center"/>
              <w:rPr>
                <w:rFonts w:hint="eastAsia" w:ascii="宋体" w:hAnsi="宋体" w:eastAsia="宋体" w:cs="宋体"/>
                <w:sz w:val="21"/>
                <w:szCs w:val="21"/>
                <w:lang w:eastAsia="zh-CN"/>
              </w:rPr>
            </w:pPr>
            <w:r>
              <w:rPr>
                <w:rFonts w:hint="eastAsia" w:ascii="宋体" w:hAnsi="宋体" w:cs="宋体"/>
                <w:sz w:val="21"/>
                <w:szCs w:val="21"/>
                <w:lang w:val="en-US" w:eastAsia="zh-CN"/>
              </w:rPr>
              <w:t>8</w:t>
            </w:r>
          </w:p>
        </w:tc>
        <w:tc>
          <w:tcPr>
            <w:tcW w:w="1242" w:type="dxa"/>
            <w:vAlign w:val="center"/>
          </w:tcPr>
          <w:p w14:paraId="4517BEDF">
            <w:pPr>
              <w:spacing w:line="220" w:lineRule="exact"/>
              <w:jc w:val="center"/>
              <w:rPr>
                <w:rFonts w:hint="eastAsia" w:ascii="宋体" w:hAnsi="宋体" w:eastAsia="宋体" w:cs="宋体"/>
                <w:sz w:val="21"/>
                <w:szCs w:val="21"/>
              </w:rPr>
            </w:pPr>
            <w:r>
              <w:rPr>
                <w:rFonts w:hint="eastAsia" w:ascii="宋体" w:hAnsi="宋体" w:eastAsia="宋体" w:cs="宋体"/>
                <w:kern w:val="0"/>
                <w:sz w:val="21"/>
                <w:szCs w:val="21"/>
              </w:rPr>
              <w:t>符合</w:t>
            </w:r>
          </w:p>
        </w:tc>
      </w:tr>
      <w:tr w14:paraId="3366C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 w:hRule="atLeast"/>
          <w:jc w:val="center"/>
        </w:trPr>
        <w:tc>
          <w:tcPr>
            <w:tcW w:w="1233" w:type="dxa"/>
            <w:vAlign w:val="center"/>
          </w:tcPr>
          <w:p w14:paraId="67EEF95D">
            <w:pPr>
              <w:spacing w:line="220" w:lineRule="exact"/>
              <w:jc w:val="center"/>
              <w:rPr>
                <w:rFonts w:hint="default" w:ascii="宋体" w:hAnsi="宋体" w:cs="宋体"/>
                <w:sz w:val="21"/>
                <w:szCs w:val="21"/>
                <w:lang w:val="en-US" w:eastAsia="zh-CN"/>
              </w:rPr>
            </w:pPr>
            <w:r>
              <w:rPr>
                <w:rFonts w:hint="eastAsia" w:ascii="宋体" w:hAnsi="宋体" w:cs="宋体"/>
                <w:sz w:val="21"/>
                <w:szCs w:val="21"/>
                <w:lang w:val="en-US" w:eastAsia="zh-CN"/>
              </w:rPr>
              <w:t>16</w:t>
            </w:r>
          </w:p>
        </w:tc>
        <w:tc>
          <w:tcPr>
            <w:tcW w:w="1949" w:type="dxa"/>
            <w:vMerge w:val="restart"/>
            <w:vAlign w:val="center"/>
          </w:tcPr>
          <w:p w14:paraId="335BC551">
            <w:pPr>
              <w:autoSpaceDE w:val="0"/>
              <w:autoSpaceDN w:val="0"/>
              <w:spacing w:line="220" w:lineRule="exact"/>
              <w:jc w:val="center"/>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柴油加油机</w:t>
            </w:r>
          </w:p>
        </w:tc>
        <w:tc>
          <w:tcPr>
            <w:tcW w:w="1590" w:type="dxa"/>
            <w:vAlign w:val="center"/>
          </w:tcPr>
          <w:p w14:paraId="10830A78">
            <w:pPr>
              <w:autoSpaceDE w:val="0"/>
              <w:autoSpaceDN w:val="0"/>
              <w:spacing w:line="220" w:lineRule="exact"/>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站房</w:t>
            </w:r>
          </w:p>
        </w:tc>
        <w:tc>
          <w:tcPr>
            <w:tcW w:w="1650" w:type="dxa"/>
            <w:vAlign w:val="center"/>
          </w:tcPr>
          <w:p w14:paraId="3738B9F8">
            <w:pPr>
              <w:autoSpaceDE w:val="0"/>
              <w:autoSpaceDN w:val="0"/>
              <w:spacing w:line="220" w:lineRule="exact"/>
              <w:jc w:val="center"/>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4</w:t>
            </w:r>
          </w:p>
        </w:tc>
        <w:tc>
          <w:tcPr>
            <w:tcW w:w="1370" w:type="dxa"/>
            <w:vAlign w:val="center"/>
          </w:tcPr>
          <w:p w14:paraId="2F36FC91">
            <w:pPr>
              <w:spacing w:line="220" w:lineRule="exact"/>
              <w:jc w:val="center"/>
              <w:rPr>
                <w:rFonts w:hint="default" w:ascii="宋体" w:hAnsi="宋体" w:cs="宋体"/>
                <w:sz w:val="21"/>
                <w:szCs w:val="21"/>
                <w:lang w:val="en-US" w:eastAsia="zh-CN"/>
              </w:rPr>
            </w:pPr>
            <w:r>
              <w:rPr>
                <w:rFonts w:hint="eastAsia" w:ascii="宋体" w:hAnsi="宋体" w:cs="宋体"/>
                <w:sz w:val="21"/>
                <w:szCs w:val="21"/>
                <w:lang w:val="en-US" w:eastAsia="zh-CN"/>
              </w:rPr>
              <w:t>8</w:t>
            </w:r>
          </w:p>
        </w:tc>
        <w:tc>
          <w:tcPr>
            <w:tcW w:w="1242" w:type="dxa"/>
            <w:vAlign w:val="center"/>
          </w:tcPr>
          <w:p w14:paraId="7025BEA5">
            <w:pPr>
              <w:spacing w:line="220" w:lineRule="exact"/>
              <w:jc w:val="center"/>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符合</w:t>
            </w:r>
          </w:p>
        </w:tc>
      </w:tr>
      <w:tr w14:paraId="1BBFC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 w:hRule="atLeast"/>
          <w:jc w:val="center"/>
        </w:trPr>
        <w:tc>
          <w:tcPr>
            <w:tcW w:w="1233" w:type="dxa"/>
            <w:vAlign w:val="center"/>
          </w:tcPr>
          <w:p w14:paraId="5B7D6943">
            <w:pPr>
              <w:spacing w:line="220" w:lineRule="exact"/>
              <w:jc w:val="center"/>
              <w:rPr>
                <w:rFonts w:hint="default" w:ascii="宋体" w:hAnsi="宋体" w:cs="宋体"/>
                <w:sz w:val="21"/>
                <w:szCs w:val="21"/>
                <w:lang w:val="en-US" w:eastAsia="zh-CN"/>
              </w:rPr>
            </w:pPr>
            <w:r>
              <w:rPr>
                <w:rFonts w:hint="eastAsia" w:ascii="宋体" w:hAnsi="宋体" w:cs="宋体"/>
                <w:sz w:val="21"/>
                <w:szCs w:val="21"/>
                <w:lang w:val="en-US" w:eastAsia="zh-CN"/>
              </w:rPr>
              <w:t>17</w:t>
            </w:r>
          </w:p>
        </w:tc>
        <w:tc>
          <w:tcPr>
            <w:tcW w:w="1949" w:type="dxa"/>
            <w:vMerge w:val="continue"/>
            <w:vAlign w:val="center"/>
          </w:tcPr>
          <w:p w14:paraId="039813CF">
            <w:pPr>
              <w:autoSpaceDE w:val="0"/>
              <w:autoSpaceDN w:val="0"/>
              <w:spacing w:line="220" w:lineRule="exact"/>
              <w:jc w:val="center"/>
              <w:rPr>
                <w:rFonts w:hint="eastAsia" w:ascii="宋体" w:hAnsi="宋体" w:cs="宋体"/>
                <w:kern w:val="0"/>
                <w:sz w:val="21"/>
                <w:szCs w:val="21"/>
                <w:lang w:val="en-US" w:eastAsia="zh-CN"/>
              </w:rPr>
            </w:pPr>
          </w:p>
        </w:tc>
        <w:tc>
          <w:tcPr>
            <w:tcW w:w="1590" w:type="dxa"/>
            <w:vAlign w:val="center"/>
          </w:tcPr>
          <w:p w14:paraId="74CC3570">
            <w:pPr>
              <w:autoSpaceDE w:val="0"/>
              <w:autoSpaceDN w:val="0"/>
              <w:spacing w:line="220" w:lineRule="exact"/>
              <w:jc w:val="center"/>
              <w:rPr>
                <w:rFonts w:hint="default" w:ascii="宋体" w:hAnsi="宋体" w:cs="宋体"/>
                <w:kern w:val="0"/>
                <w:sz w:val="21"/>
                <w:szCs w:val="21"/>
                <w:lang w:val="en-US" w:eastAsia="zh-CN"/>
              </w:rPr>
            </w:pPr>
            <w:r>
              <w:rPr>
                <w:rFonts w:hint="eastAsia" w:ascii="宋体" w:hAnsi="宋体" w:cs="宋体"/>
                <w:kern w:val="0"/>
                <w:sz w:val="21"/>
                <w:szCs w:val="21"/>
                <w:lang w:val="en-US" w:eastAsia="zh-CN"/>
              </w:rPr>
              <w:t>配电间</w:t>
            </w:r>
          </w:p>
        </w:tc>
        <w:tc>
          <w:tcPr>
            <w:tcW w:w="1650" w:type="dxa"/>
            <w:vAlign w:val="center"/>
          </w:tcPr>
          <w:p w14:paraId="7516136E">
            <w:pPr>
              <w:autoSpaceDE w:val="0"/>
              <w:autoSpaceDN w:val="0"/>
              <w:spacing w:line="220" w:lineRule="exact"/>
              <w:jc w:val="center"/>
              <w:rPr>
                <w:rFonts w:hint="default" w:ascii="宋体" w:hAnsi="宋体" w:cs="宋体"/>
                <w:kern w:val="0"/>
                <w:sz w:val="21"/>
                <w:szCs w:val="21"/>
                <w:lang w:val="en-US" w:eastAsia="zh-CN"/>
              </w:rPr>
            </w:pPr>
            <w:r>
              <w:rPr>
                <w:rFonts w:hint="eastAsia" w:ascii="宋体" w:hAnsi="宋体" w:cs="宋体"/>
                <w:kern w:val="0"/>
                <w:sz w:val="21"/>
                <w:szCs w:val="21"/>
                <w:lang w:val="en-US" w:eastAsia="zh-CN"/>
              </w:rPr>
              <w:t>3</w:t>
            </w:r>
          </w:p>
        </w:tc>
        <w:tc>
          <w:tcPr>
            <w:tcW w:w="1370" w:type="dxa"/>
            <w:vAlign w:val="center"/>
          </w:tcPr>
          <w:p w14:paraId="650E7E34">
            <w:pPr>
              <w:spacing w:line="220" w:lineRule="exact"/>
              <w:jc w:val="center"/>
              <w:rPr>
                <w:rFonts w:hint="default" w:ascii="宋体" w:hAnsi="宋体" w:cs="宋体"/>
                <w:sz w:val="21"/>
                <w:szCs w:val="21"/>
                <w:lang w:val="en-US" w:eastAsia="zh-CN"/>
              </w:rPr>
            </w:pPr>
            <w:r>
              <w:rPr>
                <w:rFonts w:hint="eastAsia" w:ascii="宋体" w:hAnsi="宋体" w:cs="宋体"/>
                <w:sz w:val="21"/>
                <w:szCs w:val="21"/>
                <w:lang w:val="en-US" w:eastAsia="zh-CN"/>
              </w:rPr>
              <w:t>8</w:t>
            </w:r>
          </w:p>
        </w:tc>
        <w:tc>
          <w:tcPr>
            <w:tcW w:w="1242" w:type="dxa"/>
            <w:vAlign w:val="center"/>
          </w:tcPr>
          <w:p w14:paraId="5CFF7A20">
            <w:pPr>
              <w:spacing w:line="220" w:lineRule="exact"/>
              <w:jc w:val="center"/>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符合</w:t>
            </w:r>
          </w:p>
        </w:tc>
      </w:tr>
    </w:tbl>
    <w:p w14:paraId="71069E1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en-US"/>
        </w:rPr>
        <w:t>从表5</w:t>
      </w:r>
      <w:r>
        <w:rPr>
          <w:rFonts w:hint="eastAsia" w:ascii="宋体" w:hAnsi="宋体" w:eastAsia="宋体" w:cs="宋体"/>
          <w:sz w:val="28"/>
          <w:szCs w:val="28"/>
          <w:lang w:val="en-US" w:eastAsia="zh-CN"/>
        </w:rPr>
        <w:t>-5</w:t>
      </w:r>
      <w:r>
        <w:rPr>
          <w:rFonts w:hint="eastAsia" w:ascii="宋体" w:hAnsi="宋体" w:eastAsia="宋体" w:cs="宋体"/>
          <w:sz w:val="28"/>
          <w:szCs w:val="28"/>
          <w:lang w:eastAsia="en-US"/>
        </w:rPr>
        <w:t>可以看出，该加油站内设施之间的防火距离符合《汽车加油加汽加氢站技术标准》（GB50156-2021）第5.0.13条的规定。</w:t>
      </w:r>
    </w:p>
    <w:bookmarkEnd w:id="217"/>
    <w:bookmarkEnd w:id="218"/>
    <w:bookmarkEnd w:id="219"/>
    <w:p w14:paraId="37688CC1">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rPr>
      </w:pPr>
      <w:bookmarkStart w:id="225" w:name="_Toc29762"/>
      <w:bookmarkStart w:id="226" w:name="_Toc8655"/>
      <w:bookmarkStart w:id="227" w:name="_Toc12500"/>
      <w:r>
        <w:rPr>
          <w:rFonts w:hint="eastAsia" w:ascii="楷体" w:hAnsi="楷体" w:eastAsia="楷体" w:cs="楷体"/>
          <w:sz w:val="32"/>
          <w:szCs w:val="32"/>
        </w:rPr>
        <w:t>5.2.3建（构）筑物</w:t>
      </w:r>
      <w:bookmarkEnd w:id="225"/>
    </w:p>
    <w:p w14:paraId="510C70F9">
      <w:pPr>
        <w:keepNext w:val="0"/>
        <w:keepLines w:val="0"/>
        <w:pageBreakBefore w:val="0"/>
        <w:widowControl w:val="0"/>
        <w:kinsoku/>
        <w:wordWrap/>
        <w:overflowPunct/>
        <w:topLinePunct w:val="0"/>
        <w:autoSpaceDE/>
        <w:autoSpaceDN/>
        <w:bidi w:val="0"/>
        <w:adjustRightInd/>
        <w:snapToGrid/>
        <w:ind w:firstLine="560" w:firstLineChars="200"/>
        <w:textAlignment w:val="auto"/>
        <w:outlineLvl w:val="9"/>
        <w:rPr>
          <w:rFonts w:hint="eastAsia" w:ascii="宋体" w:hAnsi="宋体" w:eastAsia="宋体" w:cs="宋体"/>
          <w:sz w:val="28"/>
          <w:szCs w:val="28"/>
        </w:rPr>
      </w:pPr>
      <w:r>
        <w:rPr>
          <w:rFonts w:hint="eastAsia" w:ascii="宋体" w:hAnsi="宋体" w:eastAsia="宋体" w:cs="宋体"/>
          <w:sz w:val="28"/>
          <w:szCs w:val="28"/>
        </w:rPr>
        <w:t>根据《汽车加油加气加氢站技术标准》（GB50156-2021）有关要求，针对建（构）筑物进行检查分析，评价结果见表5</w:t>
      </w:r>
      <w:r>
        <w:rPr>
          <w:rFonts w:hint="eastAsia" w:ascii="宋体" w:hAnsi="宋体" w:eastAsia="宋体" w:cs="宋体"/>
          <w:sz w:val="28"/>
          <w:szCs w:val="28"/>
          <w:lang w:val="en-US" w:eastAsia="zh-CN"/>
        </w:rPr>
        <w:t>-6</w:t>
      </w:r>
      <w:r>
        <w:rPr>
          <w:rFonts w:hint="eastAsia" w:ascii="宋体" w:hAnsi="宋体" w:eastAsia="宋体" w:cs="宋体"/>
          <w:sz w:val="28"/>
          <w:szCs w:val="28"/>
        </w:rPr>
        <w:t>。</w:t>
      </w:r>
    </w:p>
    <w:p w14:paraId="327B8365">
      <w:pPr>
        <w:widowControl/>
        <w:kinsoku w:val="0"/>
        <w:autoSpaceDE w:val="0"/>
        <w:autoSpaceDN w:val="0"/>
        <w:adjustRightInd w:val="0"/>
        <w:snapToGrid w:val="0"/>
        <w:spacing w:before="78" w:line="220" w:lineRule="auto"/>
        <w:ind w:left="2399"/>
        <w:jc w:val="both"/>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44"/>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5</w:t>
      </w:r>
      <w:r>
        <w:rPr>
          <w:rFonts w:hint="eastAsia" w:ascii="Times New Roman" w:hAnsi="Times New Roman" w:eastAsia="宋体" w:cs="Times New Roman"/>
          <w:b/>
          <w:bCs/>
          <w:snapToGrid w:val="0"/>
          <w:color w:val="000000"/>
          <w:spacing w:val="-2"/>
          <w:kern w:val="0"/>
          <w:sz w:val="24"/>
          <w:szCs w:val="24"/>
          <w:lang w:val="en-US" w:eastAsia="zh-CN"/>
        </w:rPr>
        <w:t>-6</w:t>
      </w:r>
      <w:r>
        <w:rPr>
          <w:rFonts w:ascii="宋体" w:hAnsi="宋体" w:eastAsia="宋体" w:cs="宋体"/>
          <w:b/>
          <w:bCs/>
          <w:snapToGrid w:val="0"/>
          <w:color w:val="000000"/>
          <w:spacing w:val="-2"/>
          <w:kern w:val="0"/>
          <w:sz w:val="24"/>
          <w:szCs w:val="24"/>
          <w:lang w:eastAsia="en-US"/>
        </w:rPr>
        <w:t>建（构）筑物、绿化安全检查表</w:t>
      </w:r>
    </w:p>
    <w:p w14:paraId="68EC49CA">
      <w:pPr>
        <w:widowControl/>
        <w:kinsoku w:val="0"/>
        <w:autoSpaceDE w:val="0"/>
        <w:autoSpaceDN w:val="0"/>
        <w:adjustRightInd w:val="0"/>
        <w:snapToGrid w:val="0"/>
        <w:spacing w:line="38" w:lineRule="exact"/>
        <w:jc w:val="left"/>
        <w:textAlignment w:val="baseline"/>
        <w:rPr>
          <w:rFonts w:ascii="Arial" w:hAnsi="Arial" w:eastAsia="Arial" w:cs="Arial"/>
          <w:snapToGrid w:val="0"/>
          <w:color w:val="000000"/>
          <w:kern w:val="0"/>
          <w:lang w:eastAsia="en-US"/>
        </w:rPr>
      </w:pPr>
    </w:p>
    <w:tbl>
      <w:tblPr>
        <w:tblStyle w:val="47"/>
        <w:tblW w:w="928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3"/>
        <w:gridCol w:w="3400"/>
        <w:gridCol w:w="1962"/>
        <w:gridCol w:w="2500"/>
        <w:gridCol w:w="724"/>
      </w:tblGrid>
      <w:tr w14:paraId="1F0068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 w:hRule="atLeast"/>
        </w:trPr>
        <w:tc>
          <w:tcPr>
            <w:tcW w:w="703" w:type="dxa"/>
            <w:tcBorders>
              <w:top w:val="single" w:color="000000" w:sz="10" w:space="0"/>
              <w:left w:val="single" w:color="000000" w:sz="10" w:space="0"/>
            </w:tcBorders>
            <w:vAlign w:val="top"/>
          </w:tcPr>
          <w:p w14:paraId="2AB89F44">
            <w:pPr>
              <w:kinsoku w:val="0"/>
              <w:autoSpaceDE w:val="0"/>
              <w:autoSpaceDN w:val="0"/>
              <w:adjustRightInd w:val="0"/>
              <w:snapToGrid w:val="0"/>
              <w:spacing w:before="162" w:line="222" w:lineRule="auto"/>
              <w:ind w:left="16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序号</w:t>
            </w:r>
          </w:p>
        </w:tc>
        <w:tc>
          <w:tcPr>
            <w:tcW w:w="3400" w:type="dxa"/>
            <w:tcBorders>
              <w:top w:val="single" w:color="000000" w:sz="10" w:space="0"/>
            </w:tcBorders>
            <w:vAlign w:val="top"/>
          </w:tcPr>
          <w:p w14:paraId="1B469B08">
            <w:pPr>
              <w:kinsoku w:val="0"/>
              <w:autoSpaceDE w:val="0"/>
              <w:autoSpaceDN w:val="0"/>
              <w:adjustRightInd w:val="0"/>
              <w:snapToGrid w:val="0"/>
              <w:spacing w:before="162" w:line="220" w:lineRule="auto"/>
              <w:ind w:left="133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检查内容</w:t>
            </w:r>
          </w:p>
        </w:tc>
        <w:tc>
          <w:tcPr>
            <w:tcW w:w="1962" w:type="dxa"/>
            <w:tcBorders>
              <w:top w:val="single" w:color="000000" w:sz="10" w:space="0"/>
            </w:tcBorders>
            <w:vAlign w:val="top"/>
          </w:tcPr>
          <w:p w14:paraId="385093ED">
            <w:pPr>
              <w:kinsoku w:val="0"/>
              <w:autoSpaceDE w:val="0"/>
              <w:autoSpaceDN w:val="0"/>
              <w:adjustRightInd w:val="0"/>
              <w:snapToGrid w:val="0"/>
              <w:spacing w:before="162" w:line="219" w:lineRule="auto"/>
              <w:ind w:left="62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检查依据</w:t>
            </w:r>
          </w:p>
        </w:tc>
        <w:tc>
          <w:tcPr>
            <w:tcW w:w="2500" w:type="dxa"/>
            <w:tcBorders>
              <w:top w:val="single" w:color="000000" w:sz="10" w:space="0"/>
            </w:tcBorders>
            <w:vAlign w:val="top"/>
          </w:tcPr>
          <w:p w14:paraId="3BF393CF">
            <w:pPr>
              <w:kinsoku w:val="0"/>
              <w:autoSpaceDE w:val="0"/>
              <w:autoSpaceDN w:val="0"/>
              <w:adjustRightInd w:val="0"/>
              <w:snapToGrid w:val="0"/>
              <w:spacing w:before="162" w:line="220" w:lineRule="auto"/>
              <w:ind w:left="90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检查情况</w:t>
            </w:r>
          </w:p>
        </w:tc>
        <w:tc>
          <w:tcPr>
            <w:tcW w:w="724" w:type="dxa"/>
            <w:tcBorders>
              <w:top w:val="single" w:color="000000" w:sz="10" w:space="0"/>
              <w:right w:val="single" w:color="000000" w:sz="10" w:space="0"/>
            </w:tcBorders>
            <w:vAlign w:val="top"/>
          </w:tcPr>
          <w:p w14:paraId="4552F108">
            <w:pPr>
              <w:kinsoku w:val="0"/>
              <w:autoSpaceDE w:val="0"/>
              <w:autoSpaceDN w:val="0"/>
              <w:adjustRightInd w:val="0"/>
              <w:snapToGrid w:val="0"/>
              <w:spacing w:before="162" w:line="222" w:lineRule="auto"/>
              <w:ind w:left="19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结论</w:t>
            </w:r>
          </w:p>
        </w:tc>
      </w:tr>
      <w:tr w14:paraId="105A4F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7" w:hRule="atLeast"/>
        </w:trPr>
        <w:tc>
          <w:tcPr>
            <w:tcW w:w="703" w:type="dxa"/>
            <w:tcBorders>
              <w:left w:val="single" w:color="000000" w:sz="10" w:space="0"/>
            </w:tcBorders>
            <w:vAlign w:val="top"/>
          </w:tcPr>
          <w:p w14:paraId="1A912698">
            <w:pPr>
              <w:widowControl/>
              <w:kinsoku w:val="0"/>
              <w:autoSpaceDE w:val="0"/>
              <w:autoSpaceDN w:val="0"/>
              <w:adjustRightInd w:val="0"/>
              <w:snapToGrid w:val="0"/>
              <w:spacing w:line="345" w:lineRule="auto"/>
              <w:jc w:val="left"/>
              <w:textAlignment w:val="baseline"/>
              <w:rPr>
                <w:rFonts w:ascii="Arial" w:hAnsi="Arial" w:eastAsia="Arial" w:cs="Arial"/>
                <w:snapToGrid w:val="0"/>
                <w:color w:val="000000"/>
                <w:kern w:val="0"/>
                <w:sz w:val="21"/>
                <w:lang w:eastAsia="en-US"/>
              </w:rPr>
            </w:pPr>
          </w:p>
          <w:p w14:paraId="136EB8C9">
            <w:pPr>
              <w:kinsoku w:val="0"/>
              <w:autoSpaceDE w:val="0"/>
              <w:autoSpaceDN w:val="0"/>
              <w:adjustRightInd w:val="0"/>
              <w:snapToGrid w:val="0"/>
              <w:spacing w:before="58" w:line="184" w:lineRule="auto"/>
              <w:ind w:left="3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1</w:t>
            </w:r>
          </w:p>
        </w:tc>
        <w:tc>
          <w:tcPr>
            <w:tcW w:w="3400" w:type="dxa"/>
            <w:vAlign w:val="top"/>
          </w:tcPr>
          <w:p w14:paraId="03F503BB">
            <w:pPr>
              <w:kinsoku w:val="0"/>
              <w:autoSpaceDE w:val="0"/>
              <w:autoSpaceDN w:val="0"/>
              <w:adjustRightInd w:val="0"/>
              <w:snapToGrid w:val="0"/>
              <w:spacing w:before="144" w:line="233" w:lineRule="auto"/>
              <w:ind w:left="103" w:right="107"/>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作业区内的站房及其他附属建筑物的耐</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火等级不应低于二级。罩棚顶棚可采用无</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防火保护的钢结构。</w:t>
            </w:r>
          </w:p>
        </w:tc>
        <w:tc>
          <w:tcPr>
            <w:tcW w:w="1962" w:type="dxa"/>
            <w:vAlign w:val="top"/>
          </w:tcPr>
          <w:p w14:paraId="13470DA4">
            <w:pPr>
              <w:kinsoku w:val="0"/>
              <w:autoSpaceDE w:val="0"/>
              <w:autoSpaceDN w:val="0"/>
              <w:adjustRightInd w:val="0"/>
              <w:snapToGrid w:val="0"/>
              <w:spacing w:before="28" w:line="229" w:lineRule="auto"/>
              <w:ind w:left="447" w:right="168" w:hanging="2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站技术标准》</w:t>
            </w:r>
          </w:p>
          <w:p w14:paraId="778DAF53">
            <w:pPr>
              <w:kinsoku w:val="0"/>
              <w:autoSpaceDE w:val="0"/>
              <w:autoSpaceDN w:val="0"/>
              <w:adjustRightInd w:val="0"/>
              <w:snapToGrid w:val="0"/>
              <w:spacing w:before="18" w:line="222" w:lineRule="auto"/>
              <w:ind w:left="535" w:right="233" w:hanging="30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w:t>
            </w:r>
            <w:r>
              <w:rPr>
                <w:rFonts w:ascii="Times New Roman" w:hAnsi="Times New Roman" w:eastAsia="Times New Roman" w:cs="Times New Roman"/>
                <w:snapToGrid w:val="0"/>
                <w:color w:val="000000"/>
                <w:spacing w:val="-3"/>
                <w:kern w:val="0"/>
                <w:sz w:val="18"/>
                <w:szCs w:val="18"/>
                <w:lang w:val="en-US" w:eastAsia="en-US" w:bidi="ar-SA"/>
              </w:rPr>
              <w:t>GB 50156-2021</w:t>
            </w:r>
            <w:r>
              <w:rPr>
                <w:rFonts w:ascii="宋体" w:hAnsi="宋体" w:eastAsia="宋体" w:cs="宋体"/>
                <w:snapToGrid w:val="0"/>
                <w:color w:val="000000"/>
                <w:spacing w:val="-3"/>
                <w:kern w:val="0"/>
                <w:sz w:val="18"/>
                <w:szCs w:val="18"/>
                <w:lang w:val="en-US" w:eastAsia="en-US" w:bidi="ar-SA"/>
              </w:rPr>
              <w:t>）</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第</w:t>
            </w:r>
            <w:r>
              <w:rPr>
                <w:rFonts w:ascii="宋体" w:hAnsi="宋体" w:eastAsia="宋体" w:cs="宋体"/>
                <w:snapToGrid w:val="0"/>
                <w:color w:val="000000"/>
                <w:spacing w:val="-21"/>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14.2.1</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条</w:t>
            </w:r>
          </w:p>
        </w:tc>
        <w:tc>
          <w:tcPr>
            <w:tcW w:w="2500" w:type="dxa"/>
            <w:vAlign w:val="top"/>
          </w:tcPr>
          <w:p w14:paraId="34C5DFDB">
            <w:pPr>
              <w:kinsoku w:val="0"/>
              <w:autoSpaceDE w:val="0"/>
              <w:autoSpaceDN w:val="0"/>
              <w:adjustRightInd w:val="0"/>
              <w:snapToGrid w:val="0"/>
              <w:spacing w:before="143" w:line="233" w:lineRule="auto"/>
              <w:ind w:left="118" w:right="93" w:hanging="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站房耐火等级为二级，其耐火</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极限大于</w:t>
            </w:r>
            <w:r>
              <w:rPr>
                <w:rFonts w:ascii="宋体" w:hAnsi="宋体" w:eastAsia="宋体" w:cs="宋体"/>
                <w:snapToGrid w:val="0"/>
                <w:color w:val="000000"/>
                <w:spacing w:val="-36"/>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0.25h</w:t>
            </w:r>
            <w:r>
              <w:rPr>
                <w:rFonts w:ascii="Times New Roman" w:hAnsi="Times New Roman" w:eastAsia="Times New Roman" w:cs="Times New Roman"/>
                <w:snapToGrid w:val="0"/>
                <w:color w:val="000000"/>
                <w:spacing w:val="-2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，顶棚其他部 </w:t>
            </w:r>
            <w:r>
              <w:rPr>
                <w:rFonts w:ascii="宋体" w:hAnsi="宋体" w:eastAsia="宋体" w:cs="宋体"/>
                <w:snapToGrid w:val="0"/>
                <w:color w:val="000000"/>
                <w:spacing w:val="-1"/>
                <w:kern w:val="0"/>
                <w:sz w:val="18"/>
                <w:szCs w:val="18"/>
                <w:lang w:val="en-US" w:eastAsia="en-US" w:bidi="ar-SA"/>
              </w:rPr>
              <w:t>分未采用燃烧体建造。</w:t>
            </w:r>
          </w:p>
        </w:tc>
        <w:tc>
          <w:tcPr>
            <w:tcW w:w="724" w:type="dxa"/>
            <w:tcBorders>
              <w:right w:val="single" w:color="000000" w:sz="10" w:space="0"/>
            </w:tcBorders>
            <w:vAlign w:val="top"/>
          </w:tcPr>
          <w:p w14:paraId="0C91654D">
            <w:pPr>
              <w:kinsoku w:val="0"/>
              <w:autoSpaceDE w:val="0"/>
              <w:autoSpaceDN w:val="0"/>
              <w:adjustRightInd w:val="0"/>
              <w:snapToGrid w:val="0"/>
              <w:spacing w:before="261" w:line="230" w:lineRule="auto"/>
              <w:ind w:left="192" w:right="16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tc>
      </w:tr>
      <w:tr w14:paraId="4139B5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4" w:hRule="atLeast"/>
        </w:trPr>
        <w:tc>
          <w:tcPr>
            <w:tcW w:w="703" w:type="dxa"/>
            <w:tcBorders>
              <w:left w:val="single" w:color="000000" w:sz="10" w:space="0"/>
            </w:tcBorders>
            <w:vAlign w:val="top"/>
          </w:tcPr>
          <w:p w14:paraId="4BC7E5B4">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0745D7BD">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05BEC403">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03B811A6">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2ADF552E">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3EAA99BD">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5DB72B0D">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62EB31B">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3A5C264F">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C7AA1B0">
            <w:pPr>
              <w:kinsoku w:val="0"/>
              <w:autoSpaceDE w:val="0"/>
              <w:autoSpaceDN w:val="0"/>
              <w:adjustRightInd w:val="0"/>
              <w:snapToGrid w:val="0"/>
              <w:spacing w:before="58" w:line="183" w:lineRule="auto"/>
              <w:ind w:left="29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2</w:t>
            </w:r>
          </w:p>
        </w:tc>
        <w:tc>
          <w:tcPr>
            <w:tcW w:w="3400" w:type="dxa"/>
            <w:vAlign w:val="top"/>
          </w:tcPr>
          <w:p w14:paraId="36ECC352">
            <w:pPr>
              <w:kinsoku w:val="0"/>
              <w:autoSpaceDE w:val="0"/>
              <w:autoSpaceDN w:val="0"/>
              <w:adjustRightInd w:val="0"/>
              <w:snapToGrid w:val="0"/>
              <w:spacing w:before="28" w:line="230" w:lineRule="auto"/>
              <w:ind w:left="103" w:right="10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汽车加油场地宜设罩棚，罩棚的设计应符</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合下列规定：</w:t>
            </w:r>
          </w:p>
          <w:p w14:paraId="497B14B9">
            <w:pPr>
              <w:kinsoku w:val="0"/>
              <w:autoSpaceDE w:val="0"/>
              <w:autoSpaceDN w:val="0"/>
              <w:adjustRightInd w:val="0"/>
              <w:snapToGrid w:val="0"/>
              <w:spacing w:before="17" w:line="219" w:lineRule="auto"/>
              <w:ind w:left="11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w:t>
            </w:r>
            <w:r>
              <w:rPr>
                <w:rFonts w:ascii="Times New Roman" w:hAnsi="Times New Roman" w:eastAsia="Times New Roman" w:cs="Times New Roman"/>
                <w:snapToGrid w:val="0"/>
                <w:color w:val="000000"/>
                <w:spacing w:val="-2"/>
                <w:kern w:val="0"/>
                <w:sz w:val="18"/>
                <w:szCs w:val="18"/>
                <w:lang w:val="en-US" w:eastAsia="en-US" w:bidi="ar-SA"/>
              </w:rPr>
              <w:t>1</w:t>
            </w:r>
            <w:r>
              <w:rPr>
                <w:rFonts w:ascii="宋体" w:hAnsi="宋体" w:eastAsia="宋体" w:cs="宋体"/>
                <w:snapToGrid w:val="0"/>
                <w:color w:val="000000"/>
                <w:spacing w:val="-2"/>
                <w:kern w:val="0"/>
                <w:sz w:val="18"/>
                <w:szCs w:val="18"/>
                <w:lang w:val="en-US" w:eastAsia="en-US" w:bidi="ar-SA"/>
              </w:rPr>
              <w:t>）罩棚应采用不燃烧材料建造；</w:t>
            </w:r>
          </w:p>
          <w:p w14:paraId="62B60FC4">
            <w:pPr>
              <w:kinsoku w:val="0"/>
              <w:autoSpaceDE w:val="0"/>
              <w:autoSpaceDN w:val="0"/>
              <w:adjustRightInd w:val="0"/>
              <w:snapToGrid w:val="0"/>
              <w:spacing w:before="19" w:line="233" w:lineRule="auto"/>
              <w:ind w:left="107" w:right="105" w:firstLine="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2</w:t>
            </w:r>
            <w:r>
              <w:rPr>
                <w:rFonts w:ascii="宋体" w:hAnsi="宋体" w:eastAsia="宋体" w:cs="宋体"/>
                <w:snapToGrid w:val="0"/>
                <w:color w:val="000000"/>
                <w:spacing w:val="1"/>
                <w:kern w:val="0"/>
                <w:sz w:val="18"/>
                <w:szCs w:val="18"/>
                <w:lang w:val="en-US" w:eastAsia="en-US" w:bidi="ar-SA"/>
              </w:rPr>
              <w:t>）进站口无限高措施时，罩棚的净空</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高度不应小于</w:t>
            </w:r>
            <w:r>
              <w:rPr>
                <w:rFonts w:ascii="宋体" w:hAnsi="宋体" w:eastAsia="宋体" w:cs="宋体"/>
                <w:snapToGrid w:val="0"/>
                <w:color w:val="000000"/>
                <w:spacing w:val="-36"/>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4.5m</w:t>
            </w:r>
            <w:r>
              <w:rPr>
                <w:rFonts w:ascii="宋体" w:hAnsi="宋体" w:eastAsia="宋体" w:cs="宋体"/>
                <w:snapToGrid w:val="0"/>
                <w:color w:val="000000"/>
                <w:spacing w:val="3"/>
                <w:kern w:val="0"/>
                <w:sz w:val="18"/>
                <w:szCs w:val="18"/>
                <w:lang w:val="en-US" w:eastAsia="en-US" w:bidi="ar-SA"/>
              </w:rPr>
              <w:t>；进站口有限高措施</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时，罩棚的净空高度不应小于限高高度；</w:t>
            </w:r>
          </w:p>
          <w:p w14:paraId="42178061">
            <w:pPr>
              <w:kinsoku w:val="0"/>
              <w:autoSpaceDE w:val="0"/>
              <w:autoSpaceDN w:val="0"/>
              <w:adjustRightInd w:val="0"/>
              <w:snapToGrid w:val="0"/>
              <w:spacing w:before="18" w:line="232" w:lineRule="auto"/>
              <w:ind w:left="106" w:right="107" w:firstLine="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3</w:t>
            </w:r>
            <w:r>
              <w:rPr>
                <w:rFonts w:ascii="宋体" w:hAnsi="宋体" w:eastAsia="宋体" w:cs="宋体"/>
                <w:snapToGrid w:val="0"/>
                <w:color w:val="000000"/>
                <w:spacing w:val="1"/>
                <w:kern w:val="0"/>
                <w:sz w:val="18"/>
                <w:szCs w:val="18"/>
                <w:lang w:val="en-US" w:eastAsia="en-US" w:bidi="ar-SA"/>
              </w:rPr>
              <w:t>）罩棚遮盖加油机的平面投影距离不</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宜小于</w:t>
            </w:r>
            <w:r>
              <w:rPr>
                <w:rFonts w:ascii="宋体" w:hAnsi="宋体" w:eastAsia="宋体" w:cs="宋体"/>
                <w:snapToGrid w:val="0"/>
                <w:color w:val="000000"/>
                <w:spacing w:val="-40"/>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2m</w:t>
            </w:r>
            <w:r>
              <w:rPr>
                <w:rFonts w:ascii="宋体" w:hAnsi="宋体" w:eastAsia="宋体" w:cs="宋体"/>
                <w:snapToGrid w:val="0"/>
                <w:color w:val="000000"/>
                <w:spacing w:val="-3"/>
                <w:kern w:val="0"/>
                <w:sz w:val="18"/>
                <w:szCs w:val="18"/>
                <w:lang w:val="en-US" w:eastAsia="en-US" w:bidi="ar-SA"/>
              </w:rPr>
              <w:t>；</w:t>
            </w:r>
          </w:p>
          <w:p w14:paraId="344C4287">
            <w:pPr>
              <w:kinsoku w:val="0"/>
              <w:autoSpaceDE w:val="0"/>
              <w:autoSpaceDN w:val="0"/>
              <w:adjustRightInd w:val="0"/>
              <w:snapToGrid w:val="0"/>
              <w:spacing w:before="17" w:line="233" w:lineRule="auto"/>
              <w:ind w:left="103" w:right="107" w:firstLine="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4</w:t>
            </w:r>
            <w:r>
              <w:rPr>
                <w:rFonts w:ascii="宋体" w:hAnsi="宋体" w:eastAsia="宋体" w:cs="宋体"/>
                <w:snapToGrid w:val="0"/>
                <w:color w:val="000000"/>
                <w:spacing w:val="1"/>
                <w:kern w:val="0"/>
                <w:sz w:val="18"/>
                <w:szCs w:val="18"/>
                <w:lang w:val="en-US" w:eastAsia="en-US" w:bidi="ar-SA"/>
              </w:rPr>
              <w:t>）罩棚的安全等级和可靠度设计应按</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现行国家标准《建筑结构可靠度设计统一</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标准》</w:t>
            </w:r>
            <w:r>
              <w:rPr>
                <w:rFonts w:ascii="Times New Roman" w:hAnsi="Times New Roman" w:eastAsia="Times New Roman" w:cs="Times New Roman"/>
                <w:snapToGrid w:val="0"/>
                <w:color w:val="000000"/>
                <w:spacing w:val="-3"/>
                <w:kern w:val="0"/>
                <w:sz w:val="18"/>
                <w:szCs w:val="18"/>
                <w:lang w:val="en-US" w:eastAsia="en-US" w:bidi="ar-SA"/>
              </w:rPr>
              <w:t>GB</w:t>
            </w:r>
            <w:r>
              <w:rPr>
                <w:rFonts w:ascii="Times New Roman" w:hAnsi="Times New Roman" w:eastAsia="Times New Roman" w:cs="Times New Roman"/>
                <w:snapToGrid w:val="0"/>
                <w:color w:val="000000"/>
                <w:spacing w:val="23"/>
                <w:w w:val="101"/>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50068</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的有关规定执行；</w:t>
            </w:r>
          </w:p>
          <w:p w14:paraId="72B9AE39">
            <w:pPr>
              <w:kinsoku w:val="0"/>
              <w:autoSpaceDE w:val="0"/>
              <w:autoSpaceDN w:val="0"/>
              <w:adjustRightInd w:val="0"/>
              <w:snapToGrid w:val="0"/>
              <w:spacing w:before="18" w:line="235" w:lineRule="auto"/>
              <w:ind w:left="103" w:right="107" w:firstLine="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5</w:t>
            </w:r>
            <w:r>
              <w:rPr>
                <w:rFonts w:ascii="宋体" w:hAnsi="宋体" w:eastAsia="宋体" w:cs="宋体"/>
                <w:snapToGrid w:val="0"/>
                <w:color w:val="000000"/>
                <w:spacing w:val="1"/>
                <w:kern w:val="0"/>
                <w:sz w:val="18"/>
                <w:szCs w:val="18"/>
                <w:lang w:val="en-US" w:eastAsia="en-US" w:bidi="ar-SA"/>
              </w:rPr>
              <w:t>）罩棚设计应计及活载荷、雪载荷、</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风载荷，其设计标准值应符合现行国家标</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准《建筑结构载荷规范》</w:t>
            </w:r>
            <w:r>
              <w:rPr>
                <w:rFonts w:ascii="Times New Roman" w:hAnsi="Times New Roman" w:eastAsia="Times New Roman" w:cs="Times New Roman"/>
                <w:snapToGrid w:val="0"/>
                <w:color w:val="000000"/>
                <w:kern w:val="0"/>
                <w:sz w:val="18"/>
                <w:szCs w:val="18"/>
                <w:lang w:val="en-US" w:eastAsia="en-US" w:bidi="ar-SA"/>
              </w:rPr>
              <w:t>GB</w:t>
            </w:r>
            <w:r>
              <w:rPr>
                <w:rFonts w:ascii="Times New Roman" w:hAnsi="Times New Roman" w:eastAsia="Times New Roman" w:cs="Times New Roman"/>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50009</w:t>
            </w:r>
            <w:r>
              <w:rPr>
                <w:rFonts w:ascii="Times New Roman" w:hAnsi="Times New Roman" w:eastAsia="Times New Roman" w:cs="Times New Roman"/>
                <w:snapToGrid w:val="0"/>
                <w:color w:val="000000"/>
                <w:spacing w:val="2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的有 </w:t>
            </w:r>
            <w:r>
              <w:rPr>
                <w:rFonts w:ascii="宋体" w:hAnsi="宋体" w:eastAsia="宋体" w:cs="宋体"/>
                <w:snapToGrid w:val="0"/>
                <w:color w:val="000000"/>
                <w:spacing w:val="-2"/>
                <w:kern w:val="0"/>
                <w:sz w:val="18"/>
                <w:szCs w:val="18"/>
                <w:lang w:val="en-US" w:eastAsia="en-US" w:bidi="ar-SA"/>
              </w:rPr>
              <w:t>关规定；</w:t>
            </w:r>
          </w:p>
          <w:p w14:paraId="06E249DC">
            <w:pPr>
              <w:kinsoku w:val="0"/>
              <w:autoSpaceDE w:val="0"/>
              <w:autoSpaceDN w:val="0"/>
              <w:adjustRightInd w:val="0"/>
              <w:snapToGrid w:val="0"/>
              <w:spacing w:before="16" w:line="233" w:lineRule="auto"/>
              <w:ind w:left="103" w:right="107" w:firstLine="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6</w:t>
            </w:r>
            <w:r>
              <w:rPr>
                <w:rFonts w:ascii="宋体" w:hAnsi="宋体" w:eastAsia="宋体" w:cs="宋体"/>
                <w:snapToGrid w:val="0"/>
                <w:color w:val="000000"/>
                <w:spacing w:val="1"/>
                <w:kern w:val="0"/>
                <w:sz w:val="18"/>
                <w:szCs w:val="18"/>
                <w:lang w:val="en-US" w:eastAsia="en-US" w:bidi="ar-SA"/>
              </w:rPr>
              <w:t>）罩棚的抗震设计应按现行国家标准</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《建筑抗震设计规范》</w:t>
            </w:r>
            <w:r>
              <w:rPr>
                <w:rFonts w:ascii="Times New Roman" w:hAnsi="Times New Roman" w:eastAsia="Times New Roman" w:cs="Times New Roman"/>
                <w:snapToGrid w:val="0"/>
                <w:color w:val="000000"/>
                <w:kern w:val="0"/>
                <w:sz w:val="18"/>
                <w:szCs w:val="18"/>
                <w:lang w:val="en-US" w:eastAsia="en-US" w:bidi="ar-SA"/>
              </w:rPr>
              <w:t>GB</w:t>
            </w:r>
            <w:r>
              <w:rPr>
                <w:rFonts w:ascii="Times New Roman" w:hAnsi="Times New Roman" w:eastAsia="Times New Roman" w:cs="Times New Roman"/>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50011</w:t>
            </w:r>
            <w:r>
              <w:rPr>
                <w:rFonts w:ascii="Times New Roman" w:hAnsi="Times New Roman" w:eastAsia="Times New Roman" w:cs="Times New Roman"/>
                <w:snapToGrid w:val="0"/>
                <w:color w:val="000000"/>
                <w:spacing w:val="26"/>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的有关 </w:t>
            </w:r>
            <w:r>
              <w:rPr>
                <w:rFonts w:ascii="宋体" w:hAnsi="宋体" w:eastAsia="宋体" w:cs="宋体"/>
                <w:snapToGrid w:val="0"/>
                <w:color w:val="000000"/>
                <w:spacing w:val="-2"/>
                <w:kern w:val="0"/>
                <w:sz w:val="18"/>
                <w:szCs w:val="18"/>
                <w:lang w:val="en-US" w:eastAsia="en-US" w:bidi="ar-SA"/>
              </w:rPr>
              <w:t>规定执行；</w:t>
            </w:r>
          </w:p>
          <w:p w14:paraId="7D5FA1AA">
            <w:pPr>
              <w:kinsoku w:val="0"/>
              <w:autoSpaceDE w:val="0"/>
              <w:autoSpaceDN w:val="0"/>
              <w:adjustRightInd w:val="0"/>
              <w:snapToGrid w:val="0"/>
              <w:spacing w:before="18" w:line="218" w:lineRule="auto"/>
              <w:ind w:left="102" w:right="107" w:firstLine="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7</w:t>
            </w:r>
            <w:r>
              <w:rPr>
                <w:rFonts w:ascii="宋体" w:hAnsi="宋体" w:eastAsia="宋体" w:cs="宋体"/>
                <w:snapToGrid w:val="0"/>
                <w:color w:val="000000"/>
                <w:spacing w:val="1"/>
                <w:kern w:val="0"/>
                <w:sz w:val="18"/>
                <w:szCs w:val="18"/>
                <w:lang w:val="en-US" w:eastAsia="en-US" w:bidi="ar-SA"/>
              </w:rPr>
              <w:t>）罩棚柱应有防止车辆碰撞的技术措</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施。</w:t>
            </w:r>
          </w:p>
        </w:tc>
        <w:tc>
          <w:tcPr>
            <w:tcW w:w="1962" w:type="dxa"/>
            <w:vAlign w:val="top"/>
          </w:tcPr>
          <w:p w14:paraId="78B8E3CD">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26E7D119">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54CE3FEC">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0A56600E">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7F5FCC6D">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2E9C45C4">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2D9BD5B5">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0B82E611">
            <w:pPr>
              <w:kinsoku w:val="0"/>
              <w:autoSpaceDE w:val="0"/>
              <w:autoSpaceDN w:val="0"/>
              <w:adjustRightInd w:val="0"/>
              <w:snapToGrid w:val="0"/>
              <w:spacing w:before="58" w:line="229" w:lineRule="auto"/>
              <w:ind w:left="447" w:right="168" w:hanging="2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站技术标准》</w:t>
            </w:r>
          </w:p>
          <w:p w14:paraId="64C7CFDB">
            <w:pPr>
              <w:kinsoku w:val="0"/>
              <w:autoSpaceDE w:val="0"/>
              <w:autoSpaceDN w:val="0"/>
              <w:adjustRightInd w:val="0"/>
              <w:snapToGrid w:val="0"/>
              <w:spacing w:before="17" w:line="231" w:lineRule="auto"/>
              <w:ind w:left="535" w:right="233" w:hanging="30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w:t>
            </w:r>
            <w:r>
              <w:rPr>
                <w:rFonts w:ascii="Times New Roman" w:hAnsi="Times New Roman" w:eastAsia="Times New Roman" w:cs="Times New Roman"/>
                <w:snapToGrid w:val="0"/>
                <w:color w:val="000000"/>
                <w:spacing w:val="-3"/>
                <w:kern w:val="0"/>
                <w:sz w:val="18"/>
                <w:szCs w:val="18"/>
                <w:lang w:val="en-US" w:eastAsia="en-US" w:bidi="ar-SA"/>
              </w:rPr>
              <w:t>GB 50156-2021</w:t>
            </w:r>
            <w:r>
              <w:rPr>
                <w:rFonts w:ascii="宋体" w:hAnsi="宋体" w:eastAsia="宋体" w:cs="宋体"/>
                <w:snapToGrid w:val="0"/>
                <w:color w:val="000000"/>
                <w:spacing w:val="-3"/>
                <w:kern w:val="0"/>
                <w:sz w:val="18"/>
                <w:szCs w:val="18"/>
                <w:lang w:val="en-US" w:eastAsia="en-US" w:bidi="ar-SA"/>
              </w:rPr>
              <w:t>）</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第</w:t>
            </w:r>
            <w:r>
              <w:rPr>
                <w:rFonts w:ascii="宋体" w:hAnsi="宋体" w:eastAsia="宋体" w:cs="宋体"/>
                <w:snapToGrid w:val="0"/>
                <w:color w:val="000000"/>
                <w:spacing w:val="-21"/>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14.2.2</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条</w:t>
            </w:r>
          </w:p>
        </w:tc>
        <w:tc>
          <w:tcPr>
            <w:tcW w:w="2500" w:type="dxa"/>
            <w:vAlign w:val="top"/>
          </w:tcPr>
          <w:p w14:paraId="43985CA9">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4EE8CBFE">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55CDEBEC">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666C1A4B">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2A214E08">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3EFBEF18">
            <w:pPr>
              <w:kinsoku w:val="0"/>
              <w:autoSpaceDE w:val="0"/>
              <w:autoSpaceDN w:val="0"/>
              <w:adjustRightInd w:val="0"/>
              <w:snapToGrid w:val="0"/>
              <w:spacing w:before="58" w:line="219" w:lineRule="auto"/>
              <w:ind w:right="4"/>
              <w:jc w:val="righ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6"/>
                <w:kern w:val="0"/>
                <w:sz w:val="18"/>
                <w:szCs w:val="18"/>
                <w:lang w:val="en-US" w:eastAsia="en-US" w:bidi="ar-SA"/>
              </w:rPr>
              <w:t>1</w:t>
            </w:r>
            <w:r>
              <w:rPr>
                <w:rFonts w:ascii="宋体" w:hAnsi="宋体" w:eastAsia="宋体" w:cs="宋体"/>
                <w:snapToGrid w:val="0"/>
                <w:color w:val="000000"/>
                <w:spacing w:val="-6"/>
                <w:kern w:val="0"/>
                <w:sz w:val="18"/>
                <w:szCs w:val="18"/>
                <w:lang w:val="en-US" w:eastAsia="en-US" w:bidi="ar-SA"/>
              </w:rPr>
              <w:t>）罩棚采用不燃烧材料建造；</w:t>
            </w:r>
          </w:p>
          <w:p w14:paraId="4F0592C2">
            <w:pPr>
              <w:kinsoku w:val="0"/>
              <w:autoSpaceDE w:val="0"/>
              <w:autoSpaceDN w:val="0"/>
              <w:adjustRightInd w:val="0"/>
              <w:snapToGrid w:val="0"/>
              <w:spacing w:before="19" w:line="229" w:lineRule="auto"/>
              <w:ind w:left="121" w:right="95" w:hanging="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2</w:t>
            </w:r>
            <w:r>
              <w:rPr>
                <w:rFonts w:ascii="宋体" w:hAnsi="宋体" w:eastAsia="宋体" w:cs="宋体"/>
                <w:snapToGrid w:val="0"/>
                <w:color w:val="000000"/>
                <w:spacing w:val="2"/>
                <w:kern w:val="0"/>
                <w:sz w:val="18"/>
                <w:szCs w:val="18"/>
                <w:lang w:val="en-US" w:eastAsia="en-US" w:bidi="ar-SA"/>
              </w:rPr>
              <w:t>）无有限高措施，罩棚的净</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空高度不小于</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4.5m</w:t>
            </w:r>
            <w:r>
              <w:rPr>
                <w:rFonts w:ascii="宋体" w:hAnsi="宋体" w:eastAsia="宋体" w:cs="宋体"/>
                <w:snapToGrid w:val="0"/>
                <w:color w:val="000000"/>
                <w:spacing w:val="-2"/>
                <w:kern w:val="0"/>
                <w:sz w:val="18"/>
                <w:szCs w:val="18"/>
                <w:lang w:val="en-US" w:eastAsia="en-US" w:bidi="ar-SA"/>
              </w:rPr>
              <w:t>；</w:t>
            </w:r>
          </w:p>
          <w:p w14:paraId="531DF30A">
            <w:pPr>
              <w:kinsoku w:val="0"/>
              <w:autoSpaceDE w:val="0"/>
              <w:autoSpaceDN w:val="0"/>
              <w:adjustRightInd w:val="0"/>
              <w:snapToGrid w:val="0"/>
              <w:spacing w:before="17" w:line="230" w:lineRule="auto"/>
              <w:ind w:left="117" w:right="9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3</w:t>
            </w:r>
            <w:r>
              <w:rPr>
                <w:rFonts w:ascii="宋体" w:hAnsi="宋体" w:eastAsia="宋体" w:cs="宋体"/>
                <w:snapToGrid w:val="0"/>
                <w:color w:val="000000"/>
                <w:spacing w:val="2"/>
                <w:kern w:val="0"/>
                <w:sz w:val="18"/>
                <w:szCs w:val="18"/>
                <w:lang w:val="en-US" w:eastAsia="en-US" w:bidi="ar-SA"/>
              </w:rPr>
              <w:t>）罩棚遮盖加油机的平面投</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影距离大于</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2m</w:t>
            </w:r>
            <w:r>
              <w:rPr>
                <w:rFonts w:ascii="宋体" w:hAnsi="宋体" w:eastAsia="宋体" w:cs="宋体"/>
                <w:snapToGrid w:val="0"/>
                <w:color w:val="000000"/>
                <w:spacing w:val="-2"/>
                <w:kern w:val="0"/>
                <w:sz w:val="18"/>
                <w:szCs w:val="18"/>
                <w:lang w:val="en-US" w:eastAsia="en-US" w:bidi="ar-SA"/>
              </w:rPr>
              <w:t>；</w:t>
            </w:r>
          </w:p>
          <w:p w14:paraId="07259902">
            <w:pPr>
              <w:kinsoku w:val="0"/>
              <w:autoSpaceDE w:val="0"/>
              <w:autoSpaceDN w:val="0"/>
              <w:adjustRightInd w:val="0"/>
              <w:snapToGrid w:val="0"/>
              <w:spacing w:before="20" w:line="220" w:lineRule="auto"/>
              <w:ind w:left="11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4</w:t>
            </w:r>
            <w:r>
              <w:rPr>
                <w:rFonts w:ascii="宋体" w:hAnsi="宋体" w:eastAsia="宋体" w:cs="宋体"/>
                <w:snapToGrid w:val="0"/>
                <w:color w:val="000000"/>
                <w:spacing w:val="-1"/>
                <w:kern w:val="0"/>
                <w:sz w:val="18"/>
                <w:szCs w:val="18"/>
                <w:lang w:val="en-US" w:eastAsia="en-US" w:bidi="ar-SA"/>
              </w:rPr>
              <w:t>）抗震设计符合相关规定。</w:t>
            </w:r>
          </w:p>
          <w:p w14:paraId="066DFA22">
            <w:pPr>
              <w:kinsoku w:val="0"/>
              <w:autoSpaceDE w:val="0"/>
              <w:autoSpaceDN w:val="0"/>
              <w:adjustRightInd w:val="0"/>
              <w:snapToGrid w:val="0"/>
              <w:spacing w:before="17" w:line="234" w:lineRule="auto"/>
              <w:ind w:left="116" w:right="47" w:firstLine="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8"/>
                <w:kern w:val="0"/>
                <w:sz w:val="18"/>
                <w:szCs w:val="18"/>
                <w:lang w:val="en-US" w:eastAsia="en-US" w:bidi="ar-SA"/>
              </w:rPr>
              <w:t>5</w:t>
            </w:r>
            <w:r>
              <w:rPr>
                <w:rFonts w:ascii="宋体" w:hAnsi="宋体" w:eastAsia="宋体" w:cs="宋体"/>
                <w:snapToGrid w:val="0"/>
                <w:color w:val="000000"/>
                <w:spacing w:val="-8"/>
                <w:kern w:val="0"/>
                <w:sz w:val="18"/>
                <w:szCs w:val="18"/>
                <w:lang w:val="en-US" w:eastAsia="en-US" w:bidi="ar-SA"/>
              </w:rPr>
              <w:t>）罩棚立柱设置在加油岛上，</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加油岛两侧均设有</w:t>
            </w:r>
            <w:r>
              <w:rPr>
                <w:rFonts w:ascii="宋体" w:hAnsi="宋体" w:eastAsia="宋体" w:cs="宋体"/>
                <w:snapToGrid w:val="0"/>
                <w:color w:val="000000"/>
                <w:spacing w:val="-33"/>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60cm</w:t>
            </w:r>
            <w:r>
              <w:rPr>
                <w:rFonts w:ascii="Times New Roman" w:hAnsi="Times New Roman" w:eastAsia="Times New Roman" w:cs="Times New Roman"/>
                <w:snapToGrid w:val="0"/>
                <w:color w:val="000000"/>
                <w:spacing w:val="2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的防</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撞柱。</w:t>
            </w:r>
          </w:p>
        </w:tc>
        <w:tc>
          <w:tcPr>
            <w:tcW w:w="724" w:type="dxa"/>
            <w:tcBorders>
              <w:right w:val="single" w:color="000000" w:sz="10" w:space="0"/>
            </w:tcBorders>
            <w:vAlign w:val="top"/>
          </w:tcPr>
          <w:p w14:paraId="663114B5">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663EA56F">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019755FB">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3DC4447D">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3333636C">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7F1FAA47">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76ECB292">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75E5A79D">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283FCC77">
            <w:pPr>
              <w:kinsoku w:val="0"/>
              <w:autoSpaceDE w:val="0"/>
              <w:autoSpaceDN w:val="0"/>
              <w:adjustRightInd w:val="0"/>
              <w:snapToGrid w:val="0"/>
              <w:spacing w:before="58" w:line="230" w:lineRule="auto"/>
              <w:ind w:left="192" w:right="16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tc>
      </w:tr>
      <w:tr w14:paraId="7F90C1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67" w:hRule="atLeast"/>
        </w:trPr>
        <w:tc>
          <w:tcPr>
            <w:tcW w:w="703" w:type="dxa"/>
            <w:tcBorders>
              <w:left w:val="single" w:color="000000" w:sz="10" w:space="0"/>
            </w:tcBorders>
            <w:vAlign w:val="top"/>
          </w:tcPr>
          <w:p w14:paraId="12740FA3">
            <w:pPr>
              <w:widowControl/>
              <w:kinsoku w:val="0"/>
              <w:autoSpaceDE w:val="0"/>
              <w:autoSpaceDN w:val="0"/>
              <w:adjustRightInd w:val="0"/>
              <w:snapToGrid w:val="0"/>
              <w:spacing w:line="291" w:lineRule="auto"/>
              <w:jc w:val="left"/>
              <w:textAlignment w:val="baseline"/>
              <w:rPr>
                <w:rFonts w:ascii="Arial" w:hAnsi="Arial" w:eastAsia="Arial" w:cs="Arial"/>
                <w:snapToGrid w:val="0"/>
                <w:color w:val="000000"/>
                <w:kern w:val="0"/>
                <w:sz w:val="21"/>
                <w:lang w:eastAsia="en-US"/>
              </w:rPr>
            </w:pPr>
          </w:p>
          <w:p w14:paraId="1FA96D3B">
            <w:pPr>
              <w:widowControl/>
              <w:kinsoku w:val="0"/>
              <w:autoSpaceDE w:val="0"/>
              <w:autoSpaceDN w:val="0"/>
              <w:adjustRightInd w:val="0"/>
              <w:snapToGrid w:val="0"/>
              <w:spacing w:line="291" w:lineRule="auto"/>
              <w:jc w:val="left"/>
              <w:textAlignment w:val="baseline"/>
              <w:rPr>
                <w:rFonts w:ascii="Arial" w:hAnsi="Arial" w:eastAsia="Arial" w:cs="Arial"/>
                <w:snapToGrid w:val="0"/>
                <w:color w:val="000000"/>
                <w:kern w:val="0"/>
                <w:sz w:val="21"/>
                <w:lang w:eastAsia="en-US"/>
              </w:rPr>
            </w:pPr>
          </w:p>
          <w:p w14:paraId="1DBDAE34">
            <w:pPr>
              <w:widowControl/>
              <w:kinsoku w:val="0"/>
              <w:autoSpaceDE w:val="0"/>
              <w:autoSpaceDN w:val="0"/>
              <w:adjustRightInd w:val="0"/>
              <w:snapToGrid w:val="0"/>
              <w:spacing w:line="292" w:lineRule="auto"/>
              <w:jc w:val="left"/>
              <w:textAlignment w:val="baseline"/>
              <w:rPr>
                <w:rFonts w:ascii="Arial" w:hAnsi="Arial" w:eastAsia="Arial" w:cs="Arial"/>
                <w:snapToGrid w:val="0"/>
                <w:color w:val="000000"/>
                <w:kern w:val="0"/>
                <w:sz w:val="21"/>
                <w:lang w:eastAsia="en-US"/>
              </w:rPr>
            </w:pPr>
          </w:p>
          <w:p w14:paraId="31BB1A9A">
            <w:pPr>
              <w:widowControl/>
              <w:kinsoku w:val="0"/>
              <w:autoSpaceDE w:val="0"/>
              <w:autoSpaceDN w:val="0"/>
              <w:adjustRightInd w:val="0"/>
              <w:snapToGrid w:val="0"/>
              <w:spacing w:line="292" w:lineRule="auto"/>
              <w:jc w:val="left"/>
              <w:textAlignment w:val="baseline"/>
              <w:rPr>
                <w:rFonts w:ascii="Arial" w:hAnsi="Arial" w:eastAsia="Arial" w:cs="Arial"/>
                <w:snapToGrid w:val="0"/>
                <w:color w:val="000000"/>
                <w:kern w:val="0"/>
                <w:sz w:val="21"/>
                <w:lang w:eastAsia="en-US"/>
              </w:rPr>
            </w:pPr>
          </w:p>
          <w:p w14:paraId="10E8670E">
            <w:pPr>
              <w:kinsoku w:val="0"/>
              <w:autoSpaceDE w:val="0"/>
              <w:autoSpaceDN w:val="0"/>
              <w:adjustRightInd w:val="0"/>
              <w:snapToGrid w:val="0"/>
              <w:spacing w:before="59" w:line="183" w:lineRule="auto"/>
              <w:ind w:left="30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3</w:t>
            </w:r>
          </w:p>
        </w:tc>
        <w:tc>
          <w:tcPr>
            <w:tcW w:w="3400" w:type="dxa"/>
            <w:vAlign w:val="top"/>
          </w:tcPr>
          <w:p w14:paraId="4851B172">
            <w:pPr>
              <w:kinsoku w:val="0"/>
              <w:autoSpaceDE w:val="0"/>
              <w:autoSpaceDN w:val="0"/>
              <w:adjustRightInd w:val="0"/>
              <w:snapToGrid w:val="0"/>
              <w:spacing w:before="40" w:line="220" w:lineRule="auto"/>
              <w:ind w:left="1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加油岛的设计应符合下列规定：</w:t>
            </w:r>
          </w:p>
          <w:p w14:paraId="09DC6E96">
            <w:pPr>
              <w:kinsoku w:val="0"/>
              <w:autoSpaceDE w:val="0"/>
              <w:autoSpaceDN w:val="0"/>
              <w:adjustRightInd w:val="0"/>
              <w:snapToGrid w:val="0"/>
              <w:spacing w:before="19" w:line="230" w:lineRule="auto"/>
              <w:ind w:left="102" w:right="121" w:firstLine="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w:t>
            </w:r>
            <w:r>
              <w:rPr>
                <w:rFonts w:ascii="Times New Roman" w:hAnsi="Times New Roman" w:eastAsia="Times New Roman" w:cs="Times New Roman"/>
                <w:snapToGrid w:val="0"/>
                <w:color w:val="000000"/>
                <w:spacing w:val="-3"/>
                <w:kern w:val="0"/>
                <w:sz w:val="18"/>
                <w:szCs w:val="18"/>
                <w:lang w:val="en-US" w:eastAsia="en-US" w:bidi="ar-SA"/>
              </w:rPr>
              <w:t>1</w:t>
            </w:r>
            <w:r>
              <w:rPr>
                <w:rFonts w:ascii="宋体" w:hAnsi="宋体" w:eastAsia="宋体" w:cs="宋体"/>
                <w:snapToGrid w:val="0"/>
                <w:color w:val="000000"/>
                <w:spacing w:val="-3"/>
                <w:kern w:val="0"/>
                <w:sz w:val="18"/>
                <w:szCs w:val="18"/>
                <w:lang w:val="en-US" w:eastAsia="en-US" w:bidi="ar-SA"/>
              </w:rPr>
              <w:t>）加油岛应高出停车位的地坪</w:t>
            </w:r>
            <w:r>
              <w:rPr>
                <w:rFonts w:ascii="宋体" w:hAnsi="宋体" w:eastAsia="宋体" w:cs="宋体"/>
                <w:snapToGrid w:val="0"/>
                <w:color w:val="000000"/>
                <w:spacing w:val="-45"/>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0.</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15m</w:t>
            </w:r>
            <w:r>
              <w:rPr>
                <w:rFonts w:ascii="宋体" w:hAnsi="宋体" w:eastAsia="宋体" w:cs="宋体"/>
                <w:snapToGrid w:val="0"/>
                <w:color w:val="000000"/>
                <w:spacing w:val="-3"/>
                <w:kern w:val="0"/>
                <w:sz w:val="18"/>
                <w:szCs w:val="18"/>
                <w:lang w:val="en-US" w:eastAsia="en-US" w:bidi="ar-SA"/>
              </w:rPr>
              <w:t>~</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0.2m</w:t>
            </w:r>
            <w:r>
              <w:rPr>
                <w:rFonts w:ascii="宋体" w:hAnsi="宋体" w:eastAsia="宋体" w:cs="宋体"/>
                <w:snapToGrid w:val="0"/>
                <w:color w:val="000000"/>
                <w:spacing w:val="-2"/>
                <w:kern w:val="0"/>
                <w:sz w:val="18"/>
                <w:szCs w:val="18"/>
                <w:lang w:val="en-US" w:eastAsia="en-US" w:bidi="ar-SA"/>
              </w:rPr>
              <w:t>；</w:t>
            </w:r>
          </w:p>
          <w:p w14:paraId="4071D0E5">
            <w:pPr>
              <w:kinsoku w:val="0"/>
              <w:autoSpaceDE w:val="0"/>
              <w:autoSpaceDN w:val="0"/>
              <w:adjustRightInd w:val="0"/>
              <w:snapToGrid w:val="0"/>
              <w:spacing w:before="16" w:line="220" w:lineRule="auto"/>
              <w:ind w:left="11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w:t>
            </w:r>
            <w:r>
              <w:rPr>
                <w:rFonts w:ascii="Times New Roman" w:hAnsi="Times New Roman" w:eastAsia="Times New Roman" w:cs="Times New Roman"/>
                <w:snapToGrid w:val="0"/>
                <w:color w:val="000000"/>
                <w:spacing w:val="-2"/>
                <w:kern w:val="0"/>
                <w:sz w:val="18"/>
                <w:szCs w:val="18"/>
                <w:lang w:val="en-US" w:eastAsia="en-US" w:bidi="ar-SA"/>
              </w:rPr>
              <w:t>2</w:t>
            </w:r>
            <w:r>
              <w:rPr>
                <w:rFonts w:ascii="宋体" w:hAnsi="宋体" w:eastAsia="宋体" w:cs="宋体"/>
                <w:snapToGrid w:val="0"/>
                <w:color w:val="000000"/>
                <w:spacing w:val="-2"/>
                <w:kern w:val="0"/>
                <w:sz w:val="18"/>
                <w:szCs w:val="18"/>
                <w:lang w:val="en-US" w:eastAsia="en-US" w:bidi="ar-SA"/>
              </w:rPr>
              <w:t>）加油岛两端的宽度不应小于</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1.2m</w:t>
            </w:r>
            <w:r>
              <w:rPr>
                <w:rFonts w:ascii="宋体" w:hAnsi="宋体" w:eastAsia="宋体" w:cs="宋体"/>
                <w:snapToGrid w:val="0"/>
                <w:color w:val="000000"/>
                <w:spacing w:val="-2"/>
                <w:kern w:val="0"/>
                <w:sz w:val="18"/>
                <w:szCs w:val="18"/>
                <w:lang w:val="en-US" w:eastAsia="en-US" w:bidi="ar-SA"/>
              </w:rPr>
              <w:t>；</w:t>
            </w:r>
          </w:p>
          <w:p w14:paraId="3E994D55">
            <w:pPr>
              <w:kinsoku w:val="0"/>
              <w:autoSpaceDE w:val="0"/>
              <w:autoSpaceDN w:val="0"/>
              <w:adjustRightInd w:val="0"/>
              <w:snapToGrid w:val="0"/>
              <w:spacing w:before="17" w:line="232" w:lineRule="auto"/>
              <w:ind w:left="105" w:right="107" w:firstLine="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3</w:t>
            </w:r>
            <w:r>
              <w:rPr>
                <w:rFonts w:ascii="宋体" w:hAnsi="宋体" w:eastAsia="宋体" w:cs="宋体"/>
                <w:snapToGrid w:val="0"/>
                <w:color w:val="000000"/>
                <w:spacing w:val="1"/>
                <w:kern w:val="0"/>
                <w:sz w:val="18"/>
                <w:szCs w:val="18"/>
                <w:lang w:val="en-US" w:eastAsia="en-US" w:bidi="ar-SA"/>
              </w:rPr>
              <w:t>）加油岛上的罩棚立柱边缘距岛端部</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不应小于</w:t>
            </w:r>
            <w:r>
              <w:rPr>
                <w:rFonts w:ascii="宋体" w:hAnsi="宋体" w:eastAsia="宋体" w:cs="宋体"/>
                <w:snapToGrid w:val="0"/>
                <w:color w:val="000000"/>
                <w:spacing w:val="-40"/>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0.6m</w:t>
            </w:r>
            <w:r>
              <w:rPr>
                <w:rFonts w:ascii="宋体" w:hAnsi="宋体" w:eastAsia="宋体" w:cs="宋体"/>
                <w:snapToGrid w:val="0"/>
                <w:color w:val="000000"/>
                <w:spacing w:val="-2"/>
                <w:kern w:val="0"/>
                <w:sz w:val="18"/>
                <w:szCs w:val="18"/>
                <w:lang w:val="en-US" w:eastAsia="en-US" w:bidi="ar-SA"/>
              </w:rPr>
              <w:t>；</w:t>
            </w:r>
          </w:p>
          <w:p w14:paraId="25C72D91">
            <w:pPr>
              <w:kinsoku w:val="0"/>
              <w:autoSpaceDE w:val="0"/>
              <w:autoSpaceDN w:val="0"/>
              <w:adjustRightInd w:val="0"/>
              <w:snapToGrid w:val="0"/>
              <w:spacing w:before="17" w:line="229" w:lineRule="auto"/>
              <w:ind w:left="103" w:right="107" w:firstLine="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4</w:t>
            </w:r>
            <w:r>
              <w:rPr>
                <w:rFonts w:ascii="宋体" w:hAnsi="宋体" w:eastAsia="宋体" w:cs="宋体"/>
                <w:snapToGrid w:val="0"/>
                <w:color w:val="000000"/>
                <w:spacing w:val="1"/>
                <w:kern w:val="0"/>
                <w:sz w:val="18"/>
                <w:szCs w:val="18"/>
                <w:lang w:val="en-US" w:eastAsia="en-US" w:bidi="ar-SA"/>
              </w:rPr>
              <w:t>）靠近岛端部的加油机应有防止车辆</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误碰撞的措施和警示标识。采用钢管防撞</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柱（栏）</w:t>
            </w:r>
            <w:r>
              <w:rPr>
                <w:rFonts w:ascii="宋体" w:hAnsi="宋体" w:eastAsia="宋体" w:cs="宋体"/>
                <w:snapToGrid w:val="0"/>
                <w:color w:val="000000"/>
                <w:spacing w:val="-17"/>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时</w:t>
            </w:r>
            <w:r>
              <w:rPr>
                <w:rFonts w:ascii="宋体" w:hAnsi="宋体" w:eastAsia="宋体" w:cs="宋体"/>
                <w:snapToGrid w:val="0"/>
                <w:color w:val="000000"/>
                <w:spacing w:val="-52"/>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，其钢管的直径不应小于</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100mm</w:t>
            </w:r>
            <w:r>
              <w:rPr>
                <w:rFonts w:ascii="Times New Roman" w:hAnsi="Times New Roman" w:eastAsia="Times New Roman" w:cs="Times New Roman"/>
                <w:snapToGrid w:val="0"/>
                <w:color w:val="000000"/>
                <w:spacing w:val="-19"/>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，高度不应小于</w:t>
            </w:r>
            <w:r>
              <w:rPr>
                <w:rFonts w:ascii="宋体" w:hAnsi="宋体" w:eastAsia="宋体" w:cs="宋体"/>
                <w:snapToGrid w:val="0"/>
                <w:color w:val="000000"/>
                <w:spacing w:val="-34"/>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0.5m</w:t>
            </w:r>
            <w:r>
              <w:rPr>
                <w:rFonts w:ascii="Times New Roman" w:hAnsi="Times New Roman" w:eastAsia="Times New Roman" w:cs="Times New Roman"/>
                <w:snapToGrid w:val="0"/>
                <w:color w:val="000000"/>
                <w:spacing w:val="-19"/>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，并应设置 </w:t>
            </w:r>
            <w:r>
              <w:rPr>
                <w:rFonts w:ascii="宋体" w:hAnsi="宋体" w:eastAsia="宋体" w:cs="宋体"/>
                <w:snapToGrid w:val="0"/>
                <w:color w:val="000000"/>
                <w:spacing w:val="-3"/>
                <w:kern w:val="0"/>
                <w:sz w:val="18"/>
                <w:szCs w:val="18"/>
                <w:lang w:val="en-US" w:eastAsia="en-US" w:bidi="ar-SA"/>
              </w:rPr>
              <w:t>牢固。</w:t>
            </w:r>
          </w:p>
        </w:tc>
        <w:tc>
          <w:tcPr>
            <w:tcW w:w="1962" w:type="dxa"/>
            <w:vAlign w:val="top"/>
          </w:tcPr>
          <w:p w14:paraId="2380FD29">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6E999C32">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27DF7B78">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0C0E5CA0">
            <w:pPr>
              <w:kinsoku w:val="0"/>
              <w:autoSpaceDE w:val="0"/>
              <w:autoSpaceDN w:val="0"/>
              <w:adjustRightInd w:val="0"/>
              <w:snapToGrid w:val="0"/>
              <w:spacing w:before="59" w:line="220" w:lineRule="auto"/>
              <w:ind w:left="18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w:t>
            </w:r>
          </w:p>
          <w:p w14:paraId="0625887B">
            <w:pPr>
              <w:kinsoku w:val="0"/>
              <w:autoSpaceDE w:val="0"/>
              <w:autoSpaceDN w:val="0"/>
              <w:adjustRightInd w:val="0"/>
              <w:snapToGrid w:val="0"/>
              <w:spacing w:before="18" w:line="220" w:lineRule="auto"/>
              <w:ind w:left="231"/>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站技术标准》（</w:t>
            </w:r>
            <w:r>
              <w:rPr>
                <w:rFonts w:ascii="Times New Roman" w:hAnsi="Times New Roman" w:eastAsia="Times New Roman" w:cs="Times New Roman"/>
                <w:snapToGrid w:val="0"/>
                <w:color w:val="000000"/>
                <w:spacing w:val="-1"/>
                <w:kern w:val="0"/>
                <w:sz w:val="18"/>
                <w:szCs w:val="18"/>
                <w:lang w:val="en-US" w:eastAsia="en-US" w:bidi="ar-SA"/>
              </w:rPr>
              <w:t>GB</w:t>
            </w:r>
          </w:p>
          <w:p w14:paraId="34FD27F5">
            <w:pPr>
              <w:kinsoku w:val="0"/>
              <w:autoSpaceDE w:val="0"/>
              <w:autoSpaceDN w:val="0"/>
              <w:adjustRightInd w:val="0"/>
              <w:snapToGrid w:val="0"/>
              <w:spacing w:before="18" w:line="220" w:lineRule="auto"/>
              <w:ind w:left="112"/>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50156-2021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1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14.2.3</w:t>
            </w:r>
          </w:p>
          <w:p w14:paraId="095D60BE">
            <w:pPr>
              <w:kinsoku w:val="0"/>
              <w:autoSpaceDE w:val="0"/>
              <w:autoSpaceDN w:val="0"/>
              <w:adjustRightInd w:val="0"/>
              <w:snapToGrid w:val="0"/>
              <w:spacing w:before="18" w:line="220" w:lineRule="auto"/>
              <w:ind w:left="89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条</w:t>
            </w:r>
          </w:p>
        </w:tc>
        <w:tc>
          <w:tcPr>
            <w:tcW w:w="2500" w:type="dxa"/>
            <w:vAlign w:val="top"/>
          </w:tcPr>
          <w:p w14:paraId="46A67204">
            <w:pPr>
              <w:widowControl/>
              <w:kinsoku w:val="0"/>
              <w:autoSpaceDE w:val="0"/>
              <w:autoSpaceDN w:val="0"/>
              <w:adjustRightInd w:val="0"/>
              <w:snapToGrid w:val="0"/>
              <w:spacing w:line="328" w:lineRule="auto"/>
              <w:jc w:val="left"/>
              <w:textAlignment w:val="baseline"/>
              <w:rPr>
                <w:rFonts w:ascii="Arial" w:hAnsi="Arial" w:eastAsia="Arial" w:cs="Arial"/>
                <w:snapToGrid w:val="0"/>
                <w:color w:val="000000"/>
                <w:kern w:val="0"/>
                <w:sz w:val="21"/>
                <w:lang w:eastAsia="en-US"/>
              </w:rPr>
            </w:pPr>
          </w:p>
          <w:p w14:paraId="3ACD25A2">
            <w:pPr>
              <w:kinsoku w:val="0"/>
              <w:autoSpaceDE w:val="0"/>
              <w:autoSpaceDN w:val="0"/>
              <w:adjustRightInd w:val="0"/>
              <w:snapToGrid w:val="0"/>
              <w:spacing w:before="59" w:line="225" w:lineRule="auto"/>
              <w:ind w:left="116" w:right="136" w:firstLine="1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1</w:t>
            </w:r>
            <w:r>
              <w:rPr>
                <w:rFonts w:ascii="宋体" w:hAnsi="宋体" w:eastAsia="宋体" w:cs="宋体"/>
                <w:snapToGrid w:val="0"/>
                <w:color w:val="000000"/>
                <w:spacing w:val="-2"/>
                <w:kern w:val="0"/>
                <w:sz w:val="18"/>
                <w:szCs w:val="18"/>
                <w:lang w:val="en-US" w:eastAsia="en-US" w:bidi="ar-SA"/>
              </w:rPr>
              <w:t>）加油岛高出停车位的地坪</w:t>
            </w:r>
            <w:r>
              <w:rPr>
                <w:rFonts w:ascii="宋体" w:hAnsi="宋体" w:eastAsia="宋体" w:cs="宋体"/>
                <w:snapToGrid w:val="0"/>
                <w:color w:val="000000"/>
                <w:spacing w:val="2"/>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0.2m</w:t>
            </w:r>
            <w:r>
              <w:rPr>
                <w:rFonts w:ascii="宋体" w:hAnsi="宋体" w:eastAsia="宋体" w:cs="宋体"/>
                <w:snapToGrid w:val="0"/>
                <w:color w:val="000000"/>
                <w:spacing w:val="-2"/>
                <w:kern w:val="0"/>
                <w:sz w:val="18"/>
                <w:szCs w:val="18"/>
                <w:lang w:val="en-US" w:eastAsia="en-US" w:bidi="ar-SA"/>
              </w:rPr>
              <w:t>。</w:t>
            </w:r>
          </w:p>
          <w:p w14:paraId="0CB1E3AD">
            <w:pPr>
              <w:kinsoku w:val="0"/>
              <w:autoSpaceDE w:val="0"/>
              <w:autoSpaceDN w:val="0"/>
              <w:adjustRightInd w:val="0"/>
              <w:snapToGrid w:val="0"/>
              <w:spacing w:before="25" w:line="226" w:lineRule="auto"/>
              <w:ind w:left="130" w:right="136" w:hanging="17"/>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2</w:t>
            </w:r>
            <w:r>
              <w:rPr>
                <w:rFonts w:ascii="宋体" w:hAnsi="宋体" w:eastAsia="宋体" w:cs="宋体"/>
                <w:snapToGrid w:val="0"/>
                <w:color w:val="000000"/>
                <w:spacing w:val="-1"/>
                <w:kern w:val="0"/>
                <w:sz w:val="18"/>
                <w:szCs w:val="18"/>
                <w:lang w:val="en-US" w:eastAsia="en-US" w:bidi="ar-SA"/>
              </w:rPr>
              <w:t>）加油岛两端的宽度不小于</w:t>
            </w:r>
            <w:r>
              <w:rPr>
                <w:rFonts w:ascii="宋体" w:hAnsi="宋体" w:eastAsia="宋体" w:cs="宋体"/>
                <w:snapToGrid w:val="0"/>
                <w:color w:val="000000"/>
                <w:spacing w:val="7"/>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1.2m</w:t>
            </w:r>
            <w:r>
              <w:rPr>
                <w:rFonts w:ascii="宋体" w:hAnsi="宋体" w:eastAsia="宋体" w:cs="宋体"/>
                <w:snapToGrid w:val="0"/>
                <w:color w:val="000000"/>
                <w:spacing w:val="-5"/>
                <w:kern w:val="0"/>
                <w:sz w:val="18"/>
                <w:szCs w:val="18"/>
                <w:lang w:val="en-US" w:eastAsia="en-US" w:bidi="ar-SA"/>
              </w:rPr>
              <w:t>。</w:t>
            </w:r>
          </w:p>
          <w:p w14:paraId="385B062C">
            <w:pPr>
              <w:kinsoku w:val="0"/>
              <w:autoSpaceDE w:val="0"/>
              <w:autoSpaceDN w:val="0"/>
              <w:adjustRightInd w:val="0"/>
              <w:snapToGrid w:val="0"/>
              <w:spacing w:before="28" w:line="229" w:lineRule="auto"/>
              <w:ind w:left="116" w:right="95" w:firstLine="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3</w:t>
            </w:r>
            <w:r>
              <w:rPr>
                <w:rFonts w:ascii="宋体" w:hAnsi="宋体" w:eastAsia="宋体" w:cs="宋体"/>
                <w:snapToGrid w:val="0"/>
                <w:color w:val="000000"/>
                <w:spacing w:val="2"/>
                <w:kern w:val="0"/>
                <w:sz w:val="18"/>
                <w:szCs w:val="18"/>
                <w:lang w:val="en-US" w:eastAsia="en-US" w:bidi="ar-SA"/>
              </w:rPr>
              <w:t>）加油岛上的罩棚立柱边缘</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距岛端部大于</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0.6m</w:t>
            </w:r>
            <w:r>
              <w:rPr>
                <w:rFonts w:ascii="宋体" w:hAnsi="宋体" w:eastAsia="宋体" w:cs="宋体"/>
                <w:snapToGrid w:val="0"/>
                <w:color w:val="000000"/>
                <w:spacing w:val="-2"/>
                <w:kern w:val="0"/>
                <w:sz w:val="18"/>
                <w:szCs w:val="18"/>
                <w:lang w:val="en-US" w:eastAsia="en-US" w:bidi="ar-SA"/>
              </w:rPr>
              <w:t>。</w:t>
            </w:r>
          </w:p>
          <w:p w14:paraId="78568890">
            <w:pPr>
              <w:kinsoku w:val="0"/>
              <w:autoSpaceDE w:val="0"/>
              <w:autoSpaceDN w:val="0"/>
              <w:adjustRightInd w:val="0"/>
              <w:snapToGrid w:val="0"/>
              <w:spacing w:before="18" w:line="231" w:lineRule="auto"/>
              <w:ind w:left="115" w:right="95" w:hanging="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4</w:t>
            </w:r>
            <w:r>
              <w:rPr>
                <w:rFonts w:ascii="宋体" w:hAnsi="宋体" w:eastAsia="宋体" w:cs="宋体"/>
                <w:snapToGrid w:val="0"/>
                <w:color w:val="000000"/>
                <w:spacing w:val="2"/>
                <w:kern w:val="0"/>
                <w:sz w:val="18"/>
                <w:szCs w:val="18"/>
                <w:lang w:val="en-US" w:eastAsia="en-US" w:bidi="ar-SA"/>
              </w:rPr>
              <w:t>）加油岛端部设有防碰撞措</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施和警示标识。</w:t>
            </w:r>
          </w:p>
        </w:tc>
        <w:tc>
          <w:tcPr>
            <w:tcW w:w="724" w:type="dxa"/>
            <w:tcBorders>
              <w:right w:val="single" w:color="000000" w:sz="10" w:space="0"/>
            </w:tcBorders>
            <w:vAlign w:val="top"/>
          </w:tcPr>
          <w:p w14:paraId="32773D08">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021B05D4">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33BBBB30">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06B6089A">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35990A84">
            <w:pPr>
              <w:kinsoku w:val="0"/>
              <w:autoSpaceDE w:val="0"/>
              <w:autoSpaceDN w:val="0"/>
              <w:adjustRightInd w:val="0"/>
              <w:snapToGrid w:val="0"/>
              <w:spacing w:before="58" w:line="230" w:lineRule="auto"/>
              <w:ind w:left="192" w:right="16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tc>
      </w:tr>
      <w:tr w14:paraId="3822FD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7" w:hRule="atLeast"/>
        </w:trPr>
        <w:tc>
          <w:tcPr>
            <w:tcW w:w="703" w:type="dxa"/>
            <w:tcBorders>
              <w:left w:val="single" w:color="000000" w:sz="10" w:space="0"/>
            </w:tcBorders>
            <w:vAlign w:val="top"/>
          </w:tcPr>
          <w:p w14:paraId="10DFAAF6">
            <w:pPr>
              <w:widowControl/>
              <w:kinsoku w:val="0"/>
              <w:autoSpaceDE w:val="0"/>
              <w:autoSpaceDN w:val="0"/>
              <w:adjustRightInd w:val="0"/>
              <w:snapToGrid w:val="0"/>
              <w:spacing w:line="361" w:lineRule="auto"/>
              <w:jc w:val="left"/>
              <w:textAlignment w:val="baseline"/>
              <w:rPr>
                <w:rFonts w:ascii="Arial" w:hAnsi="Arial" w:eastAsia="Arial" w:cs="Arial"/>
                <w:snapToGrid w:val="0"/>
                <w:color w:val="000000"/>
                <w:kern w:val="0"/>
                <w:sz w:val="21"/>
                <w:lang w:eastAsia="en-US"/>
              </w:rPr>
            </w:pPr>
          </w:p>
          <w:p w14:paraId="1256531E">
            <w:pPr>
              <w:kinsoku w:val="0"/>
              <w:autoSpaceDE w:val="0"/>
              <w:autoSpaceDN w:val="0"/>
              <w:adjustRightInd w:val="0"/>
              <w:snapToGrid w:val="0"/>
              <w:spacing w:before="58" w:line="183" w:lineRule="auto"/>
              <w:ind w:left="29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4</w:t>
            </w:r>
          </w:p>
        </w:tc>
        <w:tc>
          <w:tcPr>
            <w:tcW w:w="3400" w:type="dxa"/>
            <w:vAlign w:val="top"/>
          </w:tcPr>
          <w:p w14:paraId="7D793C46">
            <w:pPr>
              <w:kinsoku w:val="0"/>
              <w:autoSpaceDE w:val="0"/>
              <w:autoSpaceDN w:val="0"/>
              <w:adjustRightInd w:val="0"/>
              <w:snapToGrid w:val="0"/>
              <w:spacing w:before="159" w:line="233" w:lineRule="auto"/>
              <w:ind w:left="103" w:right="107"/>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站房的一部分位于作业区内时，该站房的</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建筑面积不宜超过</w:t>
            </w:r>
            <w:r>
              <w:rPr>
                <w:rFonts w:ascii="宋体" w:hAnsi="宋体" w:eastAsia="宋体" w:cs="宋体"/>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300m2</w:t>
            </w:r>
            <w:r>
              <w:rPr>
                <w:rFonts w:ascii="宋体" w:hAnsi="宋体" w:eastAsia="宋体" w:cs="宋体"/>
                <w:snapToGrid w:val="0"/>
                <w:color w:val="000000"/>
                <w:spacing w:val="-4"/>
                <w:kern w:val="0"/>
                <w:sz w:val="18"/>
                <w:szCs w:val="18"/>
                <w:lang w:val="en-US" w:eastAsia="en-US" w:bidi="ar-SA"/>
              </w:rPr>
              <w:t>，且该站房内不</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得有明火设备。</w:t>
            </w:r>
          </w:p>
        </w:tc>
        <w:tc>
          <w:tcPr>
            <w:tcW w:w="1962" w:type="dxa"/>
            <w:vAlign w:val="top"/>
          </w:tcPr>
          <w:p w14:paraId="3BDEDB1C">
            <w:pPr>
              <w:kinsoku w:val="0"/>
              <w:autoSpaceDE w:val="0"/>
              <w:autoSpaceDN w:val="0"/>
              <w:adjustRightInd w:val="0"/>
              <w:snapToGrid w:val="0"/>
              <w:spacing w:before="45" w:line="220" w:lineRule="auto"/>
              <w:ind w:left="18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w:t>
            </w:r>
          </w:p>
          <w:p w14:paraId="1314A457">
            <w:pPr>
              <w:kinsoku w:val="0"/>
              <w:autoSpaceDE w:val="0"/>
              <w:autoSpaceDN w:val="0"/>
              <w:adjustRightInd w:val="0"/>
              <w:snapToGrid w:val="0"/>
              <w:spacing w:before="18" w:line="220" w:lineRule="auto"/>
              <w:ind w:left="231"/>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站技术标准》（</w:t>
            </w:r>
            <w:r>
              <w:rPr>
                <w:rFonts w:ascii="Times New Roman" w:hAnsi="Times New Roman" w:eastAsia="Times New Roman" w:cs="Times New Roman"/>
                <w:snapToGrid w:val="0"/>
                <w:color w:val="000000"/>
                <w:spacing w:val="-1"/>
                <w:kern w:val="0"/>
                <w:sz w:val="18"/>
                <w:szCs w:val="18"/>
                <w:lang w:val="en-US" w:eastAsia="en-US" w:bidi="ar-SA"/>
              </w:rPr>
              <w:t>GB</w:t>
            </w:r>
          </w:p>
          <w:p w14:paraId="0170FC97">
            <w:pPr>
              <w:kinsoku w:val="0"/>
              <w:autoSpaceDE w:val="0"/>
              <w:autoSpaceDN w:val="0"/>
              <w:adjustRightInd w:val="0"/>
              <w:snapToGrid w:val="0"/>
              <w:spacing w:before="18" w:line="220" w:lineRule="auto"/>
              <w:ind w:left="112"/>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Times New Roman" w:hAnsi="Times New Roman" w:eastAsia="Times New Roman" w:cs="Times New Roman"/>
                <w:snapToGrid w:val="0"/>
                <w:color w:val="000000"/>
                <w:spacing w:val="-5"/>
                <w:kern w:val="0"/>
                <w:sz w:val="18"/>
                <w:szCs w:val="18"/>
                <w:lang w:val="en-US" w:eastAsia="en-US" w:bidi="ar-SA"/>
              </w:rPr>
              <w:t>50156-2021</w:t>
            </w:r>
            <w:r>
              <w:rPr>
                <w:rFonts w:ascii="宋体" w:hAnsi="宋体" w:eastAsia="宋体" w:cs="宋体"/>
                <w:snapToGrid w:val="0"/>
                <w:color w:val="000000"/>
                <w:spacing w:val="-5"/>
                <w:kern w:val="0"/>
                <w:sz w:val="18"/>
                <w:szCs w:val="18"/>
                <w:lang w:val="en-US" w:eastAsia="en-US" w:bidi="ar-SA"/>
              </w:rPr>
              <w:t>）第</w:t>
            </w:r>
            <w:r>
              <w:rPr>
                <w:rFonts w:ascii="宋体" w:hAnsi="宋体" w:eastAsia="宋体" w:cs="宋体"/>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14.2.10</w:t>
            </w:r>
          </w:p>
          <w:p w14:paraId="1D9D5887">
            <w:pPr>
              <w:kinsoku w:val="0"/>
              <w:autoSpaceDE w:val="0"/>
              <w:autoSpaceDN w:val="0"/>
              <w:adjustRightInd w:val="0"/>
              <w:snapToGrid w:val="0"/>
              <w:spacing w:before="17" w:line="188" w:lineRule="auto"/>
              <w:ind w:left="89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条</w:t>
            </w:r>
          </w:p>
        </w:tc>
        <w:tc>
          <w:tcPr>
            <w:tcW w:w="2500" w:type="dxa"/>
            <w:vAlign w:val="top"/>
          </w:tcPr>
          <w:p w14:paraId="4F92C761">
            <w:pPr>
              <w:kinsoku w:val="0"/>
              <w:autoSpaceDE w:val="0"/>
              <w:autoSpaceDN w:val="0"/>
              <w:adjustRightInd w:val="0"/>
              <w:snapToGrid w:val="0"/>
              <w:spacing w:before="279" w:line="229" w:lineRule="auto"/>
              <w:ind w:left="117" w:right="9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站房不在加油作业区，站房内</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无明火设备。</w:t>
            </w:r>
          </w:p>
        </w:tc>
        <w:tc>
          <w:tcPr>
            <w:tcW w:w="724" w:type="dxa"/>
            <w:tcBorders>
              <w:right w:val="single" w:color="000000" w:sz="10" w:space="0"/>
            </w:tcBorders>
            <w:vAlign w:val="top"/>
          </w:tcPr>
          <w:p w14:paraId="2912E0DE">
            <w:pPr>
              <w:kinsoku w:val="0"/>
              <w:autoSpaceDE w:val="0"/>
              <w:autoSpaceDN w:val="0"/>
              <w:adjustRightInd w:val="0"/>
              <w:snapToGrid w:val="0"/>
              <w:spacing w:before="278" w:line="230" w:lineRule="auto"/>
              <w:ind w:left="192" w:right="16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tc>
      </w:tr>
      <w:tr w14:paraId="4D2D18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7" w:hRule="atLeast"/>
        </w:trPr>
        <w:tc>
          <w:tcPr>
            <w:tcW w:w="703" w:type="dxa"/>
            <w:tcBorders>
              <w:left w:val="single" w:color="000000" w:sz="10" w:space="0"/>
            </w:tcBorders>
            <w:vAlign w:val="top"/>
          </w:tcPr>
          <w:p w14:paraId="3E257AB0">
            <w:pPr>
              <w:widowControl/>
              <w:kinsoku w:val="0"/>
              <w:autoSpaceDE w:val="0"/>
              <w:autoSpaceDN w:val="0"/>
              <w:adjustRightInd w:val="0"/>
              <w:snapToGrid w:val="0"/>
              <w:spacing w:line="366" w:lineRule="auto"/>
              <w:jc w:val="left"/>
              <w:textAlignment w:val="baseline"/>
              <w:rPr>
                <w:rFonts w:ascii="Arial" w:hAnsi="Arial" w:eastAsia="Arial" w:cs="Arial"/>
                <w:snapToGrid w:val="0"/>
                <w:color w:val="000000"/>
                <w:kern w:val="0"/>
                <w:sz w:val="21"/>
                <w:lang w:eastAsia="en-US"/>
              </w:rPr>
            </w:pPr>
          </w:p>
          <w:p w14:paraId="1C32A750">
            <w:pPr>
              <w:kinsoku w:val="0"/>
              <w:autoSpaceDE w:val="0"/>
              <w:autoSpaceDN w:val="0"/>
              <w:adjustRightInd w:val="0"/>
              <w:snapToGrid w:val="0"/>
              <w:spacing w:before="58" w:line="182" w:lineRule="auto"/>
              <w:ind w:left="30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5</w:t>
            </w:r>
          </w:p>
        </w:tc>
        <w:tc>
          <w:tcPr>
            <w:tcW w:w="3400" w:type="dxa"/>
            <w:vAlign w:val="top"/>
          </w:tcPr>
          <w:p w14:paraId="574A6301">
            <w:pPr>
              <w:widowControl/>
              <w:kinsoku w:val="0"/>
              <w:autoSpaceDE w:val="0"/>
              <w:autoSpaceDN w:val="0"/>
              <w:adjustRightInd w:val="0"/>
              <w:snapToGrid w:val="0"/>
              <w:spacing w:line="336" w:lineRule="auto"/>
              <w:jc w:val="left"/>
              <w:textAlignment w:val="baseline"/>
              <w:rPr>
                <w:rFonts w:ascii="Arial" w:hAnsi="Arial" w:eastAsia="Arial" w:cs="Arial"/>
                <w:snapToGrid w:val="0"/>
                <w:color w:val="000000"/>
                <w:kern w:val="0"/>
                <w:sz w:val="21"/>
                <w:lang w:eastAsia="en-US"/>
              </w:rPr>
            </w:pPr>
          </w:p>
          <w:p w14:paraId="3660897B">
            <w:pPr>
              <w:kinsoku w:val="0"/>
              <w:autoSpaceDE w:val="0"/>
              <w:autoSpaceDN w:val="0"/>
              <w:adjustRightInd w:val="0"/>
              <w:snapToGrid w:val="0"/>
              <w:spacing w:before="59" w:line="220" w:lineRule="auto"/>
              <w:ind w:left="1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加油站内不应建地下和半地下室。</w:t>
            </w:r>
          </w:p>
        </w:tc>
        <w:tc>
          <w:tcPr>
            <w:tcW w:w="1962" w:type="dxa"/>
            <w:vAlign w:val="top"/>
          </w:tcPr>
          <w:p w14:paraId="3B44485D">
            <w:pPr>
              <w:kinsoku w:val="0"/>
              <w:autoSpaceDE w:val="0"/>
              <w:autoSpaceDN w:val="0"/>
              <w:adjustRightInd w:val="0"/>
              <w:snapToGrid w:val="0"/>
              <w:spacing w:before="47" w:line="220" w:lineRule="auto"/>
              <w:ind w:left="18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w:t>
            </w:r>
          </w:p>
          <w:p w14:paraId="14F15084">
            <w:pPr>
              <w:kinsoku w:val="0"/>
              <w:autoSpaceDE w:val="0"/>
              <w:autoSpaceDN w:val="0"/>
              <w:adjustRightInd w:val="0"/>
              <w:snapToGrid w:val="0"/>
              <w:spacing w:before="18" w:line="220" w:lineRule="auto"/>
              <w:ind w:left="231"/>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站技术标准》（</w:t>
            </w:r>
            <w:r>
              <w:rPr>
                <w:rFonts w:ascii="Times New Roman" w:hAnsi="Times New Roman" w:eastAsia="Times New Roman" w:cs="Times New Roman"/>
                <w:snapToGrid w:val="0"/>
                <w:color w:val="000000"/>
                <w:spacing w:val="-1"/>
                <w:kern w:val="0"/>
                <w:sz w:val="18"/>
                <w:szCs w:val="18"/>
                <w:lang w:val="en-US" w:eastAsia="en-US" w:bidi="ar-SA"/>
              </w:rPr>
              <w:t>GB</w:t>
            </w:r>
          </w:p>
          <w:p w14:paraId="1C4B544A">
            <w:pPr>
              <w:kinsoku w:val="0"/>
              <w:autoSpaceDE w:val="0"/>
              <w:autoSpaceDN w:val="0"/>
              <w:adjustRightInd w:val="0"/>
              <w:snapToGrid w:val="0"/>
              <w:spacing w:before="18" w:line="220" w:lineRule="auto"/>
              <w:ind w:left="112"/>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Times New Roman" w:hAnsi="Times New Roman" w:eastAsia="Times New Roman" w:cs="Times New Roman"/>
                <w:snapToGrid w:val="0"/>
                <w:color w:val="000000"/>
                <w:spacing w:val="-5"/>
                <w:kern w:val="0"/>
                <w:sz w:val="18"/>
                <w:szCs w:val="18"/>
                <w:lang w:val="en-US" w:eastAsia="en-US" w:bidi="ar-SA"/>
              </w:rPr>
              <w:t>50156-2021</w:t>
            </w:r>
            <w:r>
              <w:rPr>
                <w:rFonts w:ascii="宋体" w:hAnsi="宋体" w:eastAsia="宋体" w:cs="宋体"/>
                <w:snapToGrid w:val="0"/>
                <w:color w:val="000000"/>
                <w:spacing w:val="-5"/>
                <w:kern w:val="0"/>
                <w:sz w:val="18"/>
                <w:szCs w:val="18"/>
                <w:lang w:val="en-US" w:eastAsia="en-US" w:bidi="ar-SA"/>
              </w:rPr>
              <w:t>）第</w:t>
            </w:r>
            <w:r>
              <w:rPr>
                <w:rFonts w:ascii="宋体" w:hAnsi="宋体" w:eastAsia="宋体" w:cs="宋体"/>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14.2.15</w:t>
            </w:r>
          </w:p>
          <w:p w14:paraId="1349931D">
            <w:pPr>
              <w:kinsoku w:val="0"/>
              <w:autoSpaceDE w:val="0"/>
              <w:autoSpaceDN w:val="0"/>
              <w:adjustRightInd w:val="0"/>
              <w:snapToGrid w:val="0"/>
              <w:spacing w:before="20" w:line="184" w:lineRule="auto"/>
              <w:ind w:left="89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条</w:t>
            </w:r>
          </w:p>
        </w:tc>
        <w:tc>
          <w:tcPr>
            <w:tcW w:w="2500" w:type="dxa"/>
            <w:vAlign w:val="top"/>
          </w:tcPr>
          <w:p w14:paraId="23AB9577">
            <w:pPr>
              <w:widowControl/>
              <w:kinsoku w:val="0"/>
              <w:autoSpaceDE w:val="0"/>
              <w:autoSpaceDN w:val="0"/>
              <w:adjustRightInd w:val="0"/>
              <w:snapToGrid w:val="0"/>
              <w:spacing w:line="336" w:lineRule="auto"/>
              <w:jc w:val="left"/>
              <w:textAlignment w:val="baseline"/>
              <w:rPr>
                <w:rFonts w:ascii="Arial" w:hAnsi="Arial" w:eastAsia="Arial" w:cs="Arial"/>
                <w:snapToGrid w:val="0"/>
                <w:color w:val="000000"/>
                <w:kern w:val="0"/>
                <w:sz w:val="21"/>
                <w:lang w:eastAsia="en-US"/>
              </w:rPr>
            </w:pPr>
          </w:p>
          <w:p w14:paraId="110E0872">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站内没有建地下和半地下室。</w:t>
            </w:r>
          </w:p>
        </w:tc>
        <w:tc>
          <w:tcPr>
            <w:tcW w:w="724" w:type="dxa"/>
            <w:tcBorders>
              <w:right w:val="single" w:color="000000" w:sz="10" w:space="0"/>
            </w:tcBorders>
            <w:vAlign w:val="top"/>
          </w:tcPr>
          <w:p w14:paraId="4B4997BA">
            <w:pPr>
              <w:kinsoku w:val="0"/>
              <w:autoSpaceDE w:val="0"/>
              <w:autoSpaceDN w:val="0"/>
              <w:adjustRightInd w:val="0"/>
              <w:snapToGrid w:val="0"/>
              <w:spacing w:before="280" w:line="230" w:lineRule="auto"/>
              <w:ind w:left="192" w:right="16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tc>
      </w:tr>
      <w:tr w14:paraId="19F3C6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7" w:hRule="atLeast"/>
        </w:trPr>
        <w:tc>
          <w:tcPr>
            <w:tcW w:w="703" w:type="dxa"/>
            <w:tcBorders>
              <w:left w:val="single" w:color="000000" w:sz="10" w:space="0"/>
            </w:tcBorders>
            <w:vAlign w:val="top"/>
          </w:tcPr>
          <w:p w14:paraId="1C71721E">
            <w:pPr>
              <w:widowControl/>
              <w:kinsoku w:val="0"/>
              <w:autoSpaceDE w:val="0"/>
              <w:autoSpaceDN w:val="0"/>
              <w:adjustRightInd w:val="0"/>
              <w:snapToGrid w:val="0"/>
              <w:spacing w:line="363" w:lineRule="auto"/>
              <w:jc w:val="left"/>
              <w:textAlignment w:val="baseline"/>
              <w:rPr>
                <w:rFonts w:ascii="Arial" w:hAnsi="Arial" w:eastAsia="Arial" w:cs="Arial"/>
                <w:snapToGrid w:val="0"/>
                <w:color w:val="000000"/>
                <w:kern w:val="0"/>
                <w:sz w:val="21"/>
                <w:lang w:eastAsia="en-US"/>
              </w:rPr>
            </w:pPr>
          </w:p>
          <w:p w14:paraId="4F7C1D43">
            <w:pPr>
              <w:kinsoku w:val="0"/>
              <w:autoSpaceDE w:val="0"/>
              <w:autoSpaceDN w:val="0"/>
              <w:adjustRightInd w:val="0"/>
              <w:snapToGrid w:val="0"/>
              <w:spacing w:before="59" w:line="183" w:lineRule="auto"/>
              <w:ind w:left="29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6</w:t>
            </w:r>
          </w:p>
        </w:tc>
        <w:tc>
          <w:tcPr>
            <w:tcW w:w="3400" w:type="dxa"/>
            <w:vAlign w:val="top"/>
          </w:tcPr>
          <w:p w14:paraId="1E9F122C">
            <w:pPr>
              <w:kinsoku w:val="0"/>
              <w:autoSpaceDE w:val="0"/>
              <w:autoSpaceDN w:val="0"/>
              <w:adjustRightInd w:val="0"/>
              <w:snapToGrid w:val="0"/>
              <w:spacing w:before="49" w:line="225" w:lineRule="auto"/>
              <w:ind w:left="103" w:right="107"/>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埋地油罐的操作井、位于作业区的排水井</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应采取防渗漏措施，位于爆炸危险区域内</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的操作井和排水井应有防止产生火花的</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措施。</w:t>
            </w:r>
          </w:p>
        </w:tc>
        <w:tc>
          <w:tcPr>
            <w:tcW w:w="1962" w:type="dxa"/>
            <w:vAlign w:val="top"/>
          </w:tcPr>
          <w:p w14:paraId="0CEA995F">
            <w:pPr>
              <w:kinsoku w:val="0"/>
              <w:autoSpaceDE w:val="0"/>
              <w:autoSpaceDN w:val="0"/>
              <w:adjustRightInd w:val="0"/>
              <w:snapToGrid w:val="0"/>
              <w:spacing w:before="48" w:line="220" w:lineRule="auto"/>
              <w:ind w:left="18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w:t>
            </w:r>
          </w:p>
          <w:p w14:paraId="1E3BA44D">
            <w:pPr>
              <w:kinsoku w:val="0"/>
              <w:autoSpaceDE w:val="0"/>
              <w:autoSpaceDN w:val="0"/>
              <w:adjustRightInd w:val="0"/>
              <w:snapToGrid w:val="0"/>
              <w:spacing w:before="18" w:line="220" w:lineRule="auto"/>
              <w:ind w:left="231"/>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站技术标准》（</w:t>
            </w:r>
            <w:r>
              <w:rPr>
                <w:rFonts w:ascii="Times New Roman" w:hAnsi="Times New Roman" w:eastAsia="Times New Roman" w:cs="Times New Roman"/>
                <w:snapToGrid w:val="0"/>
                <w:color w:val="000000"/>
                <w:spacing w:val="-1"/>
                <w:kern w:val="0"/>
                <w:sz w:val="18"/>
                <w:szCs w:val="18"/>
                <w:lang w:val="en-US" w:eastAsia="en-US" w:bidi="ar-SA"/>
              </w:rPr>
              <w:t>GB</w:t>
            </w:r>
          </w:p>
          <w:p w14:paraId="50B05717">
            <w:pPr>
              <w:kinsoku w:val="0"/>
              <w:autoSpaceDE w:val="0"/>
              <w:autoSpaceDN w:val="0"/>
              <w:adjustRightInd w:val="0"/>
              <w:snapToGrid w:val="0"/>
              <w:spacing w:before="18" w:line="220" w:lineRule="auto"/>
              <w:ind w:left="112"/>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Times New Roman" w:hAnsi="Times New Roman" w:eastAsia="Times New Roman" w:cs="Times New Roman"/>
                <w:snapToGrid w:val="0"/>
                <w:color w:val="000000"/>
                <w:spacing w:val="-5"/>
                <w:kern w:val="0"/>
                <w:sz w:val="18"/>
                <w:szCs w:val="18"/>
                <w:lang w:val="en-US" w:eastAsia="en-US" w:bidi="ar-SA"/>
              </w:rPr>
              <w:t>50156-2021</w:t>
            </w:r>
            <w:r>
              <w:rPr>
                <w:rFonts w:ascii="宋体" w:hAnsi="宋体" w:eastAsia="宋体" w:cs="宋体"/>
                <w:snapToGrid w:val="0"/>
                <w:color w:val="000000"/>
                <w:spacing w:val="-5"/>
                <w:kern w:val="0"/>
                <w:sz w:val="18"/>
                <w:szCs w:val="18"/>
                <w:lang w:val="en-US" w:eastAsia="en-US" w:bidi="ar-SA"/>
              </w:rPr>
              <w:t>）第</w:t>
            </w:r>
            <w:r>
              <w:rPr>
                <w:rFonts w:ascii="宋体" w:hAnsi="宋体" w:eastAsia="宋体" w:cs="宋体"/>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14.2.16</w:t>
            </w:r>
          </w:p>
          <w:p w14:paraId="5FC5B0D9">
            <w:pPr>
              <w:kinsoku w:val="0"/>
              <w:autoSpaceDE w:val="0"/>
              <w:autoSpaceDN w:val="0"/>
              <w:adjustRightInd w:val="0"/>
              <w:snapToGrid w:val="0"/>
              <w:spacing w:before="20" w:line="183" w:lineRule="auto"/>
              <w:ind w:left="89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条</w:t>
            </w:r>
          </w:p>
        </w:tc>
        <w:tc>
          <w:tcPr>
            <w:tcW w:w="2500" w:type="dxa"/>
            <w:vAlign w:val="top"/>
          </w:tcPr>
          <w:p w14:paraId="2816CD43">
            <w:pPr>
              <w:kinsoku w:val="0"/>
              <w:autoSpaceDE w:val="0"/>
              <w:autoSpaceDN w:val="0"/>
              <w:adjustRightInd w:val="0"/>
              <w:snapToGrid w:val="0"/>
              <w:spacing w:before="280" w:line="230" w:lineRule="auto"/>
              <w:ind w:left="117" w:right="92" w:hanging="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操作井内采取防渗漏和防火</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花发生的措施。</w:t>
            </w:r>
          </w:p>
        </w:tc>
        <w:tc>
          <w:tcPr>
            <w:tcW w:w="724" w:type="dxa"/>
            <w:tcBorders>
              <w:right w:val="single" w:color="000000" w:sz="10" w:space="0"/>
            </w:tcBorders>
            <w:vAlign w:val="top"/>
          </w:tcPr>
          <w:p w14:paraId="381B2BE3">
            <w:pPr>
              <w:kinsoku w:val="0"/>
              <w:autoSpaceDE w:val="0"/>
              <w:autoSpaceDN w:val="0"/>
              <w:adjustRightInd w:val="0"/>
              <w:snapToGrid w:val="0"/>
              <w:spacing w:before="281" w:line="230" w:lineRule="auto"/>
              <w:ind w:left="192" w:right="16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tc>
      </w:tr>
      <w:tr w14:paraId="6E6693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0" w:hRule="atLeast"/>
        </w:trPr>
        <w:tc>
          <w:tcPr>
            <w:tcW w:w="703" w:type="dxa"/>
            <w:tcBorders>
              <w:left w:val="single" w:color="000000" w:sz="10" w:space="0"/>
              <w:bottom w:val="single" w:color="000000" w:sz="10" w:space="0"/>
            </w:tcBorders>
            <w:vAlign w:val="top"/>
          </w:tcPr>
          <w:p w14:paraId="531D6C52">
            <w:pPr>
              <w:widowControl/>
              <w:kinsoku w:val="0"/>
              <w:autoSpaceDE w:val="0"/>
              <w:autoSpaceDN w:val="0"/>
              <w:adjustRightInd w:val="0"/>
              <w:snapToGrid w:val="0"/>
              <w:spacing w:line="368" w:lineRule="auto"/>
              <w:jc w:val="left"/>
              <w:textAlignment w:val="baseline"/>
              <w:rPr>
                <w:rFonts w:ascii="Arial" w:hAnsi="Arial" w:eastAsia="Arial" w:cs="Arial"/>
                <w:snapToGrid w:val="0"/>
                <w:color w:val="000000"/>
                <w:kern w:val="0"/>
                <w:sz w:val="21"/>
                <w:lang w:eastAsia="en-US"/>
              </w:rPr>
            </w:pPr>
          </w:p>
          <w:p w14:paraId="0CA337C4">
            <w:pPr>
              <w:kinsoku w:val="0"/>
              <w:autoSpaceDE w:val="0"/>
              <w:autoSpaceDN w:val="0"/>
              <w:adjustRightInd w:val="0"/>
              <w:snapToGrid w:val="0"/>
              <w:spacing w:before="58" w:line="182" w:lineRule="auto"/>
              <w:ind w:left="30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7</w:t>
            </w:r>
          </w:p>
        </w:tc>
        <w:tc>
          <w:tcPr>
            <w:tcW w:w="3400" w:type="dxa"/>
            <w:tcBorders>
              <w:bottom w:val="single" w:color="000000" w:sz="10" w:space="0"/>
            </w:tcBorders>
            <w:vAlign w:val="top"/>
          </w:tcPr>
          <w:p w14:paraId="57E861CC">
            <w:pPr>
              <w:widowControl/>
              <w:kinsoku w:val="0"/>
              <w:autoSpaceDE w:val="0"/>
              <w:autoSpaceDN w:val="0"/>
              <w:adjustRightInd w:val="0"/>
              <w:snapToGrid w:val="0"/>
              <w:spacing w:line="339" w:lineRule="auto"/>
              <w:jc w:val="left"/>
              <w:textAlignment w:val="baseline"/>
              <w:rPr>
                <w:rFonts w:ascii="Arial" w:hAnsi="Arial" w:eastAsia="Arial" w:cs="Arial"/>
                <w:snapToGrid w:val="0"/>
                <w:color w:val="000000"/>
                <w:kern w:val="0"/>
                <w:sz w:val="21"/>
                <w:lang w:eastAsia="en-US"/>
              </w:rPr>
            </w:pPr>
          </w:p>
          <w:p w14:paraId="62556310">
            <w:pPr>
              <w:kinsoku w:val="0"/>
              <w:autoSpaceDE w:val="0"/>
              <w:autoSpaceDN w:val="0"/>
              <w:adjustRightInd w:val="0"/>
              <w:snapToGrid w:val="0"/>
              <w:spacing w:before="58" w:line="220" w:lineRule="auto"/>
              <w:ind w:left="1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汽车加油站作业区内不得种植油性植物。</w:t>
            </w:r>
          </w:p>
        </w:tc>
        <w:tc>
          <w:tcPr>
            <w:tcW w:w="1962" w:type="dxa"/>
            <w:tcBorders>
              <w:bottom w:val="single" w:color="000000" w:sz="10" w:space="0"/>
            </w:tcBorders>
            <w:vAlign w:val="top"/>
          </w:tcPr>
          <w:p w14:paraId="7CEB6D1B">
            <w:pPr>
              <w:kinsoku w:val="0"/>
              <w:autoSpaceDE w:val="0"/>
              <w:autoSpaceDN w:val="0"/>
              <w:adjustRightInd w:val="0"/>
              <w:snapToGrid w:val="0"/>
              <w:spacing w:before="49" w:line="220" w:lineRule="auto"/>
              <w:ind w:left="18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w:t>
            </w:r>
          </w:p>
          <w:p w14:paraId="277C90A9">
            <w:pPr>
              <w:kinsoku w:val="0"/>
              <w:autoSpaceDE w:val="0"/>
              <w:autoSpaceDN w:val="0"/>
              <w:adjustRightInd w:val="0"/>
              <w:snapToGrid w:val="0"/>
              <w:spacing w:before="18" w:line="220" w:lineRule="auto"/>
              <w:ind w:left="231"/>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站技术标准》（</w:t>
            </w:r>
            <w:r>
              <w:rPr>
                <w:rFonts w:ascii="Times New Roman" w:hAnsi="Times New Roman" w:eastAsia="Times New Roman" w:cs="Times New Roman"/>
                <w:snapToGrid w:val="0"/>
                <w:color w:val="000000"/>
                <w:spacing w:val="-1"/>
                <w:kern w:val="0"/>
                <w:sz w:val="18"/>
                <w:szCs w:val="18"/>
                <w:lang w:val="en-US" w:eastAsia="en-US" w:bidi="ar-SA"/>
              </w:rPr>
              <w:t>GB</w:t>
            </w:r>
          </w:p>
          <w:p w14:paraId="1CE792D0">
            <w:pPr>
              <w:kinsoku w:val="0"/>
              <w:autoSpaceDE w:val="0"/>
              <w:autoSpaceDN w:val="0"/>
              <w:adjustRightInd w:val="0"/>
              <w:snapToGrid w:val="0"/>
              <w:spacing w:before="20" w:line="220" w:lineRule="auto"/>
              <w:ind w:left="112"/>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50156-2021</w:t>
            </w: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1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14.3.1</w:t>
            </w:r>
          </w:p>
          <w:p w14:paraId="6819A1FE">
            <w:pPr>
              <w:kinsoku w:val="0"/>
              <w:autoSpaceDE w:val="0"/>
              <w:autoSpaceDN w:val="0"/>
              <w:adjustRightInd w:val="0"/>
              <w:snapToGrid w:val="0"/>
              <w:spacing w:before="18" w:line="205" w:lineRule="auto"/>
              <w:ind w:left="89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条</w:t>
            </w:r>
          </w:p>
        </w:tc>
        <w:tc>
          <w:tcPr>
            <w:tcW w:w="2500" w:type="dxa"/>
            <w:tcBorders>
              <w:bottom w:val="single" w:color="000000" w:sz="10" w:space="0"/>
            </w:tcBorders>
            <w:vAlign w:val="top"/>
          </w:tcPr>
          <w:p w14:paraId="70466B3D">
            <w:pPr>
              <w:widowControl/>
              <w:kinsoku w:val="0"/>
              <w:autoSpaceDE w:val="0"/>
              <w:autoSpaceDN w:val="0"/>
              <w:adjustRightInd w:val="0"/>
              <w:snapToGrid w:val="0"/>
              <w:spacing w:line="339" w:lineRule="auto"/>
              <w:jc w:val="left"/>
              <w:textAlignment w:val="baseline"/>
              <w:rPr>
                <w:rFonts w:ascii="Arial" w:hAnsi="Arial" w:eastAsia="Arial" w:cs="Arial"/>
                <w:snapToGrid w:val="0"/>
                <w:color w:val="000000"/>
                <w:kern w:val="0"/>
                <w:sz w:val="21"/>
                <w:lang w:eastAsia="en-US"/>
              </w:rPr>
            </w:pPr>
          </w:p>
          <w:p w14:paraId="59937A68">
            <w:pPr>
              <w:kinsoku w:val="0"/>
              <w:autoSpaceDE w:val="0"/>
              <w:autoSpaceDN w:val="0"/>
              <w:adjustRightInd w:val="0"/>
              <w:snapToGrid w:val="0"/>
              <w:spacing w:before="58"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作业区内没有种植油性植物。</w:t>
            </w:r>
          </w:p>
        </w:tc>
        <w:tc>
          <w:tcPr>
            <w:tcW w:w="724" w:type="dxa"/>
            <w:tcBorders>
              <w:bottom w:val="single" w:color="000000" w:sz="10" w:space="0"/>
              <w:right w:val="single" w:color="000000" w:sz="10" w:space="0"/>
            </w:tcBorders>
            <w:vAlign w:val="top"/>
          </w:tcPr>
          <w:p w14:paraId="0A2B1152">
            <w:pPr>
              <w:kinsoku w:val="0"/>
              <w:autoSpaceDE w:val="0"/>
              <w:autoSpaceDN w:val="0"/>
              <w:adjustRightInd w:val="0"/>
              <w:snapToGrid w:val="0"/>
              <w:spacing w:before="282" w:line="231" w:lineRule="auto"/>
              <w:ind w:left="192" w:right="16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tc>
      </w:tr>
    </w:tbl>
    <w:p w14:paraId="59C4642D">
      <w:pPr>
        <w:widowControl/>
        <w:kinsoku w:val="0"/>
        <w:autoSpaceDE w:val="0"/>
        <w:autoSpaceDN w:val="0"/>
        <w:adjustRightInd w:val="0"/>
        <w:snapToGrid w:val="0"/>
        <w:spacing w:before="242" w:line="219" w:lineRule="auto"/>
        <w:jc w:val="righ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3"/>
          <w:kern w:val="0"/>
          <w:sz w:val="28"/>
          <w:szCs w:val="28"/>
          <w:lang w:eastAsia="en-US"/>
        </w:rPr>
        <w:t>评价结果：建（构）筑物涉及</w:t>
      </w:r>
      <w:r>
        <w:rPr>
          <w:rFonts w:ascii="宋体" w:hAnsi="宋体" w:eastAsia="宋体" w:cs="宋体"/>
          <w:snapToGrid w:val="0"/>
          <w:color w:val="000000"/>
          <w:spacing w:val="-60"/>
          <w:kern w:val="0"/>
          <w:sz w:val="28"/>
          <w:szCs w:val="28"/>
          <w:lang w:eastAsia="en-US"/>
        </w:rPr>
        <w:t xml:space="preserve"> </w:t>
      </w:r>
      <w:r>
        <w:rPr>
          <w:rFonts w:ascii="Times New Roman" w:hAnsi="Times New Roman" w:eastAsia="Times New Roman" w:cs="Times New Roman"/>
          <w:snapToGrid w:val="0"/>
          <w:color w:val="000000"/>
          <w:spacing w:val="-3"/>
          <w:kern w:val="0"/>
          <w:sz w:val="28"/>
          <w:szCs w:val="28"/>
          <w:lang w:eastAsia="en-US"/>
        </w:rPr>
        <w:t xml:space="preserve">7 </w:t>
      </w:r>
      <w:r>
        <w:rPr>
          <w:rFonts w:ascii="宋体" w:hAnsi="宋体" w:eastAsia="宋体" w:cs="宋体"/>
          <w:snapToGrid w:val="0"/>
          <w:color w:val="000000"/>
          <w:spacing w:val="-3"/>
          <w:kern w:val="0"/>
          <w:sz w:val="28"/>
          <w:szCs w:val="28"/>
          <w:lang w:eastAsia="en-US"/>
        </w:rPr>
        <w:t>项检查内容，经检查，全部符合</w:t>
      </w:r>
      <w:r>
        <w:rPr>
          <w:rFonts w:ascii="宋体" w:hAnsi="宋体" w:eastAsia="宋体" w:cs="宋体"/>
          <w:snapToGrid w:val="0"/>
          <w:color w:val="000000"/>
          <w:spacing w:val="-4"/>
          <w:kern w:val="0"/>
          <w:sz w:val="28"/>
          <w:szCs w:val="28"/>
          <w:lang w:eastAsia="en-US"/>
        </w:rPr>
        <w:t>要求。</w:t>
      </w:r>
    </w:p>
    <w:p w14:paraId="1ABDE3C1">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val="en-US" w:eastAsia="zh-CN"/>
        </w:rPr>
      </w:pPr>
      <w:bookmarkStart w:id="228" w:name="_Toc17530"/>
      <w:r>
        <w:rPr>
          <w:rFonts w:hint="eastAsia" w:ascii="楷体" w:hAnsi="楷体" w:eastAsia="楷体" w:cs="楷体"/>
          <w:sz w:val="32"/>
          <w:szCs w:val="32"/>
          <w:lang w:val="en-US" w:eastAsia="zh-CN"/>
        </w:rPr>
        <w:t>5.2.4站址及平面布置安全检查表</w:t>
      </w:r>
      <w:bookmarkEnd w:id="228"/>
    </w:p>
    <w:p w14:paraId="425BEBF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根据《汽车加油加气加氢站技术标准》（GB 50156-2021）的有关要求， 采用《安全检查表法》对经营场所单元进行分析评价，评价结果见表</w:t>
      </w:r>
      <w:r>
        <w:rPr>
          <w:rFonts w:hint="eastAsia" w:ascii="宋体" w:hAnsi="宋体" w:eastAsia="宋体" w:cs="宋体"/>
          <w:sz w:val="28"/>
          <w:szCs w:val="28"/>
          <w:lang w:val="en-US" w:eastAsia="zh-CN"/>
        </w:rPr>
        <w:t>5-7</w:t>
      </w:r>
      <w:r>
        <w:rPr>
          <w:rFonts w:hint="eastAsia" w:ascii="宋体" w:hAnsi="宋体" w:eastAsia="宋体" w:cs="宋体"/>
          <w:sz w:val="28"/>
          <w:szCs w:val="28"/>
        </w:rPr>
        <w:t>。</w:t>
      </w:r>
    </w:p>
    <w:p w14:paraId="22BC4501">
      <w:pPr>
        <w:widowControl/>
        <w:kinsoku w:val="0"/>
        <w:autoSpaceDE w:val="0"/>
        <w:autoSpaceDN w:val="0"/>
        <w:adjustRightInd w:val="0"/>
        <w:snapToGrid w:val="0"/>
        <w:spacing w:before="78" w:line="220" w:lineRule="auto"/>
        <w:ind w:left="2399"/>
        <w:jc w:val="both"/>
        <w:textAlignment w:val="baseline"/>
        <w:rPr>
          <w:rFonts w:hint="eastAsia" w:ascii="宋体" w:hAnsi="宋体" w:eastAsia="宋体" w:cs="宋体"/>
          <w:b/>
          <w:bCs/>
          <w:snapToGrid w:val="0"/>
          <w:color w:val="000000"/>
          <w:spacing w:val="-2"/>
          <w:kern w:val="0"/>
          <w:sz w:val="24"/>
          <w:szCs w:val="24"/>
          <w:lang w:eastAsia="en-US"/>
        </w:rPr>
      </w:pPr>
      <w:r>
        <w:rPr>
          <w:rFonts w:hint="eastAsia" w:ascii="宋体" w:hAnsi="宋体" w:eastAsia="宋体" w:cs="宋体"/>
          <w:b/>
          <w:bCs/>
          <w:snapToGrid w:val="0"/>
          <w:color w:val="000000"/>
          <w:spacing w:val="-2"/>
          <w:kern w:val="0"/>
          <w:sz w:val="24"/>
          <w:szCs w:val="24"/>
          <w:lang w:eastAsia="en-US"/>
        </w:rPr>
        <w:t>表5</w:t>
      </w:r>
      <w:r>
        <w:rPr>
          <w:rFonts w:hint="eastAsia" w:ascii="宋体" w:hAnsi="宋体" w:eastAsia="宋体" w:cs="宋体"/>
          <w:b/>
          <w:bCs/>
          <w:snapToGrid w:val="0"/>
          <w:color w:val="000000"/>
          <w:spacing w:val="-2"/>
          <w:kern w:val="0"/>
          <w:sz w:val="24"/>
          <w:szCs w:val="24"/>
          <w:lang w:val="en-US" w:eastAsia="zh-CN"/>
        </w:rPr>
        <w:t>-7</w:t>
      </w:r>
      <w:r>
        <w:rPr>
          <w:rFonts w:hint="eastAsia" w:ascii="宋体" w:hAnsi="宋体" w:eastAsia="宋体" w:cs="宋体"/>
          <w:b/>
          <w:bCs/>
          <w:snapToGrid w:val="0"/>
          <w:color w:val="000000"/>
          <w:spacing w:val="-2"/>
          <w:kern w:val="0"/>
          <w:sz w:val="24"/>
          <w:szCs w:val="24"/>
          <w:lang w:eastAsia="en-US"/>
        </w:rPr>
        <w:t>站址选择及站内平面布置单元现场检查表</w:t>
      </w:r>
    </w:p>
    <w:tbl>
      <w:tblPr>
        <w:tblStyle w:val="47"/>
        <w:tblW w:w="9521"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0"/>
        <w:gridCol w:w="4049"/>
        <w:gridCol w:w="2273"/>
        <w:gridCol w:w="1690"/>
        <w:gridCol w:w="749"/>
      </w:tblGrid>
      <w:tr w14:paraId="54B915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top w:val="single" w:color="000000" w:sz="10" w:space="0"/>
              <w:left w:val="single" w:color="000000" w:sz="10" w:space="0"/>
            </w:tcBorders>
            <w:vAlign w:val="top"/>
          </w:tcPr>
          <w:p w14:paraId="319AB76D">
            <w:pPr>
              <w:keepNext w:val="0"/>
              <w:keepLines w:val="0"/>
              <w:pageBreakBefore w:val="0"/>
              <w:kinsoku w:val="0"/>
              <w:wordWrap/>
              <w:overflowPunct/>
              <w:topLinePunct w:val="0"/>
              <w:autoSpaceDE w:val="0"/>
              <w:autoSpaceDN w:val="0"/>
              <w:bidi w:val="0"/>
              <w:adjustRightInd w:val="0"/>
              <w:snapToGrid w:val="0"/>
              <w:spacing w:before="188" w:line="300" w:lineRule="exact"/>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序号</w:t>
            </w:r>
          </w:p>
        </w:tc>
        <w:tc>
          <w:tcPr>
            <w:tcW w:w="4049" w:type="dxa"/>
            <w:tcBorders>
              <w:top w:val="single" w:color="000000" w:sz="10" w:space="0"/>
            </w:tcBorders>
            <w:vAlign w:val="top"/>
          </w:tcPr>
          <w:p w14:paraId="73B95DF6">
            <w:pPr>
              <w:keepNext w:val="0"/>
              <w:keepLines w:val="0"/>
              <w:pageBreakBefore w:val="0"/>
              <w:kinsoku w:val="0"/>
              <w:wordWrap/>
              <w:overflowPunct/>
              <w:topLinePunct w:val="0"/>
              <w:autoSpaceDE w:val="0"/>
              <w:autoSpaceDN w:val="0"/>
              <w:bidi w:val="0"/>
              <w:adjustRightInd w:val="0"/>
              <w:snapToGrid w:val="0"/>
              <w:spacing w:before="189" w:line="300" w:lineRule="exact"/>
              <w:ind w:left="148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项目检查内容</w:t>
            </w:r>
          </w:p>
        </w:tc>
        <w:tc>
          <w:tcPr>
            <w:tcW w:w="2273" w:type="dxa"/>
            <w:tcBorders>
              <w:top w:val="single" w:color="000000" w:sz="10" w:space="0"/>
            </w:tcBorders>
            <w:vAlign w:val="top"/>
          </w:tcPr>
          <w:p w14:paraId="3D7FB865">
            <w:pPr>
              <w:keepNext w:val="0"/>
              <w:keepLines w:val="0"/>
              <w:pageBreakBefore w:val="0"/>
              <w:kinsoku w:val="0"/>
              <w:wordWrap/>
              <w:overflowPunct/>
              <w:topLinePunct w:val="0"/>
              <w:autoSpaceDE w:val="0"/>
              <w:autoSpaceDN w:val="0"/>
              <w:bidi w:val="0"/>
              <w:adjustRightInd w:val="0"/>
              <w:snapToGrid w:val="0"/>
              <w:spacing w:before="188" w:line="300" w:lineRule="exact"/>
              <w:ind w:left="78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评价依据</w:t>
            </w:r>
          </w:p>
        </w:tc>
        <w:tc>
          <w:tcPr>
            <w:tcW w:w="1690" w:type="dxa"/>
            <w:tcBorders>
              <w:top w:val="single" w:color="000000" w:sz="10" w:space="0"/>
            </w:tcBorders>
            <w:vAlign w:val="top"/>
          </w:tcPr>
          <w:p w14:paraId="47D4ED18">
            <w:pPr>
              <w:keepNext w:val="0"/>
              <w:keepLines w:val="0"/>
              <w:pageBreakBefore w:val="0"/>
              <w:kinsoku w:val="0"/>
              <w:wordWrap/>
              <w:overflowPunct/>
              <w:topLinePunct w:val="0"/>
              <w:autoSpaceDE w:val="0"/>
              <w:autoSpaceDN w:val="0"/>
              <w:bidi w:val="0"/>
              <w:adjustRightInd w:val="0"/>
              <w:snapToGrid w:val="0"/>
              <w:spacing w:before="189" w:line="300" w:lineRule="exact"/>
              <w:ind w:left="49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检查记录</w:t>
            </w:r>
          </w:p>
        </w:tc>
        <w:tc>
          <w:tcPr>
            <w:tcW w:w="749" w:type="dxa"/>
            <w:tcBorders>
              <w:top w:val="single" w:color="000000" w:sz="10" w:space="0"/>
              <w:right w:val="single" w:color="000000" w:sz="10" w:space="0"/>
            </w:tcBorders>
            <w:vAlign w:val="top"/>
          </w:tcPr>
          <w:p w14:paraId="0BF7FA19">
            <w:pPr>
              <w:keepNext w:val="0"/>
              <w:keepLines w:val="0"/>
              <w:pageBreakBefore w:val="0"/>
              <w:kinsoku w:val="0"/>
              <w:wordWrap/>
              <w:overflowPunct/>
              <w:topLinePunct w:val="0"/>
              <w:autoSpaceDE w:val="0"/>
              <w:autoSpaceDN w:val="0"/>
              <w:bidi w:val="0"/>
              <w:adjustRightInd w:val="0"/>
              <w:snapToGrid w:val="0"/>
              <w:spacing w:before="188" w:line="300" w:lineRule="exact"/>
              <w:ind w:left="20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结果</w:t>
            </w:r>
          </w:p>
        </w:tc>
      </w:tr>
      <w:tr w14:paraId="0A5CEF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4910658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C97742D">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w:t>
            </w:r>
          </w:p>
        </w:tc>
        <w:tc>
          <w:tcPr>
            <w:tcW w:w="4049" w:type="dxa"/>
            <w:vAlign w:val="top"/>
          </w:tcPr>
          <w:p w14:paraId="68D939D8">
            <w:pPr>
              <w:keepNext w:val="0"/>
              <w:keepLines w:val="0"/>
              <w:pageBreakBefore w:val="0"/>
              <w:kinsoku w:val="0"/>
              <w:wordWrap/>
              <w:overflowPunct/>
              <w:topLinePunct w:val="0"/>
              <w:autoSpaceDE w:val="0"/>
              <w:autoSpaceDN w:val="0"/>
              <w:bidi w:val="0"/>
              <w:adjustRightInd w:val="0"/>
              <w:snapToGrid w:val="0"/>
              <w:spacing w:before="199" w:line="300" w:lineRule="exact"/>
              <w:ind w:left="101"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汽车加油加气加氢站的站址选择应符合有关规</w:t>
            </w:r>
            <w:r>
              <w:rPr>
                <w:rFonts w:ascii="宋体" w:hAnsi="宋体" w:eastAsia="宋体" w:cs="宋体"/>
                <w:snapToGrid w:val="0"/>
                <w:color w:val="000000"/>
                <w:spacing w:val="16"/>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划、环境保护和防火安全的要求，并应选在交通</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便利、用户使用方便的地点。</w:t>
            </w:r>
          </w:p>
        </w:tc>
        <w:tc>
          <w:tcPr>
            <w:tcW w:w="2273" w:type="dxa"/>
            <w:vAlign w:val="top"/>
          </w:tcPr>
          <w:p w14:paraId="7D092BAD">
            <w:pPr>
              <w:keepNext w:val="0"/>
              <w:keepLines w:val="0"/>
              <w:pageBreakBefore w:val="0"/>
              <w:kinsoku w:val="0"/>
              <w:wordWrap/>
              <w:overflowPunct/>
              <w:topLinePunct w:val="0"/>
              <w:autoSpaceDE w:val="0"/>
              <w:autoSpaceDN w:val="0"/>
              <w:bidi w:val="0"/>
              <w:adjustRightInd w:val="0"/>
              <w:snapToGrid w:val="0"/>
              <w:spacing w:before="19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3CF7F797">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5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4.0.</w:t>
            </w:r>
            <w:r>
              <w:rPr>
                <w:rFonts w:ascii="Times New Roman" w:hAnsi="Times New Roman" w:eastAsia="Times New Roman" w:cs="Times New Roman"/>
                <w:snapToGrid w:val="0"/>
                <w:color w:val="000000"/>
                <w:spacing w:val="-22"/>
                <w:kern w:val="0"/>
                <w:sz w:val="18"/>
                <w:szCs w:val="18"/>
                <w:lang w:eastAsia="en-US"/>
              </w:rPr>
              <w:t xml:space="preserve"> </w:t>
            </w:r>
            <w:r>
              <w:rPr>
                <w:rFonts w:ascii="Times New Roman" w:hAnsi="Times New Roman" w:eastAsia="Times New Roman" w:cs="Times New Roman"/>
                <w:snapToGrid w:val="0"/>
                <w:color w:val="000000"/>
                <w:spacing w:val="-1"/>
                <w:kern w:val="0"/>
                <w:sz w:val="18"/>
                <w:szCs w:val="18"/>
                <w:lang w:eastAsia="en-US"/>
              </w:rPr>
              <w:t>1</w:t>
            </w:r>
          </w:p>
        </w:tc>
        <w:tc>
          <w:tcPr>
            <w:tcW w:w="1690" w:type="dxa"/>
            <w:vAlign w:val="top"/>
          </w:tcPr>
          <w:p w14:paraId="6F86978E">
            <w:pPr>
              <w:keepNext w:val="0"/>
              <w:keepLines w:val="0"/>
              <w:pageBreakBefore w:val="0"/>
              <w:kinsoku w:val="0"/>
              <w:wordWrap/>
              <w:overflowPunct/>
              <w:topLinePunct w:val="0"/>
              <w:autoSpaceDE w:val="0"/>
              <w:autoSpaceDN w:val="0"/>
              <w:bidi w:val="0"/>
              <w:adjustRightInd w:val="0"/>
              <w:snapToGrid w:val="0"/>
              <w:spacing w:before="70" w:line="300" w:lineRule="exact"/>
              <w:ind w:left="119" w:right="95"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该站选址符合城乡 规划、环境保护和</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防火安全的要求，</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交通便利。</w:t>
            </w:r>
          </w:p>
        </w:tc>
        <w:tc>
          <w:tcPr>
            <w:tcW w:w="749" w:type="dxa"/>
            <w:tcBorders>
              <w:right w:val="single" w:color="000000" w:sz="10" w:space="0"/>
            </w:tcBorders>
            <w:vAlign w:val="top"/>
          </w:tcPr>
          <w:p w14:paraId="41F8A01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05B0E82">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5FF7E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258B875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156BCFB">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2.</w:t>
            </w:r>
          </w:p>
        </w:tc>
        <w:tc>
          <w:tcPr>
            <w:tcW w:w="4049" w:type="dxa"/>
            <w:vAlign w:val="top"/>
          </w:tcPr>
          <w:p w14:paraId="2F874FEA">
            <w:pPr>
              <w:keepNext w:val="0"/>
              <w:keepLines w:val="0"/>
              <w:pageBreakBefore w:val="0"/>
              <w:kinsoku w:val="0"/>
              <w:wordWrap/>
              <w:overflowPunct/>
              <w:topLinePunct w:val="0"/>
              <w:autoSpaceDE w:val="0"/>
              <w:autoSpaceDN w:val="0"/>
              <w:bidi w:val="0"/>
              <w:adjustRightInd w:val="0"/>
              <w:snapToGrid w:val="0"/>
              <w:spacing w:before="197" w:line="300" w:lineRule="exact"/>
              <w:ind w:left="101" w:right="13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在城市中心区不应建一级汽车加油加气加氢站、</w:t>
            </w:r>
            <w:r>
              <w:rPr>
                <w:rFonts w:ascii="宋体" w:hAnsi="宋体" w:eastAsia="宋体" w:cs="宋体"/>
                <w:snapToGrid w:val="0"/>
                <w:color w:val="000000"/>
                <w:spacing w:val="5"/>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CNG</w:t>
            </w:r>
            <w:r>
              <w:rPr>
                <w:rFonts w:ascii="宋体" w:hAnsi="宋体" w:eastAsia="宋体" w:cs="宋体"/>
                <w:snapToGrid w:val="0"/>
                <w:color w:val="000000"/>
                <w:spacing w:val="-1"/>
                <w:kern w:val="0"/>
                <w:sz w:val="18"/>
                <w:szCs w:val="18"/>
                <w:lang w:val="en-US" w:eastAsia="en-US" w:bidi="ar-SA"/>
              </w:rPr>
              <w:t>加气母站。</w:t>
            </w:r>
          </w:p>
        </w:tc>
        <w:tc>
          <w:tcPr>
            <w:tcW w:w="2273" w:type="dxa"/>
            <w:vAlign w:val="top"/>
          </w:tcPr>
          <w:p w14:paraId="7038E93B">
            <w:pPr>
              <w:keepNext w:val="0"/>
              <w:keepLines w:val="0"/>
              <w:pageBreakBefore w:val="0"/>
              <w:kinsoku w:val="0"/>
              <w:wordWrap/>
              <w:overflowPunct/>
              <w:topLinePunct w:val="0"/>
              <w:autoSpaceDE w:val="0"/>
              <w:autoSpaceDN w:val="0"/>
              <w:bidi w:val="0"/>
              <w:adjustRightInd w:val="0"/>
              <w:snapToGrid w:val="0"/>
              <w:spacing w:before="6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25F46976">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5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4.0.2</w:t>
            </w:r>
          </w:p>
        </w:tc>
        <w:tc>
          <w:tcPr>
            <w:tcW w:w="1690" w:type="dxa"/>
            <w:vAlign w:val="top"/>
          </w:tcPr>
          <w:p w14:paraId="4516905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7BF097C">
            <w:pPr>
              <w:keepNext w:val="0"/>
              <w:keepLines w:val="0"/>
              <w:pageBreakBefore w:val="0"/>
              <w:kinsoku w:val="0"/>
              <w:wordWrap/>
              <w:overflowPunct/>
              <w:topLinePunct w:val="0"/>
              <w:autoSpaceDE w:val="0"/>
              <w:autoSpaceDN w:val="0"/>
              <w:bidi w:val="0"/>
              <w:adjustRightInd w:val="0"/>
              <w:snapToGrid w:val="0"/>
              <w:spacing w:before="59" w:line="300" w:lineRule="exact"/>
              <w:ind w:left="12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该站为三级站</w:t>
            </w:r>
          </w:p>
        </w:tc>
        <w:tc>
          <w:tcPr>
            <w:tcW w:w="749" w:type="dxa"/>
            <w:tcBorders>
              <w:right w:val="single" w:color="000000" w:sz="10" w:space="0"/>
            </w:tcBorders>
            <w:vAlign w:val="top"/>
          </w:tcPr>
          <w:p w14:paraId="3FD9303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D5BDE69">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BB745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3367D90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A270A3A">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3.</w:t>
            </w:r>
          </w:p>
        </w:tc>
        <w:tc>
          <w:tcPr>
            <w:tcW w:w="4049" w:type="dxa"/>
            <w:vAlign w:val="top"/>
          </w:tcPr>
          <w:p w14:paraId="6C06D1B1">
            <w:pPr>
              <w:keepNext w:val="0"/>
              <w:keepLines w:val="0"/>
              <w:pageBreakBefore w:val="0"/>
              <w:kinsoku w:val="0"/>
              <w:wordWrap/>
              <w:overflowPunct/>
              <w:topLinePunct w:val="0"/>
              <w:autoSpaceDE w:val="0"/>
              <w:autoSpaceDN w:val="0"/>
              <w:bidi w:val="0"/>
              <w:adjustRightInd w:val="0"/>
              <w:snapToGrid w:val="0"/>
              <w:spacing w:before="70" w:line="300" w:lineRule="exact"/>
              <w:ind w:left="102" w:right="10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加油站、各类合建站中的汽油、柴油工艺设备与</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站外建（构）筑物的安全间距，不应小于表</w:t>
            </w:r>
            <w:r>
              <w:rPr>
                <w:rFonts w:ascii="Times New Roman" w:hAnsi="Times New Roman" w:eastAsia="Times New Roman" w:cs="Times New Roman"/>
                <w:snapToGrid w:val="0"/>
                <w:color w:val="000000"/>
                <w:spacing w:val="2"/>
                <w:kern w:val="0"/>
                <w:sz w:val="18"/>
                <w:szCs w:val="18"/>
                <w:lang w:val="en-US" w:eastAsia="en-US" w:bidi="ar-SA"/>
              </w:rPr>
              <w:t>4.0.4</w:t>
            </w:r>
            <w:r>
              <w:rPr>
                <w:rFonts w:ascii="Times New Roman" w:hAnsi="Times New Roman" w:eastAsia="Times New Roman" w:cs="Times New Roman"/>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的规定。</w:t>
            </w:r>
          </w:p>
        </w:tc>
        <w:tc>
          <w:tcPr>
            <w:tcW w:w="2273" w:type="dxa"/>
            <w:vAlign w:val="top"/>
          </w:tcPr>
          <w:p w14:paraId="7E1BB7F4">
            <w:pPr>
              <w:keepNext w:val="0"/>
              <w:keepLines w:val="0"/>
              <w:pageBreakBefore w:val="0"/>
              <w:kinsoku w:val="0"/>
              <w:wordWrap/>
              <w:overflowPunct/>
              <w:topLinePunct w:val="0"/>
              <w:autoSpaceDE w:val="0"/>
              <w:autoSpaceDN w:val="0"/>
              <w:bidi w:val="0"/>
              <w:adjustRightInd w:val="0"/>
              <w:snapToGrid w:val="0"/>
              <w:spacing w:before="72"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4183EC7F">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5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4.0.4</w:t>
            </w:r>
          </w:p>
        </w:tc>
        <w:tc>
          <w:tcPr>
            <w:tcW w:w="1690" w:type="dxa"/>
            <w:vAlign w:val="top"/>
          </w:tcPr>
          <w:p w14:paraId="69D7AA2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F5FC068">
            <w:pPr>
              <w:keepNext w:val="0"/>
              <w:keepLines w:val="0"/>
              <w:pageBreakBefore w:val="0"/>
              <w:kinsoku w:val="0"/>
              <w:wordWrap/>
              <w:overflowPunct/>
              <w:topLinePunct w:val="0"/>
              <w:autoSpaceDE w:val="0"/>
              <w:autoSpaceDN w:val="0"/>
              <w:bidi w:val="0"/>
              <w:adjustRightInd w:val="0"/>
              <w:snapToGrid w:val="0"/>
              <w:spacing w:before="59" w:line="300" w:lineRule="exact"/>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符合要求。</w:t>
            </w:r>
          </w:p>
        </w:tc>
        <w:tc>
          <w:tcPr>
            <w:tcW w:w="749" w:type="dxa"/>
            <w:tcBorders>
              <w:right w:val="single" w:color="000000" w:sz="10" w:space="0"/>
            </w:tcBorders>
            <w:vAlign w:val="top"/>
          </w:tcPr>
          <w:p w14:paraId="191D161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A15BE94">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B6C08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2DFC731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98979B7">
            <w:pPr>
              <w:keepNext w:val="0"/>
              <w:keepLines w:val="0"/>
              <w:pageBreakBefore w:val="0"/>
              <w:widowControl/>
              <w:kinsoku w:val="0"/>
              <w:wordWrap/>
              <w:overflowPunct/>
              <w:topLinePunct w:val="0"/>
              <w:autoSpaceDE w:val="0"/>
              <w:autoSpaceDN w:val="0"/>
              <w:bidi w:val="0"/>
              <w:adjustRightInd w:val="0"/>
              <w:snapToGrid w:val="0"/>
              <w:spacing w:before="51" w:line="300" w:lineRule="exact"/>
              <w:ind w:left="156"/>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w:t>
            </w:r>
          </w:p>
        </w:tc>
        <w:tc>
          <w:tcPr>
            <w:tcW w:w="4049" w:type="dxa"/>
            <w:vAlign w:val="top"/>
          </w:tcPr>
          <w:p w14:paraId="7E3C98F9">
            <w:pPr>
              <w:keepNext w:val="0"/>
              <w:keepLines w:val="0"/>
              <w:pageBreakBefore w:val="0"/>
              <w:kinsoku w:val="0"/>
              <w:wordWrap/>
              <w:overflowPunct/>
              <w:topLinePunct w:val="0"/>
              <w:autoSpaceDE w:val="0"/>
              <w:autoSpaceDN w:val="0"/>
              <w:bidi w:val="0"/>
              <w:adjustRightInd w:val="0"/>
              <w:snapToGrid w:val="0"/>
              <w:spacing w:before="203" w:line="300" w:lineRule="exact"/>
              <w:ind w:left="101" w:right="104"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架空电力线路不应跨越汽车加油加气加氢站的作</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业区。</w:t>
            </w:r>
          </w:p>
        </w:tc>
        <w:tc>
          <w:tcPr>
            <w:tcW w:w="2273" w:type="dxa"/>
            <w:vAlign w:val="top"/>
          </w:tcPr>
          <w:p w14:paraId="2FA8ED48">
            <w:pPr>
              <w:keepNext w:val="0"/>
              <w:keepLines w:val="0"/>
              <w:pageBreakBefore w:val="0"/>
              <w:kinsoku w:val="0"/>
              <w:wordWrap/>
              <w:overflowPunct/>
              <w:topLinePunct w:val="0"/>
              <w:autoSpaceDE w:val="0"/>
              <w:autoSpaceDN w:val="0"/>
              <w:bidi w:val="0"/>
              <w:adjustRightInd w:val="0"/>
              <w:snapToGrid w:val="0"/>
              <w:spacing w:before="75"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0F891CC3">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16"/>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4.0.12</w:t>
            </w:r>
          </w:p>
        </w:tc>
        <w:tc>
          <w:tcPr>
            <w:tcW w:w="1690" w:type="dxa"/>
            <w:vAlign w:val="top"/>
          </w:tcPr>
          <w:p w14:paraId="0B710561">
            <w:pPr>
              <w:keepNext w:val="0"/>
              <w:keepLines w:val="0"/>
              <w:pageBreakBefore w:val="0"/>
              <w:kinsoku w:val="0"/>
              <w:wordWrap/>
              <w:overflowPunct/>
              <w:topLinePunct w:val="0"/>
              <w:autoSpaceDE w:val="0"/>
              <w:autoSpaceDN w:val="0"/>
              <w:bidi w:val="0"/>
              <w:adjustRightInd w:val="0"/>
              <w:snapToGrid w:val="0"/>
              <w:spacing w:before="73" w:line="300" w:lineRule="exact"/>
              <w:ind w:left="118" w:right="9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该站无架空电力线 路、架空通信线路</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跨越加油作业区。</w:t>
            </w:r>
          </w:p>
        </w:tc>
        <w:tc>
          <w:tcPr>
            <w:tcW w:w="749" w:type="dxa"/>
            <w:tcBorders>
              <w:right w:val="single" w:color="000000" w:sz="10" w:space="0"/>
            </w:tcBorders>
            <w:vAlign w:val="top"/>
          </w:tcPr>
          <w:p w14:paraId="35CE32D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4962D3E">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C7C16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2AF8665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D32454D">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5.</w:t>
            </w:r>
          </w:p>
        </w:tc>
        <w:tc>
          <w:tcPr>
            <w:tcW w:w="4049" w:type="dxa"/>
            <w:vAlign w:val="top"/>
          </w:tcPr>
          <w:p w14:paraId="4F0CB10B">
            <w:pPr>
              <w:keepNext w:val="0"/>
              <w:keepLines w:val="0"/>
              <w:pageBreakBefore w:val="0"/>
              <w:kinsoku w:val="0"/>
              <w:wordWrap/>
              <w:overflowPunct/>
              <w:topLinePunct w:val="0"/>
              <w:autoSpaceDE w:val="0"/>
              <w:autoSpaceDN w:val="0"/>
              <w:bidi w:val="0"/>
              <w:adjustRightInd w:val="0"/>
              <w:snapToGrid w:val="0"/>
              <w:spacing w:before="207" w:line="300" w:lineRule="exact"/>
              <w:ind w:left="108" w:right="104" w:hanging="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与汽车加油加气加氢站无关的可燃介质管道不应</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穿越汽车加油加气加氢站用地范围。</w:t>
            </w:r>
          </w:p>
        </w:tc>
        <w:tc>
          <w:tcPr>
            <w:tcW w:w="2273" w:type="dxa"/>
            <w:vAlign w:val="top"/>
          </w:tcPr>
          <w:p w14:paraId="22740D7E">
            <w:pPr>
              <w:keepNext w:val="0"/>
              <w:keepLines w:val="0"/>
              <w:pageBreakBefore w:val="0"/>
              <w:kinsoku w:val="0"/>
              <w:wordWrap/>
              <w:overflowPunct/>
              <w:topLinePunct w:val="0"/>
              <w:autoSpaceDE w:val="0"/>
              <w:autoSpaceDN w:val="0"/>
              <w:bidi w:val="0"/>
              <w:adjustRightInd w:val="0"/>
              <w:snapToGrid w:val="0"/>
              <w:spacing w:before="74"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1D6FEE08">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16"/>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4.0.13</w:t>
            </w:r>
          </w:p>
        </w:tc>
        <w:tc>
          <w:tcPr>
            <w:tcW w:w="1690" w:type="dxa"/>
            <w:vAlign w:val="top"/>
          </w:tcPr>
          <w:p w14:paraId="0BEA3890">
            <w:pPr>
              <w:keepNext w:val="0"/>
              <w:keepLines w:val="0"/>
              <w:pageBreakBefore w:val="0"/>
              <w:kinsoku w:val="0"/>
              <w:wordWrap/>
              <w:overflowPunct/>
              <w:topLinePunct w:val="0"/>
              <w:autoSpaceDE w:val="0"/>
              <w:autoSpaceDN w:val="0"/>
              <w:bidi w:val="0"/>
              <w:adjustRightInd w:val="0"/>
              <w:snapToGrid w:val="0"/>
              <w:spacing w:before="73" w:line="300" w:lineRule="exact"/>
              <w:ind w:left="117" w:right="9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无可燃介质管道穿</w:t>
            </w:r>
            <w:r>
              <w:rPr>
                <w:rFonts w:ascii="宋体" w:hAnsi="宋体" w:eastAsia="宋体" w:cs="宋体"/>
                <w:snapToGrid w:val="0"/>
                <w:color w:val="000000"/>
                <w:spacing w:val="4"/>
                <w:kern w:val="0"/>
                <w:sz w:val="18"/>
                <w:szCs w:val="18"/>
                <w:lang w:val="en-US" w:eastAsia="en-US" w:bidi="ar-SA"/>
              </w:rPr>
              <w:t xml:space="preserve"> 越加油站用地范围</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内。</w:t>
            </w:r>
          </w:p>
        </w:tc>
        <w:tc>
          <w:tcPr>
            <w:tcW w:w="749" w:type="dxa"/>
            <w:tcBorders>
              <w:right w:val="single" w:color="000000" w:sz="10" w:space="0"/>
            </w:tcBorders>
            <w:vAlign w:val="top"/>
          </w:tcPr>
          <w:p w14:paraId="77C2795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348C214">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55F240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209CA43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681FE74">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6.</w:t>
            </w:r>
          </w:p>
        </w:tc>
        <w:tc>
          <w:tcPr>
            <w:tcW w:w="4049" w:type="dxa"/>
            <w:vAlign w:val="top"/>
          </w:tcPr>
          <w:p w14:paraId="376D169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F85E72E">
            <w:pPr>
              <w:keepNext w:val="0"/>
              <w:keepLines w:val="0"/>
              <w:pageBreakBefore w:val="0"/>
              <w:kinsoku w:val="0"/>
              <w:wordWrap/>
              <w:overflowPunct/>
              <w:topLinePunct w:val="0"/>
              <w:autoSpaceDE w:val="0"/>
              <w:autoSpaceDN w:val="0"/>
              <w:bidi w:val="0"/>
              <w:adjustRightInd w:val="0"/>
              <w:snapToGrid w:val="0"/>
              <w:spacing w:before="58" w:line="300" w:lineRule="exact"/>
              <w:ind w:left="1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车辆入口和出口应分开设置。</w:t>
            </w:r>
          </w:p>
        </w:tc>
        <w:tc>
          <w:tcPr>
            <w:tcW w:w="2273" w:type="dxa"/>
            <w:vAlign w:val="top"/>
          </w:tcPr>
          <w:p w14:paraId="42180E35">
            <w:pPr>
              <w:keepNext w:val="0"/>
              <w:keepLines w:val="0"/>
              <w:pageBreakBefore w:val="0"/>
              <w:kinsoku w:val="0"/>
              <w:wordWrap/>
              <w:overflowPunct/>
              <w:topLinePunct w:val="0"/>
              <w:autoSpaceDE w:val="0"/>
              <w:autoSpaceDN w:val="0"/>
              <w:bidi w:val="0"/>
              <w:adjustRightInd w:val="0"/>
              <w:snapToGrid w:val="0"/>
              <w:spacing w:before="77"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16750F02">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w:t>
            </w:r>
            <w:r>
              <w:rPr>
                <w:rFonts w:ascii="Times New Roman" w:hAnsi="Times New Roman" w:eastAsia="Times New Roman" w:cs="Times New Roman"/>
                <w:snapToGrid w:val="0"/>
                <w:color w:val="000000"/>
                <w:spacing w:val="-23"/>
                <w:kern w:val="0"/>
                <w:sz w:val="18"/>
                <w:szCs w:val="18"/>
                <w:lang w:eastAsia="en-US"/>
              </w:rPr>
              <w:t xml:space="preserve"> </w:t>
            </w:r>
            <w:r>
              <w:rPr>
                <w:rFonts w:ascii="Times New Roman" w:hAnsi="Times New Roman" w:eastAsia="Times New Roman" w:cs="Times New Roman"/>
                <w:snapToGrid w:val="0"/>
                <w:color w:val="000000"/>
                <w:spacing w:val="-2"/>
                <w:kern w:val="0"/>
                <w:sz w:val="18"/>
                <w:szCs w:val="18"/>
                <w:lang w:eastAsia="en-US"/>
              </w:rPr>
              <w:t>1</w:t>
            </w:r>
          </w:p>
        </w:tc>
        <w:tc>
          <w:tcPr>
            <w:tcW w:w="1690" w:type="dxa"/>
            <w:vAlign w:val="top"/>
          </w:tcPr>
          <w:p w14:paraId="702218E8">
            <w:pPr>
              <w:keepNext w:val="0"/>
              <w:keepLines w:val="0"/>
              <w:pageBreakBefore w:val="0"/>
              <w:kinsoku w:val="0"/>
              <w:wordWrap/>
              <w:overflowPunct/>
              <w:topLinePunct w:val="0"/>
              <w:autoSpaceDE w:val="0"/>
              <w:autoSpaceDN w:val="0"/>
              <w:bidi w:val="0"/>
              <w:adjustRightInd w:val="0"/>
              <w:snapToGrid w:val="0"/>
              <w:spacing w:before="205" w:line="300" w:lineRule="exact"/>
              <w:ind w:left="120" w:right="95" w:hanging="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车辆出、入口分开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设置。</w:t>
            </w:r>
          </w:p>
        </w:tc>
        <w:tc>
          <w:tcPr>
            <w:tcW w:w="749" w:type="dxa"/>
            <w:tcBorders>
              <w:right w:val="single" w:color="000000" w:sz="10" w:space="0"/>
            </w:tcBorders>
            <w:vAlign w:val="top"/>
          </w:tcPr>
          <w:p w14:paraId="49FBDE2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7872670">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ABF1B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365683B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B26EFA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EC01D4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5AA9DF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F67AFE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43E1B0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9374AF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0871072">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0"/>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7.</w:t>
            </w:r>
          </w:p>
        </w:tc>
        <w:tc>
          <w:tcPr>
            <w:tcW w:w="4049" w:type="dxa"/>
            <w:vAlign w:val="top"/>
          </w:tcPr>
          <w:p w14:paraId="75B88A5E">
            <w:pPr>
              <w:keepNext w:val="0"/>
              <w:keepLines w:val="0"/>
              <w:pageBreakBefore w:val="0"/>
              <w:kinsoku w:val="0"/>
              <w:wordWrap/>
              <w:overflowPunct/>
              <w:topLinePunct w:val="0"/>
              <w:autoSpaceDE w:val="0"/>
              <w:autoSpaceDN w:val="0"/>
              <w:bidi w:val="0"/>
              <w:adjustRightInd w:val="0"/>
              <w:snapToGrid w:val="0"/>
              <w:spacing w:before="173" w:line="300" w:lineRule="exact"/>
              <w:ind w:left="10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站区内停车位和道路应符合下列规定：</w:t>
            </w:r>
          </w:p>
          <w:p w14:paraId="1A86BF14">
            <w:pPr>
              <w:keepNext w:val="0"/>
              <w:keepLines w:val="0"/>
              <w:pageBreakBefore w:val="0"/>
              <w:kinsoku w:val="0"/>
              <w:wordWrap/>
              <w:overflowPunct/>
              <w:topLinePunct w:val="0"/>
              <w:autoSpaceDE w:val="0"/>
              <w:autoSpaceDN w:val="0"/>
              <w:bidi w:val="0"/>
              <w:adjustRightInd w:val="0"/>
              <w:snapToGrid w:val="0"/>
              <w:spacing w:before="44" w:line="300" w:lineRule="exact"/>
              <w:ind w:left="101" w:right="104" w:firstLine="37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1"/>
                <w:kern w:val="0"/>
                <w:sz w:val="18"/>
                <w:szCs w:val="18"/>
                <w:lang w:val="en-US" w:eastAsia="en-US" w:bidi="ar-SA"/>
              </w:rPr>
              <w:t xml:space="preserve">1  </w:t>
            </w:r>
            <w:r>
              <w:rPr>
                <w:rFonts w:ascii="宋体" w:hAnsi="宋体" w:eastAsia="宋体" w:cs="宋体"/>
                <w:snapToGrid w:val="0"/>
                <w:color w:val="000000"/>
                <w:spacing w:val="11"/>
                <w:kern w:val="0"/>
                <w:sz w:val="18"/>
                <w:szCs w:val="18"/>
                <w:lang w:val="en-US" w:eastAsia="en-US" w:bidi="ar-SA"/>
              </w:rPr>
              <w:t>站内车道或停车位宽度应按车辆类型确</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定。</w:t>
            </w:r>
            <w:r>
              <w:rPr>
                <w:rFonts w:ascii="Times New Roman" w:hAnsi="Times New Roman" w:eastAsia="Times New Roman" w:cs="Times New Roman"/>
                <w:snapToGrid w:val="0"/>
                <w:color w:val="000000"/>
                <w:kern w:val="0"/>
                <w:sz w:val="18"/>
                <w:szCs w:val="18"/>
                <w:lang w:val="en-US" w:eastAsia="en-US" w:bidi="ar-SA"/>
              </w:rPr>
              <w:t>CNG</w:t>
            </w:r>
            <w:r>
              <w:rPr>
                <w:rFonts w:ascii="宋体" w:hAnsi="宋体" w:eastAsia="宋体" w:cs="宋体"/>
                <w:snapToGrid w:val="0"/>
                <w:color w:val="000000"/>
                <w:spacing w:val="1"/>
                <w:kern w:val="0"/>
                <w:sz w:val="18"/>
                <w:szCs w:val="18"/>
                <w:lang w:val="en-US" w:eastAsia="en-US" w:bidi="ar-SA"/>
              </w:rPr>
              <w:t>加气母站内单车道或单车停车位宽度不</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应小于</w:t>
            </w:r>
            <w:r>
              <w:rPr>
                <w:rFonts w:ascii="Times New Roman" w:hAnsi="Times New Roman" w:eastAsia="Times New Roman" w:cs="Times New Roman"/>
                <w:snapToGrid w:val="0"/>
                <w:color w:val="000000"/>
                <w:spacing w:val="1"/>
                <w:kern w:val="0"/>
                <w:sz w:val="18"/>
                <w:szCs w:val="18"/>
                <w:lang w:val="en-US" w:eastAsia="en-US" w:bidi="ar-SA"/>
              </w:rPr>
              <w:t>4.5m</w:t>
            </w:r>
            <w:r>
              <w:rPr>
                <w:rFonts w:ascii="Times New Roman" w:hAnsi="Times New Roman" w:eastAsia="Times New Roman" w:cs="Times New Roman"/>
                <w:snapToGrid w:val="0"/>
                <w:color w:val="000000"/>
                <w:spacing w:val="-19"/>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，双车道或双车停车位宽度不应小于</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9m</w:t>
            </w:r>
            <w:r>
              <w:rPr>
                <w:rFonts w:ascii="宋体" w:hAnsi="宋体" w:eastAsia="宋体" w:cs="宋体"/>
                <w:snapToGrid w:val="0"/>
                <w:color w:val="000000"/>
                <w:kern w:val="0"/>
                <w:sz w:val="18"/>
                <w:szCs w:val="18"/>
                <w:lang w:val="en-US" w:eastAsia="en-US" w:bidi="ar-SA"/>
              </w:rPr>
              <w:t>；其他类型汽车加油加气加氢站的车道或停车</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位，单车道或单车停车位宽度不应小于</w:t>
            </w:r>
            <w:r>
              <w:rPr>
                <w:rFonts w:ascii="Times New Roman" w:hAnsi="Times New Roman" w:eastAsia="Times New Roman" w:cs="Times New Roman"/>
                <w:snapToGrid w:val="0"/>
                <w:color w:val="000000"/>
                <w:spacing w:val="-1"/>
                <w:kern w:val="0"/>
                <w:sz w:val="18"/>
                <w:szCs w:val="18"/>
                <w:lang w:val="en-US" w:eastAsia="en-US" w:bidi="ar-SA"/>
              </w:rPr>
              <w:t>4m</w:t>
            </w:r>
            <w:r>
              <w:rPr>
                <w:rFonts w:ascii="Times New Roman" w:hAnsi="Times New Roman" w:eastAsia="Times New Roman" w:cs="Times New Roman"/>
                <w:snapToGrid w:val="0"/>
                <w:color w:val="000000"/>
                <w:spacing w:val="-1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，双车</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道或双车停车位宽度不应小于</w:t>
            </w:r>
            <w:r>
              <w:rPr>
                <w:rFonts w:ascii="Times New Roman" w:hAnsi="Times New Roman" w:eastAsia="Times New Roman" w:cs="Times New Roman"/>
                <w:snapToGrid w:val="0"/>
                <w:color w:val="000000"/>
                <w:spacing w:val="-1"/>
                <w:kern w:val="0"/>
                <w:sz w:val="18"/>
                <w:szCs w:val="18"/>
                <w:lang w:val="en-US" w:eastAsia="en-US" w:bidi="ar-SA"/>
              </w:rPr>
              <w:t>6m</w:t>
            </w:r>
            <w:r>
              <w:rPr>
                <w:rFonts w:ascii="宋体" w:hAnsi="宋体" w:eastAsia="宋体" w:cs="宋体"/>
                <w:snapToGrid w:val="0"/>
                <w:color w:val="000000"/>
                <w:spacing w:val="-1"/>
                <w:kern w:val="0"/>
                <w:sz w:val="18"/>
                <w:szCs w:val="18"/>
                <w:lang w:val="en-US" w:eastAsia="en-US" w:bidi="ar-SA"/>
              </w:rPr>
              <w:t>。</w:t>
            </w:r>
          </w:p>
          <w:p w14:paraId="55680F4F">
            <w:pPr>
              <w:keepNext w:val="0"/>
              <w:keepLines w:val="0"/>
              <w:pageBreakBefore w:val="0"/>
              <w:kinsoku w:val="0"/>
              <w:wordWrap/>
              <w:overflowPunct/>
              <w:topLinePunct w:val="0"/>
              <w:autoSpaceDE w:val="0"/>
              <w:autoSpaceDN w:val="0"/>
              <w:bidi w:val="0"/>
              <w:adjustRightInd w:val="0"/>
              <w:snapToGrid w:val="0"/>
              <w:spacing w:before="45" w:line="300" w:lineRule="exact"/>
              <w:ind w:left="104" w:right="106" w:firstLine="35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站内的道路弯半径应按行驶车型确定，且</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不宜小于</w:t>
            </w:r>
            <w:r>
              <w:rPr>
                <w:rFonts w:ascii="Times New Roman" w:hAnsi="Times New Roman" w:eastAsia="Times New Roman" w:cs="Times New Roman"/>
                <w:snapToGrid w:val="0"/>
                <w:color w:val="000000"/>
                <w:spacing w:val="-2"/>
                <w:kern w:val="0"/>
                <w:sz w:val="18"/>
                <w:szCs w:val="18"/>
                <w:lang w:val="en-US" w:eastAsia="en-US" w:bidi="ar-SA"/>
              </w:rPr>
              <w:t>9m</w:t>
            </w:r>
            <w:r>
              <w:rPr>
                <w:rFonts w:ascii="宋体" w:hAnsi="宋体" w:eastAsia="宋体" w:cs="宋体"/>
                <w:snapToGrid w:val="0"/>
                <w:color w:val="000000"/>
                <w:spacing w:val="-2"/>
                <w:kern w:val="0"/>
                <w:sz w:val="18"/>
                <w:szCs w:val="18"/>
                <w:lang w:val="en-US" w:eastAsia="en-US" w:bidi="ar-SA"/>
              </w:rPr>
              <w:t>。</w:t>
            </w:r>
          </w:p>
          <w:p w14:paraId="775D9CD9">
            <w:pPr>
              <w:keepNext w:val="0"/>
              <w:keepLines w:val="0"/>
              <w:pageBreakBefore w:val="0"/>
              <w:kinsoku w:val="0"/>
              <w:wordWrap/>
              <w:overflowPunct/>
              <w:topLinePunct w:val="0"/>
              <w:autoSpaceDE w:val="0"/>
              <w:autoSpaceDN w:val="0"/>
              <w:bidi w:val="0"/>
              <w:adjustRightInd w:val="0"/>
              <w:snapToGrid w:val="0"/>
              <w:spacing w:before="43" w:line="300" w:lineRule="exact"/>
              <w:ind w:left="105" w:right="106" w:firstLine="35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3  </w:t>
            </w:r>
            <w:r>
              <w:rPr>
                <w:rFonts w:ascii="宋体" w:hAnsi="宋体" w:eastAsia="宋体" w:cs="宋体"/>
                <w:snapToGrid w:val="0"/>
                <w:color w:val="000000"/>
                <w:spacing w:val="2"/>
                <w:kern w:val="0"/>
                <w:sz w:val="18"/>
                <w:szCs w:val="18"/>
                <w:lang w:val="en-US" w:eastAsia="en-US" w:bidi="ar-SA"/>
              </w:rPr>
              <w:t>站内停车位应为平坡，道路坡度不应大于</w:t>
            </w:r>
            <w:r>
              <w:rPr>
                <w:rFonts w:ascii="宋体" w:hAnsi="宋体" w:eastAsia="宋体" w:cs="宋体"/>
                <w:snapToGrid w:val="0"/>
                <w:color w:val="000000"/>
                <w:spacing w:val="11"/>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8%</w:t>
            </w:r>
            <w:r>
              <w:rPr>
                <w:rFonts w:ascii="Times New Roman" w:hAnsi="Times New Roman" w:eastAsia="Times New Roman" w:cs="Times New Roman"/>
                <w:snapToGrid w:val="0"/>
                <w:color w:val="000000"/>
                <w:spacing w:val="-27"/>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，且宜坡向站外。</w:t>
            </w:r>
          </w:p>
          <w:p w14:paraId="19E15539">
            <w:pPr>
              <w:keepNext w:val="0"/>
              <w:keepLines w:val="0"/>
              <w:pageBreakBefore w:val="0"/>
              <w:kinsoku w:val="0"/>
              <w:wordWrap/>
              <w:overflowPunct/>
              <w:topLinePunct w:val="0"/>
              <w:autoSpaceDE w:val="0"/>
              <w:autoSpaceDN w:val="0"/>
              <w:bidi w:val="0"/>
              <w:adjustRightInd w:val="0"/>
              <w:snapToGrid w:val="0"/>
              <w:spacing w:before="16" w:line="300" w:lineRule="exact"/>
              <w:ind w:left="102" w:right="106" w:firstLine="35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4  </w:t>
            </w:r>
            <w:r>
              <w:rPr>
                <w:rFonts w:ascii="宋体" w:hAnsi="宋体" w:eastAsia="宋体" w:cs="宋体"/>
                <w:snapToGrid w:val="0"/>
                <w:color w:val="000000"/>
                <w:spacing w:val="2"/>
                <w:kern w:val="0"/>
                <w:sz w:val="18"/>
                <w:szCs w:val="18"/>
                <w:lang w:val="en-US" w:eastAsia="en-US" w:bidi="ar-SA"/>
              </w:rPr>
              <w:t>作业区内的停车场和道路路面不应采用沥</w:t>
            </w:r>
            <w:r>
              <w:rPr>
                <w:rFonts w:ascii="宋体" w:hAnsi="宋体" w:eastAsia="宋体" w:cs="宋体"/>
                <w:snapToGrid w:val="0"/>
                <w:color w:val="000000"/>
                <w:spacing w:val="16"/>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青路面。</w:t>
            </w:r>
          </w:p>
        </w:tc>
        <w:tc>
          <w:tcPr>
            <w:tcW w:w="2273" w:type="dxa"/>
            <w:vAlign w:val="top"/>
          </w:tcPr>
          <w:p w14:paraId="49487AA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1EB507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2BA00A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974B19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A963541">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4060FA6">
            <w:pPr>
              <w:keepNext w:val="0"/>
              <w:keepLines w:val="0"/>
              <w:pageBreakBefore w:val="0"/>
              <w:kinsoku w:val="0"/>
              <w:wordWrap/>
              <w:overflowPunct/>
              <w:topLinePunct w:val="0"/>
              <w:autoSpaceDE w:val="0"/>
              <w:autoSpaceDN w:val="0"/>
              <w:bidi w:val="0"/>
              <w:adjustRightInd w:val="0"/>
              <w:snapToGrid w:val="0"/>
              <w:spacing w:before="5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1676D92E">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5.0.2</w:t>
            </w:r>
          </w:p>
        </w:tc>
        <w:tc>
          <w:tcPr>
            <w:tcW w:w="1690" w:type="dxa"/>
            <w:vAlign w:val="top"/>
          </w:tcPr>
          <w:p w14:paraId="342B83C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5470C5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3BDB7C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B151ECF">
            <w:pPr>
              <w:keepNext w:val="0"/>
              <w:keepLines w:val="0"/>
              <w:pageBreakBefore w:val="0"/>
              <w:kinsoku w:val="0"/>
              <w:wordWrap/>
              <w:overflowPunct/>
              <w:topLinePunct w:val="0"/>
              <w:autoSpaceDE w:val="0"/>
              <w:autoSpaceDN w:val="0"/>
              <w:bidi w:val="0"/>
              <w:adjustRightInd w:val="0"/>
              <w:snapToGrid w:val="0"/>
              <w:spacing w:before="59" w:line="300" w:lineRule="exact"/>
              <w:ind w:left="120" w:right="95" w:firstLine="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9"/>
                <w:kern w:val="0"/>
                <w:sz w:val="18"/>
                <w:szCs w:val="18"/>
                <w:lang w:val="en-US" w:eastAsia="en-US" w:bidi="ar-SA"/>
              </w:rPr>
              <w:t>1</w:t>
            </w:r>
            <w:r>
              <w:rPr>
                <w:rFonts w:ascii="宋体" w:hAnsi="宋体" w:eastAsia="宋体" w:cs="宋体"/>
                <w:snapToGrid w:val="0"/>
                <w:color w:val="000000"/>
                <w:spacing w:val="-9"/>
                <w:kern w:val="0"/>
                <w:sz w:val="18"/>
                <w:szCs w:val="18"/>
                <w:lang w:val="en-US" w:eastAsia="en-US" w:bidi="ar-SA"/>
              </w:rPr>
              <w:t>）站内单车道宽度</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大于</w:t>
            </w:r>
            <w:r>
              <w:rPr>
                <w:rFonts w:ascii="Times New Roman" w:hAnsi="Times New Roman" w:eastAsia="Times New Roman" w:cs="Times New Roman"/>
                <w:snapToGrid w:val="0"/>
                <w:color w:val="000000"/>
                <w:spacing w:val="-2"/>
                <w:kern w:val="0"/>
                <w:sz w:val="18"/>
                <w:szCs w:val="18"/>
                <w:lang w:val="en-US" w:eastAsia="en-US" w:bidi="ar-SA"/>
              </w:rPr>
              <w:t>4m</w:t>
            </w:r>
            <w:r>
              <w:rPr>
                <w:rFonts w:ascii="宋体" w:hAnsi="宋体" w:eastAsia="宋体" w:cs="宋体"/>
                <w:snapToGrid w:val="0"/>
                <w:color w:val="000000"/>
                <w:spacing w:val="-2"/>
                <w:kern w:val="0"/>
                <w:sz w:val="18"/>
                <w:szCs w:val="18"/>
                <w:lang w:val="en-US" w:eastAsia="en-US" w:bidi="ar-SA"/>
              </w:rPr>
              <w:t>；</w:t>
            </w:r>
          </w:p>
          <w:p w14:paraId="173683FE">
            <w:pPr>
              <w:keepNext w:val="0"/>
              <w:keepLines w:val="0"/>
              <w:pageBreakBefore w:val="0"/>
              <w:kinsoku w:val="0"/>
              <w:wordWrap/>
              <w:overflowPunct/>
              <w:topLinePunct w:val="0"/>
              <w:autoSpaceDE w:val="0"/>
              <w:autoSpaceDN w:val="0"/>
              <w:bidi w:val="0"/>
              <w:adjustRightInd w:val="0"/>
              <w:snapToGrid w:val="0"/>
              <w:spacing w:before="46" w:line="300" w:lineRule="exact"/>
              <w:ind w:left="121" w:right="95" w:hanging="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2</w:t>
            </w:r>
            <w:r>
              <w:rPr>
                <w:rFonts w:ascii="宋体" w:hAnsi="宋体" w:eastAsia="宋体" w:cs="宋体"/>
                <w:snapToGrid w:val="0"/>
                <w:color w:val="000000"/>
                <w:spacing w:val="-7"/>
                <w:kern w:val="0"/>
                <w:sz w:val="18"/>
                <w:szCs w:val="18"/>
                <w:lang w:val="en-US" w:eastAsia="en-US" w:bidi="ar-SA"/>
              </w:rPr>
              <w:t>）道路转弯半径大</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于</w:t>
            </w:r>
            <w:r>
              <w:rPr>
                <w:rFonts w:ascii="Times New Roman" w:hAnsi="Times New Roman" w:eastAsia="Times New Roman" w:cs="Times New Roman"/>
                <w:snapToGrid w:val="0"/>
                <w:color w:val="000000"/>
                <w:spacing w:val="-3"/>
                <w:kern w:val="0"/>
                <w:sz w:val="18"/>
                <w:szCs w:val="18"/>
                <w:lang w:val="en-US" w:eastAsia="en-US" w:bidi="ar-SA"/>
              </w:rPr>
              <w:t>9m</w:t>
            </w:r>
            <w:r>
              <w:rPr>
                <w:rFonts w:ascii="宋体" w:hAnsi="宋体" w:eastAsia="宋体" w:cs="宋体"/>
                <w:snapToGrid w:val="0"/>
                <w:color w:val="000000"/>
                <w:spacing w:val="-3"/>
                <w:kern w:val="0"/>
                <w:sz w:val="18"/>
                <w:szCs w:val="18"/>
                <w:lang w:val="en-US" w:eastAsia="en-US" w:bidi="ar-SA"/>
              </w:rPr>
              <w:t>；</w:t>
            </w:r>
          </w:p>
          <w:p w14:paraId="095A92B5">
            <w:pPr>
              <w:keepNext w:val="0"/>
              <w:keepLines w:val="0"/>
              <w:pageBreakBefore w:val="0"/>
              <w:kinsoku w:val="0"/>
              <w:wordWrap/>
              <w:overflowPunct/>
              <w:topLinePunct w:val="0"/>
              <w:autoSpaceDE w:val="0"/>
              <w:autoSpaceDN w:val="0"/>
              <w:bidi w:val="0"/>
              <w:adjustRightInd w:val="0"/>
              <w:snapToGrid w:val="0"/>
              <w:spacing w:before="42" w:line="300" w:lineRule="exact"/>
              <w:ind w:left="119" w:right="95" w:hanging="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8"/>
                <w:kern w:val="0"/>
                <w:sz w:val="18"/>
                <w:szCs w:val="18"/>
                <w:lang w:val="en-US" w:eastAsia="en-US" w:bidi="ar-SA"/>
              </w:rPr>
              <w:t xml:space="preserve">3 </w:t>
            </w:r>
            <w:r>
              <w:rPr>
                <w:rFonts w:ascii="宋体" w:hAnsi="宋体" w:eastAsia="宋体" w:cs="宋体"/>
                <w:snapToGrid w:val="0"/>
                <w:color w:val="000000"/>
                <w:spacing w:val="8"/>
                <w:kern w:val="0"/>
                <w:sz w:val="18"/>
                <w:szCs w:val="18"/>
                <w:lang w:val="en-US" w:eastAsia="en-US" w:bidi="ar-SA"/>
              </w:rPr>
              <w:t>）站内道路较平</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缓；</w:t>
            </w:r>
          </w:p>
          <w:p w14:paraId="39F5BD9C">
            <w:pPr>
              <w:keepNext w:val="0"/>
              <w:keepLines w:val="0"/>
              <w:pageBreakBefore w:val="0"/>
              <w:kinsoku w:val="0"/>
              <w:wordWrap/>
              <w:overflowPunct/>
              <w:topLinePunct w:val="0"/>
              <w:autoSpaceDE w:val="0"/>
              <w:autoSpaceDN w:val="0"/>
              <w:bidi w:val="0"/>
              <w:adjustRightInd w:val="0"/>
              <w:snapToGrid w:val="0"/>
              <w:spacing w:before="43" w:line="300" w:lineRule="exact"/>
              <w:ind w:left="118" w:right="95" w:hanging="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4</w:t>
            </w:r>
            <w:r>
              <w:rPr>
                <w:rFonts w:ascii="宋体" w:hAnsi="宋体" w:eastAsia="宋体" w:cs="宋体"/>
                <w:snapToGrid w:val="0"/>
                <w:color w:val="000000"/>
                <w:spacing w:val="-7"/>
                <w:kern w:val="0"/>
                <w:sz w:val="18"/>
                <w:szCs w:val="18"/>
                <w:lang w:val="en-US" w:eastAsia="en-US" w:bidi="ar-SA"/>
              </w:rPr>
              <w:t>）路面采用水泥路</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面。</w:t>
            </w:r>
          </w:p>
        </w:tc>
        <w:tc>
          <w:tcPr>
            <w:tcW w:w="749" w:type="dxa"/>
            <w:tcBorders>
              <w:right w:val="single" w:color="000000" w:sz="10" w:space="0"/>
            </w:tcBorders>
            <w:vAlign w:val="top"/>
          </w:tcPr>
          <w:p w14:paraId="4A8C496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986654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9F8E84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85F4DE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12C549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61A5CA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634F048">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510F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30D3E68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86EADDC">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5"/>
                <w:kern w:val="0"/>
                <w:sz w:val="18"/>
                <w:szCs w:val="18"/>
                <w:lang w:eastAsia="en-US"/>
              </w:rPr>
              <w:t>8.</w:t>
            </w:r>
          </w:p>
        </w:tc>
        <w:tc>
          <w:tcPr>
            <w:tcW w:w="4049" w:type="dxa"/>
            <w:vAlign w:val="top"/>
          </w:tcPr>
          <w:p w14:paraId="45CC529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810B12D">
            <w:pPr>
              <w:keepNext w:val="0"/>
              <w:keepLines w:val="0"/>
              <w:pageBreakBefore w:val="0"/>
              <w:kinsoku w:val="0"/>
              <w:wordWrap/>
              <w:overflowPunct/>
              <w:topLinePunct w:val="0"/>
              <w:autoSpaceDE w:val="0"/>
              <w:autoSpaceDN w:val="0"/>
              <w:bidi w:val="0"/>
              <w:adjustRightInd w:val="0"/>
              <w:snapToGrid w:val="0"/>
              <w:spacing w:before="59" w:line="300" w:lineRule="exact"/>
              <w:ind w:left="10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加油作业区与辅助服务区之间应有界限标识。</w:t>
            </w:r>
          </w:p>
        </w:tc>
        <w:tc>
          <w:tcPr>
            <w:tcW w:w="2273" w:type="dxa"/>
            <w:vAlign w:val="top"/>
          </w:tcPr>
          <w:p w14:paraId="394A7E6F">
            <w:pPr>
              <w:keepNext w:val="0"/>
              <w:keepLines w:val="0"/>
              <w:pageBreakBefore w:val="0"/>
              <w:kinsoku w:val="0"/>
              <w:wordWrap/>
              <w:overflowPunct/>
              <w:topLinePunct w:val="0"/>
              <w:autoSpaceDE w:val="0"/>
              <w:autoSpaceDN w:val="0"/>
              <w:bidi w:val="0"/>
              <w:adjustRightInd w:val="0"/>
              <w:snapToGrid w:val="0"/>
              <w:spacing w:before="88"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5E658AE7">
            <w:pPr>
              <w:keepNext w:val="0"/>
              <w:keepLines w:val="0"/>
              <w:pageBreakBefore w:val="0"/>
              <w:kinsoku w:val="0"/>
              <w:wordWrap/>
              <w:overflowPunct/>
              <w:topLinePunct w:val="0"/>
              <w:autoSpaceDE w:val="0"/>
              <w:autoSpaceDN w:val="0"/>
              <w:bidi w:val="0"/>
              <w:adjustRightInd w:val="0"/>
              <w:snapToGrid w:val="0"/>
              <w:spacing w:before="57" w:line="300" w:lineRule="exact"/>
              <w:ind w:left="87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5.0.3</w:t>
            </w:r>
            <w:r>
              <w:rPr>
                <w:rFonts w:ascii="宋体" w:hAnsi="宋体" w:eastAsia="宋体" w:cs="宋体"/>
                <w:snapToGrid w:val="0"/>
                <w:color w:val="000000"/>
                <w:spacing w:val="-2"/>
                <w:kern w:val="0"/>
                <w:sz w:val="18"/>
                <w:szCs w:val="18"/>
                <w:lang w:val="en-US" w:eastAsia="en-US" w:bidi="ar-SA"/>
              </w:rPr>
              <w:t>，</w:t>
            </w:r>
          </w:p>
        </w:tc>
        <w:tc>
          <w:tcPr>
            <w:tcW w:w="1690" w:type="dxa"/>
            <w:vAlign w:val="top"/>
          </w:tcPr>
          <w:p w14:paraId="3115F8D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FE3ED77">
            <w:pPr>
              <w:keepNext w:val="0"/>
              <w:keepLines w:val="0"/>
              <w:pageBreakBefore w:val="0"/>
              <w:kinsoku w:val="0"/>
              <w:wordWrap/>
              <w:overflowPunct/>
              <w:topLinePunct w:val="0"/>
              <w:autoSpaceDE w:val="0"/>
              <w:autoSpaceDN w:val="0"/>
              <w:bidi w:val="0"/>
              <w:adjustRightInd w:val="0"/>
              <w:snapToGrid w:val="0"/>
              <w:spacing w:before="58" w:line="300" w:lineRule="exact"/>
              <w:ind w:left="12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设有标识。</w:t>
            </w:r>
          </w:p>
        </w:tc>
        <w:tc>
          <w:tcPr>
            <w:tcW w:w="749" w:type="dxa"/>
            <w:tcBorders>
              <w:right w:val="single" w:color="000000" w:sz="10" w:space="0"/>
            </w:tcBorders>
            <w:vAlign w:val="top"/>
          </w:tcPr>
          <w:p w14:paraId="63F60A3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8D538B7">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5AE6F8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bottom w:val="single" w:color="000000" w:sz="10" w:space="0"/>
            </w:tcBorders>
            <w:vAlign w:val="top"/>
          </w:tcPr>
          <w:p w14:paraId="293D571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8C77F4E">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0"/>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9.</w:t>
            </w:r>
          </w:p>
        </w:tc>
        <w:tc>
          <w:tcPr>
            <w:tcW w:w="4049" w:type="dxa"/>
            <w:tcBorders>
              <w:bottom w:val="single" w:color="000000" w:sz="10" w:space="0"/>
            </w:tcBorders>
            <w:vAlign w:val="top"/>
          </w:tcPr>
          <w:p w14:paraId="19EA0A64">
            <w:pPr>
              <w:keepNext w:val="0"/>
              <w:keepLines w:val="0"/>
              <w:pageBreakBefore w:val="0"/>
              <w:kinsoku w:val="0"/>
              <w:wordWrap/>
              <w:overflowPunct/>
              <w:topLinePunct w:val="0"/>
              <w:autoSpaceDE w:val="0"/>
              <w:autoSpaceDN w:val="0"/>
              <w:bidi w:val="0"/>
              <w:adjustRightInd w:val="0"/>
              <w:snapToGrid w:val="0"/>
              <w:spacing w:before="220" w:line="300" w:lineRule="exact"/>
              <w:ind w:left="104" w:right="19" w:hanging="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加油加气加氢站作业区内，不得有“</w:t>
            </w:r>
            <w:r>
              <w:rPr>
                <w:rFonts w:ascii="宋体" w:hAnsi="宋体" w:eastAsia="宋体" w:cs="宋体"/>
                <w:snapToGrid w:val="0"/>
                <w:color w:val="000000"/>
                <w:spacing w:val="-6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明火地点</w:t>
            </w:r>
            <w:r>
              <w:rPr>
                <w:rFonts w:ascii="宋体" w:hAnsi="宋体" w:eastAsia="宋体" w:cs="宋体"/>
                <w:snapToGrid w:val="0"/>
                <w:color w:val="000000"/>
                <w:spacing w:val="-6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或“散发火花地点</w:t>
            </w:r>
            <w:r>
              <w:rPr>
                <w:rFonts w:ascii="宋体" w:hAnsi="宋体" w:eastAsia="宋体" w:cs="宋体"/>
                <w:snapToGrid w:val="0"/>
                <w:color w:val="000000"/>
                <w:spacing w:val="-6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w:t>
            </w:r>
          </w:p>
        </w:tc>
        <w:tc>
          <w:tcPr>
            <w:tcW w:w="2273" w:type="dxa"/>
            <w:tcBorders>
              <w:bottom w:val="single" w:color="000000" w:sz="10" w:space="0"/>
            </w:tcBorders>
            <w:vAlign w:val="top"/>
          </w:tcPr>
          <w:p w14:paraId="2F5A507E">
            <w:pPr>
              <w:keepNext w:val="0"/>
              <w:keepLines w:val="0"/>
              <w:pageBreakBefore w:val="0"/>
              <w:kinsoku w:val="0"/>
              <w:wordWrap/>
              <w:overflowPunct/>
              <w:topLinePunct w:val="0"/>
              <w:autoSpaceDE w:val="0"/>
              <w:autoSpaceDN w:val="0"/>
              <w:bidi w:val="0"/>
              <w:adjustRightInd w:val="0"/>
              <w:snapToGrid w:val="0"/>
              <w:spacing w:before="91"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1752E435">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5.0.5</w:t>
            </w:r>
          </w:p>
        </w:tc>
        <w:tc>
          <w:tcPr>
            <w:tcW w:w="1690" w:type="dxa"/>
            <w:tcBorders>
              <w:bottom w:val="single" w:color="000000" w:sz="10" w:space="0"/>
            </w:tcBorders>
            <w:vAlign w:val="top"/>
          </w:tcPr>
          <w:p w14:paraId="3873A51F">
            <w:pPr>
              <w:keepNext w:val="0"/>
              <w:keepLines w:val="0"/>
              <w:pageBreakBefore w:val="0"/>
              <w:kinsoku w:val="0"/>
              <w:wordWrap/>
              <w:overflowPunct/>
              <w:topLinePunct w:val="0"/>
              <w:autoSpaceDE w:val="0"/>
              <w:autoSpaceDN w:val="0"/>
              <w:bidi w:val="0"/>
              <w:adjustRightInd w:val="0"/>
              <w:snapToGrid w:val="0"/>
              <w:spacing w:before="89" w:line="300" w:lineRule="exact"/>
              <w:ind w:left="109" w:right="92" w:firstLine="9"/>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加油作业区内没有</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1"/>
                <w:kern w:val="0"/>
                <w:sz w:val="18"/>
                <w:szCs w:val="18"/>
                <w:lang w:val="en-US" w:eastAsia="en-US" w:bidi="ar-SA"/>
              </w:rPr>
              <w:t>“</w:t>
            </w:r>
            <w:r>
              <w:rPr>
                <w:rFonts w:ascii="宋体" w:hAnsi="宋体" w:eastAsia="宋体" w:cs="宋体"/>
                <w:snapToGrid w:val="0"/>
                <w:color w:val="000000"/>
                <w:spacing w:val="-66"/>
                <w:kern w:val="0"/>
                <w:sz w:val="18"/>
                <w:szCs w:val="18"/>
                <w:lang w:val="en-US" w:eastAsia="en-US" w:bidi="ar-SA"/>
              </w:rPr>
              <w:t xml:space="preserve"> </w:t>
            </w:r>
            <w:r>
              <w:rPr>
                <w:rFonts w:ascii="宋体" w:hAnsi="宋体" w:eastAsia="宋体" w:cs="宋体"/>
                <w:snapToGrid w:val="0"/>
                <w:color w:val="000000"/>
                <w:spacing w:val="-21"/>
                <w:kern w:val="0"/>
                <w:sz w:val="18"/>
                <w:szCs w:val="18"/>
                <w:lang w:val="en-US" w:eastAsia="en-US" w:bidi="ar-SA"/>
              </w:rPr>
              <w:t>明火地点</w:t>
            </w:r>
            <w:r>
              <w:rPr>
                <w:rFonts w:ascii="宋体" w:hAnsi="宋体" w:eastAsia="宋体" w:cs="宋体"/>
                <w:snapToGrid w:val="0"/>
                <w:color w:val="000000"/>
                <w:spacing w:val="-66"/>
                <w:kern w:val="0"/>
                <w:sz w:val="18"/>
                <w:szCs w:val="18"/>
                <w:lang w:val="en-US" w:eastAsia="en-US" w:bidi="ar-SA"/>
              </w:rPr>
              <w:t xml:space="preserve"> </w:t>
            </w:r>
            <w:r>
              <w:rPr>
                <w:rFonts w:ascii="宋体" w:hAnsi="宋体" w:eastAsia="宋体" w:cs="宋体"/>
                <w:snapToGrid w:val="0"/>
                <w:color w:val="000000"/>
                <w:spacing w:val="-21"/>
                <w:kern w:val="0"/>
                <w:sz w:val="18"/>
                <w:szCs w:val="18"/>
                <w:lang w:val="en-US" w:eastAsia="en-US" w:bidi="ar-SA"/>
              </w:rPr>
              <w:t>”或“散</w:t>
            </w:r>
            <w:r>
              <w:rPr>
                <w:rFonts w:ascii="宋体" w:hAnsi="宋体" w:eastAsia="宋体" w:cs="宋体"/>
                <w:snapToGrid w:val="0"/>
                <w:color w:val="000000"/>
                <w:kern w:val="0"/>
                <w:sz w:val="18"/>
                <w:szCs w:val="18"/>
                <w:lang w:val="en-US" w:eastAsia="en-US" w:bidi="ar-SA"/>
              </w:rPr>
              <w:t xml:space="preserve"> 发火花地点</w:t>
            </w:r>
            <w:r>
              <w:rPr>
                <w:rFonts w:ascii="宋体" w:hAnsi="宋体" w:eastAsia="宋体" w:cs="宋体"/>
                <w:snapToGrid w:val="0"/>
                <w:color w:val="000000"/>
                <w:spacing w:val="-65"/>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w:t>
            </w:r>
          </w:p>
        </w:tc>
        <w:tc>
          <w:tcPr>
            <w:tcW w:w="749" w:type="dxa"/>
            <w:tcBorders>
              <w:bottom w:val="single" w:color="000000" w:sz="10" w:space="0"/>
              <w:right w:val="single" w:color="000000" w:sz="10" w:space="0"/>
            </w:tcBorders>
            <w:vAlign w:val="top"/>
          </w:tcPr>
          <w:p w14:paraId="0D52856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74B821E">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5D8C17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top w:val="single" w:color="000000" w:sz="10" w:space="0"/>
              <w:left w:val="single" w:color="000000" w:sz="10" w:space="0"/>
            </w:tcBorders>
            <w:vAlign w:val="top"/>
          </w:tcPr>
          <w:p w14:paraId="2EB2255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C7E462C">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10.</w:t>
            </w:r>
          </w:p>
        </w:tc>
        <w:tc>
          <w:tcPr>
            <w:tcW w:w="4049" w:type="dxa"/>
            <w:tcBorders>
              <w:top w:val="single" w:color="000000" w:sz="10" w:space="0"/>
            </w:tcBorders>
            <w:vAlign w:val="top"/>
          </w:tcPr>
          <w:p w14:paraId="1064802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AE1D554">
            <w:pPr>
              <w:keepNext w:val="0"/>
              <w:keepLines w:val="0"/>
              <w:pageBreakBefore w:val="0"/>
              <w:kinsoku w:val="0"/>
              <w:wordWrap/>
              <w:overflowPunct/>
              <w:topLinePunct w:val="0"/>
              <w:autoSpaceDE w:val="0"/>
              <w:autoSpaceDN w:val="0"/>
              <w:bidi w:val="0"/>
              <w:adjustRightInd w:val="0"/>
              <w:snapToGrid w:val="0"/>
              <w:spacing w:before="58" w:line="300" w:lineRule="exact"/>
              <w:ind w:left="12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电动汽车充电设施应布置在辅助服务区内。</w:t>
            </w:r>
          </w:p>
        </w:tc>
        <w:tc>
          <w:tcPr>
            <w:tcW w:w="2273" w:type="dxa"/>
            <w:tcBorders>
              <w:top w:val="single" w:color="000000" w:sz="10" w:space="0"/>
            </w:tcBorders>
            <w:vAlign w:val="top"/>
          </w:tcPr>
          <w:p w14:paraId="52657F6C">
            <w:pPr>
              <w:keepNext w:val="0"/>
              <w:keepLines w:val="0"/>
              <w:pageBreakBefore w:val="0"/>
              <w:kinsoku w:val="0"/>
              <w:wordWrap/>
              <w:overflowPunct/>
              <w:topLinePunct w:val="0"/>
              <w:autoSpaceDE w:val="0"/>
              <w:autoSpaceDN w:val="0"/>
              <w:bidi w:val="0"/>
              <w:adjustRightInd w:val="0"/>
              <w:snapToGrid w:val="0"/>
              <w:spacing w:before="78"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20BCF7F8">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5.0.7</w:t>
            </w:r>
          </w:p>
        </w:tc>
        <w:tc>
          <w:tcPr>
            <w:tcW w:w="1690" w:type="dxa"/>
            <w:tcBorders>
              <w:top w:val="single" w:color="000000" w:sz="10" w:space="0"/>
            </w:tcBorders>
            <w:vAlign w:val="top"/>
          </w:tcPr>
          <w:p w14:paraId="3C33B10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5B4558F">
            <w:pPr>
              <w:keepNext w:val="0"/>
              <w:keepLines w:val="0"/>
              <w:pageBreakBefore w:val="0"/>
              <w:kinsoku w:val="0"/>
              <w:wordWrap/>
              <w:overflowPunct/>
              <w:topLinePunct w:val="0"/>
              <w:autoSpaceDE w:val="0"/>
              <w:autoSpaceDN w:val="0"/>
              <w:bidi w:val="0"/>
              <w:adjustRightInd w:val="0"/>
              <w:snapToGrid w:val="0"/>
              <w:spacing w:before="58" w:line="300" w:lineRule="exact"/>
              <w:ind w:left="12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未设充电桩。</w:t>
            </w:r>
          </w:p>
        </w:tc>
        <w:tc>
          <w:tcPr>
            <w:tcW w:w="749" w:type="dxa"/>
            <w:tcBorders>
              <w:top w:val="single" w:color="000000" w:sz="10" w:space="0"/>
              <w:right w:val="single" w:color="000000" w:sz="10" w:space="0"/>
            </w:tcBorders>
            <w:vAlign w:val="top"/>
          </w:tcPr>
          <w:p w14:paraId="6C1860C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71BBB19">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4DEA4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1966600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FB1039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477CC99">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9"/>
                <w:kern w:val="0"/>
                <w:sz w:val="18"/>
                <w:szCs w:val="18"/>
                <w:lang w:eastAsia="en-US"/>
              </w:rPr>
              <w:t>11.</w:t>
            </w:r>
          </w:p>
        </w:tc>
        <w:tc>
          <w:tcPr>
            <w:tcW w:w="4049" w:type="dxa"/>
            <w:vAlign w:val="top"/>
          </w:tcPr>
          <w:p w14:paraId="5C6DF3B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C42740A">
            <w:pPr>
              <w:keepNext w:val="0"/>
              <w:keepLines w:val="0"/>
              <w:pageBreakBefore w:val="0"/>
              <w:kinsoku w:val="0"/>
              <w:wordWrap/>
              <w:overflowPunct/>
              <w:topLinePunct w:val="0"/>
              <w:autoSpaceDE w:val="0"/>
              <w:autoSpaceDN w:val="0"/>
              <w:bidi w:val="0"/>
              <w:adjustRightInd w:val="0"/>
              <w:snapToGrid w:val="0"/>
              <w:spacing w:before="58" w:line="300" w:lineRule="exact"/>
              <w:ind w:left="101"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加油加气加氢站的变配电间或室外变压器应布置</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在作业区之外。变配电间的起算点应为门窗等洞</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口。</w:t>
            </w:r>
          </w:p>
        </w:tc>
        <w:tc>
          <w:tcPr>
            <w:tcW w:w="2273" w:type="dxa"/>
            <w:vAlign w:val="top"/>
          </w:tcPr>
          <w:p w14:paraId="1AB3B4A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ECBE9B3">
            <w:pPr>
              <w:keepNext w:val="0"/>
              <w:keepLines w:val="0"/>
              <w:pageBreakBefore w:val="0"/>
              <w:kinsoku w:val="0"/>
              <w:wordWrap/>
              <w:overflowPunct/>
              <w:topLinePunct w:val="0"/>
              <w:autoSpaceDE w:val="0"/>
              <w:autoSpaceDN w:val="0"/>
              <w:bidi w:val="0"/>
              <w:adjustRightInd w:val="0"/>
              <w:snapToGrid w:val="0"/>
              <w:spacing w:before="58"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4F8D65DE">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5.0.8</w:t>
            </w:r>
          </w:p>
        </w:tc>
        <w:tc>
          <w:tcPr>
            <w:tcW w:w="1690" w:type="dxa"/>
            <w:vAlign w:val="top"/>
          </w:tcPr>
          <w:p w14:paraId="6D108405">
            <w:pPr>
              <w:keepNext w:val="0"/>
              <w:keepLines w:val="0"/>
              <w:pageBreakBefore w:val="0"/>
              <w:kinsoku w:val="0"/>
              <w:wordWrap/>
              <w:overflowPunct/>
              <w:topLinePunct w:val="0"/>
              <w:autoSpaceDE w:val="0"/>
              <w:autoSpaceDN w:val="0"/>
              <w:bidi w:val="0"/>
              <w:adjustRightInd w:val="0"/>
              <w:snapToGrid w:val="0"/>
              <w:spacing w:before="90" w:line="300" w:lineRule="exact"/>
              <w:ind w:left="117" w:right="9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加油站的配电设施</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布置在爆炸危险区</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域之外，且与爆炸</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危险区域边界线最</w:t>
            </w:r>
            <w:r>
              <w:rPr>
                <w:rFonts w:ascii="宋体" w:hAnsi="宋体" w:eastAsia="宋体" w:cs="宋体"/>
                <w:snapToGrid w:val="0"/>
                <w:color w:val="000000"/>
                <w:spacing w:val="-4"/>
                <w:kern w:val="0"/>
                <w:sz w:val="18"/>
                <w:szCs w:val="18"/>
                <w:lang w:val="en-US" w:eastAsia="en-US" w:bidi="ar-SA"/>
              </w:rPr>
              <w:t>近距离不小于</w:t>
            </w:r>
            <w:r>
              <w:rPr>
                <w:rFonts w:ascii="Times New Roman" w:hAnsi="Times New Roman" w:eastAsia="Times New Roman" w:cs="Times New Roman"/>
                <w:snapToGrid w:val="0"/>
                <w:color w:val="000000"/>
                <w:spacing w:val="-4"/>
                <w:kern w:val="0"/>
                <w:sz w:val="18"/>
                <w:szCs w:val="18"/>
                <w:lang w:val="en-US" w:eastAsia="en-US" w:bidi="ar-SA"/>
              </w:rPr>
              <w:t>3m</w:t>
            </w:r>
            <w:r>
              <w:rPr>
                <w:rFonts w:ascii="宋体" w:hAnsi="宋体" w:eastAsia="宋体" w:cs="宋体"/>
                <w:snapToGrid w:val="0"/>
                <w:color w:val="000000"/>
                <w:spacing w:val="-4"/>
                <w:kern w:val="0"/>
                <w:sz w:val="18"/>
                <w:szCs w:val="18"/>
                <w:lang w:val="en-US" w:eastAsia="en-US" w:bidi="ar-SA"/>
              </w:rPr>
              <w:t>。</w:t>
            </w:r>
          </w:p>
        </w:tc>
        <w:tc>
          <w:tcPr>
            <w:tcW w:w="749" w:type="dxa"/>
            <w:tcBorders>
              <w:right w:val="single" w:color="000000" w:sz="10" w:space="0"/>
            </w:tcBorders>
            <w:vAlign w:val="top"/>
          </w:tcPr>
          <w:p w14:paraId="3AB92D9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2E5964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4F55344">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76740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688C84C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67A035F">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12.</w:t>
            </w:r>
          </w:p>
        </w:tc>
        <w:tc>
          <w:tcPr>
            <w:tcW w:w="4049" w:type="dxa"/>
            <w:vAlign w:val="top"/>
          </w:tcPr>
          <w:p w14:paraId="04DA8495">
            <w:pPr>
              <w:keepNext w:val="0"/>
              <w:keepLines w:val="0"/>
              <w:pageBreakBefore w:val="0"/>
              <w:kinsoku w:val="0"/>
              <w:wordWrap/>
              <w:overflowPunct/>
              <w:topLinePunct w:val="0"/>
              <w:autoSpaceDE w:val="0"/>
              <w:autoSpaceDN w:val="0"/>
              <w:bidi w:val="0"/>
              <w:adjustRightInd w:val="0"/>
              <w:snapToGrid w:val="0"/>
              <w:spacing w:before="70" w:line="300" w:lineRule="exact"/>
              <w:ind w:left="101" w:right="104"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站房不应布置在爆炸危险区域。站房部分位于作</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业区内时，建筑面积等应符合本标准第</w:t>
            </w:r>
            <w:r>
              <w:rPr>
                <w:rFonts w:ascii="Times New Roman" w:hAnsi="Times New Roman" w:eastAsia="Times New Roman" w:cs="Times New Roman"/>
                <w:snapToGrid w:val="0"/>
                <w:color w:val="000000"/>
                <w:spacing w:val="1"/>
                <w:kern w:val="0"/>
                <w:sz w:val="18"/>
                <w:szCs w:val="18"/>
                <w:lang w:val="en-US" w:eastAsia="en-US" w:bidi="ar-SA"/>
              </w:rPr>
              <w:t>14.2.</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10</w:t>
            </w:r>
            <w:r>
              <w:rPr>
                <w:rFonts w:ascii="宋体" w:hAnsi="宋体" w:eastAsia="宋体" w:cs="宋体"/>
                <w:snapToGrid w:val="0"/>
                <w:color w:val="000000"/>
                <w:spacing w:val="1"/>
                <w:kern w:val="0"/>
                <w:sz w:val="18"/>
                <w:szCs w:val="18"/>
                <w:lang w:val="en-US" w:eastAsia="en-US" w:bidi="ar-SA"/>
              </w:rPr>
              <w:t>条</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的规定。</w:t>
            </w:r>
          </w:p>
        </w:tc>
        <w:tc>
          <w:tcPr>
            <w:tcW w:w="2273" w:type="dxa"/>
            <w:vAlign w:val="top"/>
          </w:tcPr>
          <w:p w14:paraId="4DCB65A1">
            <w:pPr>
              <w:keepNext w:val="0"/>
              <w:keepLines w:val="0"/>
              <w:pageBreakBefore w:val="0"/>
              <w:kinsoku w:val="0"/>
              <w:wordWrap/>
              <w:overflowPunct/>
              <w:topLinePunct w:val="0"/>
              <w:autoSpaceDE w:val="0"/>
              <w:autoSpaceDN w:val="0"/>
              <w:bidi w:val="0"/>
              <w:adjustRightInd w:val="0"/>
              <w:snapToGrid w:val="0"/>
              <w:spacing w:before="70"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0C1D4D9B">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5.0.9</w:t>
            </w:r>
          </w:p>
        </w:tc>
        <w:tc>
          <w:tcPr>
            <w:tcW w:w="1690" w:type="dxa"/>
            <w:vAlign w:val="top"/>
          </w:tcPr>
          <w:p w14:paraId="1957EF1C">
            <w:pPr>
              <w:keepNext w:val="0"/>
              <w:keepLines w:val="0"/>
              <w:pageBreakBefore w:val="0"/>
              <w:kinsoku w:val="0"/>
              <w:wordWrap/>
              <w:overflowPunct/>
              <w:topLinePunct w:val="0"/>
              <w:autoSpaceDE w:val="0"/>
              <w:autoSpaceDN w:val="0"/>
              <w:bidi w:val="0"/>
              <w:adjustRightInd w:val="0"/>
              <w:snapToGrid w:val="0"/>
              <w:spacing w:before="199" w:line="300" w:lineRule="exact"/>
              <w:ind w:left="120" w:right="95" w:hanging="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站房未设置在爆炸</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危险区内。</w:t>
            </w:r>
          </w:p>
        </w:tc>
        <w:tc>
          <w:tcPr>
            <w:tcW w:w="749" w:type="dxa"/>
            <w:tcBorders>
              <w:right w:val="single" w:color="000000" w:sz="10" w:space="0"/>
            </w:tcBorders>
            <w:vAlign w:val="top"/>
          </w:tcPr>
          <w:p w14:paraId="001948C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D01A87B">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70D92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01FDDE6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434999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D30CD0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05CED06">
            <w:pPr>
              <w:keepNext w:val="0"/>
              <w:keepLines w:val="0"/>
              <w:pageBreakBefore w:val="0"/>
              <w:widowControl/>
              <w:kinsoku w:val="0"/>
              <w:wordWrap/>
              <w:overflowPunct/>
              <w:topLinePunct w:val="0"/>
              <w:autoSpaceDE w:val="0"/>
              <w:autoSpaceDN w:val="0"/>
              <w:bidi w:val="0"/>
              <w:adjustRightInd w:val="0"/>
              <w:snapToGrid w:val="0"/>
              <w:spacing w:before="51"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13.</w:t>
            </w:r>
          </w:p>
        </w:tc>
        <w:tc>
          <w:tcPr>
            <w:tcW w:w="4049" w:type="dxa"/>
            <w:vAlign w:val="top"/>
          </w:tcPr>
          <w:p w14:paraId="04CA639B">
            <w:pPr>
              <w:keepNext w:val="0"/>
              <w:keepLines w:val="0"/>
              <w:pageBreakBefore w:val="0"/>
              <w:kinsoku w:val="0"/>
              <w:wordWrap/>
              <w:overflowPunct/>
              <w:topLinePunct w:val="0"/>
              <w:autoSpaceDE w:val="0"/>
              <w:autoSpaceDN w:val="0"/>
              <w:bidi w:val="0"/>
              <w:adjustRightInd w:val="0"/>
              <w:snapToGrid w:val="0"/>
              <w:spacing w:before="84" w:line="300" w:lineRule="exact"/>
              <w:ind w:left="97" w:right="104" w:firstLine="1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当汽车加油加气加氢站内设置非油品业务建筑物</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或设施时，不应布置在作业区内，与站内可燃液</w:t>
            </w:r>
            <w:r>
              <w:rPr>
                <w:rFonts w:ascii="宋体" w:hAnsi="宋体" w:eastAsia="宋体" w:cs="宋体"/>
                <w:snapToGrid w:val="0"/>
                <w:color w:val="000000"/>
                <w:spacing w:val="1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体或可燃气体设备的防火间距，应符合本标准第</w:t>
            </w:r>
            <w:r>
              <w:rPr>
                <w:rFonts w:ascii="宋体" w:hAnsi="宋体" w:eastAsia="宋体" w:cs="宋体"/>
                <w:snapToGrid w:val="0"/>
                <w:color w:val="000000"/>
                <w:spacing w:val="1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4.0.4</w:t>
            </w:r>
            <w:r>
              <w:rPr>
                <w:rFonts w:ascii="宋体" w:hAnsi="宋体" w:eastAsia="宋体" w:cs="宋体"/>
                <w:snapToGrid w:val="0"/>
                <w:color w:val="000000"/>
                <w:spacing w:val="2"/>
                <w:kern w:val="0"/>
                <w:sz w:val="18"/>
                <w:szCs w:val="18"/>
                <w:lang w:val="en-US" w:eastAsia="en-US" w:bidi="ar-SA"/>
              </w:rPr>
              <w:t>条～第</w:t>
            </w:r>
            <w:r>
              <w:rPr>
                <w:rFonts w:ascii="Times New Roman" w:hAnsi="Times New Roman" w:eastAsia="Times New Roman" w:cs="Times New Roman"/>
                <w:snapToGrid w:val="0"/>
                <w:color w:val="000000"/>
                <w:spacing w:val="2"/>
                <w:kern w:val="0"/>
                <w:sz w:val="18"/>
                <w:szCs w:val="18"/>
                <w:lang w:val="en-US" w:eastAsia="en-US" w:bidi="ar-SA"/>
              </w:rPr>
              <w:t>4.0.8</w:t>
            </w:r>
            <w:r>
              <w:rPr>
                <w:rFonts w:ascii="宋体" w:hAnsi="宋体" w:eastAsia="宋体" w:cs="宋体"/>
                <w:snapToGrid w:val="0"/>
                <w:color w:val="000000"/>
                <w:spacing w:val="2"/>
                <w:kern w:val="0"/>
                <w:sz w:val="18"/>
                <w:szCs w:val="18"/>
                <w:lang w:val="en-US" w:eastAsia="en-US" w:bidi="ar-SA"/>
              </w:rPr>
              <w:t>条有关三类保护物的规定。当站</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内经营性餐饮、汽车服务、司机休息室等设施内</w:t>
            </w:r>
            <w:r>
              <w:rPr>
                <w:rFonts w:ascii="宋体" w:hAnsi="宋体" w:eastAsia="宋体" w:cs="宋体"/>
                <w:snapToGrid w:val="0"/>
                <w:color w:val="000000"/>
                <w:spacing w:val="18"/>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设置明火设备时，应等同于“</w:t>
            </w:r>
            <w:r>
              <w:rPr>
                <w:rFonts w:ascii="宋体" w:hAnsi="宋体" w:eastAsia="宋体" w:cs="宋体"/>
                <w:snapToGrid w:val="0"/>
                <w:color w:val="000000"/>
                <w:spacing w:val="-58"/>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明火地点</w:t>
            </w:r>
            <w:r>
              <w:rPr>
                <w:rFonts w:ascii="宋体" w:hAnsi="宋体" w:eastAsia="宋体" w:cs="宋体"/>
                <w:snapToGrid w:val="0"/>
                <w:color w:val="000000"/>
                <w:spacing w:val="-6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”或“散 </w:t>
            </w:r>
            <w:r>
              <w:rPr>
                <w:rFonts w:ascii="宋体" w:hAnsi="宋体" w:eastAsia="宋体" w:cs="宋体"/>
                <w:snapToGrid w:val="0"/>
                <w:color w:val="000000"/>
                <w:spacing w:val="-1"/>
                <w:kern w:val="0"/>
                <w:sz w:val="18"/>
                <w:szCs w:val="18"/>
                <w:lang w:val="en-US" w:eastAsia="en-US" w:bidi="ar-SA"/>
              </w:rPr>
              <w:t>发火花地点</w:t>
            </w:r>
            <w:r>
              <w:rPr>
                <w:rFonts w:ascii="宋体" w:hAnsi="宋体" w:eastAsia="宋体" w:cs="宋体"/>
                <w:snapToGrid w:val="0"/>
                <w:color w:val="000000"/>
                <w:spacing w:val="-6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w:t>
            </w:r>
          </w:p>
        </w:tc>
        <w:tc>
          <w:tcPr>
            <w:tcW w:w="2273" w:type="dxa"/>
            <w:vAlign w:val="top"/>
          </w:tcPr>
          <w:p w14:paraId="5A810F3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4CFEAA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0CEDFC1">
            <w:pPr>
              <w:keepNext w:val="0"/>
              <w:keepLines w:val="0"/>
              <w:pageBreakBefore w:val="0"/>
              <w:kinsoku w:val="0"/>
              <w:wordWrap/>
              <w:overflowPunct/>
              <w:topLinePunct w:val="0"/>
              <w:autoSpaceDE w:val="0"/>
              <w:autoSpaceDN w:val="0"/>
              <w:bidi w:val="0"/>
              <w:adjustRightInd w:val="0"/>
              <w:snapToGrid w:val="0"/>
              <w:spacing w:before="5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6E6D9A82">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5.0.10</w:t>
            </w:r>
          </w:p>
        </w:tc>
        <w:tc>
          <w:tcPr>
            <w:tcW w:w="1690" w:type="dxa"/>
            <w:vAlign w:val="top"/>
          </w:tcPr>
          <w:p w14:paraId="4E5C64A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A3F9B5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E5807A8">
            <w:pPr>
              <w:keepNext w:val="0"/>
              <w:keepLines w:val="0"/>
              <w:pageBreakBefore w:val="0"/>
              <w:kinsoku w:val="0"/>
              <w:wordWrap/>
              <w:overflowPunct/>
              <w:topLinePunct w:val="0"/>
              <w:autoSpaceDE w:val="0"/>
              <w:autoSpaceDN w:val="0"/>
              <w:bidi w:val="0"/>
              <w:adjustRightInd w:val="0"/>
              <w:snapToGrid w:val="0"/>
              <w:spacing w:before="58" w:line="300" w:lineRule="exact"/>
              <w:ind w:left="120" w:right="9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 xml:space="preserve">未设置非油品业务 </w:t>
            </w:r>
            <w:r>
              <w:rPr>
                <w:rFonts w:ascii="宋体" w:hAnsi="宋体" w:eastAsia="宋体" w:cs="宋体"/>
                <w:snapToGrid w:val="0"/>
                <w:color w:val="000000"/>
                <w:spacing w:val="-2"/>
                <w:kern w:val="0"/>
                <w:sz w:val="18"/>
                <w:szCs w:val="18"/>
                <w:lang w:val="en-US" w:eastAsia="en-US" w:bidi="ar-SA"/>
              </w:rPr>
              <w:t>建筑物或设施。</w:t>
            </w:r>
          </w:p>
        </w:tc>
        <w:tc>
          <w:tcPr>
            <w:tcW w:w="749" w:type="dxa"/>
            <w:tcBorders>
              <w:right w:val="single" w:color="000000" w:sz="10" w:space="0"/>
            </w:tcBorders>
            <w:vAlign w:val="top"/>
          </w:tcPr>
          <w:p w14:paraId="6E5D7DD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6D1CE9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67AD5D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D7B10C1">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0314C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3E084E8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D9A7A29">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14.</w:t>
            </w:r>
          </w:p>
        </w:tc>
        <w:tc>
          <w:tcPr>
            <w:tcW w:w="4049" w:type="dxa"/>
            <w:vAlign w:val="top"/>
          </w:tcPr>
          <w:p w14:paraId="3CE2DD0A">
            <w:pPr>
              <w:keepNext w:val="0"/>
              <w:keepLines w:val="0"/>
              <w:pageBreakBefore w:val="0"/>
              <w:kinsoku w:val="0"/>
              <w:wordWrap/>
              <w:overflowPunct/>
              <w:topLinePunct w:val="0"/>
              <w:autoSpaceDE w:val="0"/>
              <w:autoSpaceDN w:val="0"/>
              <w:bidi w:val="0"/>
              <w:adjustRightInd w:val="0"/>
              <w:snapToGrid w:val="0"/>
              <w:spacing w:before="214" w:line="300" w:lineRule="exact"/>
              <w:ind w:left="117" w:right="104" w:hanging="1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汽车加油加气加氢站内的爆炸危险区域，不应超</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出站区围墙和可用地界线。</w:t>
            </w:r>
          </w:p>
        </w:tc>
        <w:tc>
          <w:tcPr>
            <w:tcW w:w="2273" w:type="dxa"/>
            <w:vAlign w:val="top"/>
          </w:tcPr>
          <w:p w14:paraId="45F667C7">
            <w:pPr>
              <w:keepNext w:val="0"/>
              <w:keepLines w:val="0"/>
              <w:pageBreakBefore w:val="0"/>
              <w:kinsoku w:val="0"/>
              <w:wordWrap/>
              <w:overflowPunct/>
              <w:topLinePunct w:val="0"/>
              <w:autoSpaceDE w:val="0"/>
              <w:autoSpaceDN w:val="0"/>
              <w:bidi w:val="0"/>
              <w:adjustRightInd w:val="0"/>
              <w:snapToGrid w:val="0"/>
              <w:spacing w:before="84"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6AB1C8FA">
            <w:pPr>
              <w:keepNext w:val="0"/>
              <w:keepLines w:val="0"/>
              <w:pageBreakBefore w:val="0"/>
              <w:widowControl/>
              <w:kinsoku w:val="0"/>
              <w:wordWrap/>
              <w:overflowPunct/>
              <w:topLinePunct w:val="0"/>
              <w:autoSpaceDE w:val="0"/>
              <w:autoSpaceDN w:val="0"/>
              <w:bidi w:val="0"/>
              <w:adjustRightInd w:val="0"/>
              <w:snapToGrid w:val="0"/>
              <w:spacing w:before="52" w:line="300" w:lineRule="exact"/>
              <w:ind w:left="9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5"/>
                <w:kern w:val="0"/>
                <w:sz w:val="18"/>
                <w:szCs w:val="18"/>
                <w:lang w:eastAsia="en-US"/>
              </w:rPr>
              <w:t>5.0.</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5"/>
                <w:kern w:val="0"/>
                <w:sz w:val="18"/>
                <w:szCs w:val="18"/>
                <w:lang w:eastAsia="en-US"/>
              </w:rPr>
              <w:t>11</w:t>
            </w:r>
          </w:p>
        </w:tc>
        <w:tc>
          <w:tcPr>
            <w:tcW w:w="1690" w:type="dxa"/>
            <w:vAlign w:val="top"/>
          </w:tcPr>
          <w:p w14:paraId="13FB3BF0">
            <w:pPr>
              <w:keepNext w:val="0"/>
              <w:keepLines w:val="0"/>
              <w:pageBreakBefore w:val="0"/>
              <w:kinsoku w:val="0"/>
              <w:wordWrap/>
              <w:overflowPunct/>
              <w:topLinePunct w:val="0"/>
              <w:autoSpaceDE w:val="0"/>
              <w:autoSpaceDN w:val="0"/>
              <w:bidi w:val="0"/>
              <w:adjustRightInd w:val="0"/>
              <w:snapToGrid w:val="0"/>
              <w:spacing w:before="85" w:line="300" w:lineRule="exact"/>
              <w:ind w:left="119" w:right="9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该站的爆炸危险区 域，未超出站区可</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用地界线。</w:t>
            </w:r>
          </w:p>
        </w:tc>
        <w:tc>
          <w:tcPr>
            <w:tcW w:w="749" w:type="dxa"/>
            <w:tcBorders>
              <w:right w:val="single" w:color="000000" w:sz="10" w:space="0"/>
            </w:tcBorders>
            <w:vAlign w:val="top"/>
          </w:tcPr>
          <w:p w14:paraId="36B545E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354237A">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964C5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08A4FFA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BE3528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9CF096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C8BBA3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CBE359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B41C14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EC63E8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F893E38">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15.</w:t>
            </w:r>
          </w:p>
        </w:tc>
        <w:tc>
          <w:tcPr>
            <w:tcW w:w="4049" w:type="dxa"/>
            <w:vAlign w:val="top"/>
          </w:tcPr>
          <w:p w14:paraId="2F61831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A5CD86C">
            <w:pPr>
              <w:keepNext w:val="0"/>
              <w:keepLines w:val="0"/>
              <w:pageBreakBefore w:val="0"/>
              <w:kinsoku w:val="0"/>
              <w:wordWrap/>
              <w:overflowPunct/>
              <w:topLinePunct w:val="0"/>
              <w:autoSpaceDE w:val="0"/>
              <w:autoSpaceDN w:val="0"/>
              <w:bidi w:val="0"/>
              <w:adjustRightInd w:val="0"/>
              <w:snapToGrid w:val="0"/>
              <w:spacing w:before="58" w:line="300" w:lineRule="exact"/>
              <w:ind w:left="101" w:right="10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汽车加油加气加氢站的工艺设备与站外建（构） 筑物之间，宜设置不燃烧体实体围墙，围墙高度</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相对于站内和站外地坪均不宜低于</w:t>
            </w:r>
            <w:r>
              <w:rPr>
                <w:rFonts w:ascii="Times New Roman" w:hAnsi="Times New Roman" w:eastAsia="Times New Roman" w:cs="Times New Roman"/>
                <w:snapToGrid w:val="0"/>
                <w:color w:val="000000"/>
                <w:spacing w:val="1"/>
                <w:kern w:val="0"/>
                <w:sz w:val="18"/>
                <w:szCs w:val="18"/>
                <w:lang w:val="en-US" w:eastAsia="en-US" w:bidi="ar-SA"/>
              </w:rPr>
              <w:t>2.2m</w:t>
            </w:r>
            <w:r>
              <w:rPr>
                <w:rFonts w:ascii="Times New Roman" w:hAnsi="Times New Roman" w:eastAsia="Times New Roman" w:cs="Times New Roman"/>
                <w:snapToGrid w:val="0"/>
                <w:color w:val="000000"/>
                <w:spacing w:val="-1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。当汽车</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加油加气加氢站的工艺设备与站外建（构）筑物</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之间的距离大于本标准表</w:t>
            </w:r>
            <w:r>
              <w:rPr>
                <w:rFonts w:ascii="Times New Roman" w:hAnsi="Times New Roman" w:eastAsia="Times New Roman" w:cs="Times New Roman"/>
                <w:snapToGrid w:val="0"/>
                <w:color w:val="000000"/>
                <w:spacing w:val="2"/>
                <w:kern w:val="0"/>
                <w:sz w:val="18"/>
                <w:szCs w:val="18"/>
                <w:lang w:val="en-US" w:eastAsia="en-US" w:bidi="ar-SA"/>
              </w:rPr>
              <w:t>4.0.4</w:t>
            </w:r>
            <w:r>
              <w:rPr>
                <w:rFonts w:ascii="宋体" w:hAnsi="宋体" w:eastAsia="宋体" w:cs="宋体"/>
                <w:snapToGrid w:val="0"/>
                <w:color w:val="000000"/>
                <w:spacing w:val="2"/>
                <w:kern w:val="0"/>
                <w:sz w:val="18"/>
                <w:szCs w:val="18"/>
                <w:lang w:val="en-US" w:eastAsia="en-US" w:bidi="ar-SA"/>
              </w:rPr>
              <w:t>～表</w:t>
            </w:r>
            <w:r>
              <w:rPr>
                <w:rFonts w:ascii="Times New Roman" w:hAnsi="Times New Roman" w:eastAsia="Times New Roman" w:cs="Times New Roman"/>
                <w:snapToGrid w:val="0"/>
                <w:color w:val="000000"/>
                <w:spacing w:val="2"/>
                <w:kern w:val="0"/>
                <w:sz w:val="18"/>
                <w:szCs w:val="18"/>
                <w:lang w:val="en-US" w:eastAsia="en-US" w:bidi="ar-SA"/>
              </w:rPr>
              <w:t>4.0.8</w:t>
            </w:r>
            <w:r>
              <w:rPr>
                <w:rFonts w:ascii="宋体" w:hAnsi="宋体" w:eastAsia="宋体" w:cs="宋体"/>
                <w:snapToGrid w:val="0"/>
                <w:color w:val="000000"/>
                <w:spacing w:val="2"/>
                <w:kern w:val="0"/>
                <w:sz w:val="18"/>
                <w:szCs w:val="18"/>
                <w:lang w:val="en-US" w:eastAsia="en-US" w:bidi="ar-SA"/>
              </w:rPr>
              <w:t>中安全间</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距的</w:t>
            </w:r>
            <w:r>
              <w:rPr>
                <w:rFonts w:ascii="Times New Roman" w:hAnsi="Times New Roman" w:eastAsia="Times New Roman" w:cs="Times New Roman"/>
                <w:snapToGrid w:val="0"/>
                <w:color w:val="000000"/>
                <w:spacing w:val="2"/>
                <w:kern w:val="0"/>
                <w:sz w:val="18"/>
                <w:szCs w:val="18"/>
                <w:lang w:val="en-US" w:eastAsia="en-US" w:bidi="ar-SA"/>
              </w:rPr>
              <w:t>1.5</w:t>
            </w:r>
            <w:r>
              <w:rPr>
                <w:rFonts w:ascii="宋体" w:hAnsi="宋体" w:eastAsia="宋体" w:cs="宋体"/>
                <w:snapToGrid w:val="0"/>
                <w:color w:val="000000"/>
                <w:spacing w:val="2"/>
                <w:kern w:val="0"/>
                <w:sz w:val="18"/>
                <w:szCs w:val="18"/>
                <w:lang w:val="en-US" w:eastAsia="en-US" w:bidi="ar-SA"/>
              </w:rPr>
              <w:t>倍，且大于</w:t>
            </w:r>
            <w:r>
              <w:rPr>
                <w:rFonts w:ascii="Times New Roman" w:hAnsi="Times New Roman" w:eastAsia="Times New Roman" w:cs="Times New Roman"/>
                <w:snapToGrid w:val="0"/>
                <w:color w:val="000000"/>
                <w:spacing w:val="2"/>
                <w:kern w:val="0"/>
                <w:sz w:val="18"/>
                <w:szCs w:val="18"/>
                <w:lang w:val="en-US" w:eastAsia="en-US" w:bidi="ar-SA"/>
              </w:rPr>
              <w:t>25m</w:t>
            </w:r>
            <w:r>
              <w:rPr>
                <w:rFonts w:ascii="宋体" w:hAnsi="宋体" w:eastAsia="宋体" w:cs="宋体"/>
                <w:snapToGrid w:val="0"/>
                <w:color w:val="000000"/>
                <w:spacing w:val="2"/>
                <w:kern w:val="0"/>
                <w:sz w:val="18"/>
                <w:szCs w:val="18"/>
                <w:lang w:val="en-US" w:eastAsia="en-US" w:bidi="ar-SA"/>
              </w:rPr>
              <w:t>时，可设置非实体围墙。</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面向车辆入口和出口道路的一侧可设非实体围墙</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或不设围墙。与站区限毗邻的一、二级耐火等级</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的站外建（构）筑物，其面向加油加气加氢站侧</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无门、窗、孔洞的外墙，可视为站区实体围墙的</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一部分，但站内工艺设备与其的安全距离应符合</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本标准表</w:t>
            </w:r>
            <w:r>
              <w:rPr>
                <w:rFonts w:ascii="Times New Roman" w:hAnsi="Times New Roman" w:eastAsia="Times New Roman" w:cs="Times New Roman"/>
                <w:snapToGrid w:val="0"/>
                <w:color w:val="000000"/>
                <w:spacing w:val="-1"/>
                <w:kern w:val="0"/>
                <w:sz w:val="18"/>
                <w:szCs w:val="18"/>
                <w:lang w:val="en-US" w:eastAsia="en-US" w:bidi="ar-SA"/>
              </w:rPr>
              <w:t>4.0.4</w:t>
            </w:r>
            <w:r>
              <w:rPr>
                <w:rFonts w:ascii="宋体" w:hAnsi="宋体" w:eastAsia="宋体" w:cs="宋体"/>
                <w:snapToGrid w:val="0"/>
                <w:color w:val="000000"/>
                <w:spacing w:val="-1"/>
                <w:kern w:val="0"/>
                <w:sz w:val="18"/>
                <w:szCs w:val="18"/>
                <w:lang w:val="en-US" w:eastAsia="en-US" w:bidi="ar-SA"/>
              </w:rPr>
              <w:t>～表</w:t>
            </w:r>
            <w:r>
              <w:rPr>
                <w:rFonts w:ascii="Times New Roman" w:hAnsi="Times New Roman" w:eastAsia="Times New Roman" w:cs="Times New Roman"/>
                <w:snapToGrid w:val="0"/>
                <w:color w:val="000000"/>
                <w:spacing w:val="-1"/>
                <w:kern w:val="0"/>
                <w:sz w:val="18"/>
                <w:szCs w:val="18"/>
                <w:lang w:val="en-US" w:eastAsia="en-US" w:bidi="ar-SA"/>
              </w:rPr>
              <w:t>4.0.8</w:t>
            </w:r>
            <w:r>
              <w:rPr>
                <w:rFonts w:ascii="宋体" w:hAnsi="宋体" w:eastAsia="宋体" w:cs="宋体"/>
                <w:snapToGrid w:val="0"/>
                <w:color w:val="000000"/>
                <w:spacing w:val="-1"/>
                <w:kern w:val="0"/>
                <w:sz w:val="18"/>
                <w:szCs w:val="18"/>
                <w:lang w:val="en-US" w:eastAsia="en-US" w:bidi="ar-SA"/>
              </w:rPr>
              <w:t>的相关规定。</w:t>
            </w:r>
          </w:p>
        </w:tc>
        <w:tc>
          <w:tcPr>
            <w:tcW w:w="2273" w:type="dxa"/>
            <w:vAlign w:val="top"/>
          </w:tcPr>
          <w:p w14:paraId="6423F22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8D24CA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34AE05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836322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E9A5D0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FF0EB25">
            <w:pPr>
              <w:keepNext w:val="0"/>
              <w:keepLines w:val="0"/>
              <w:pageBreakBefore w:val="0"/>
              <w:kinsoku w:val="0"/>
              <w:wordWrap/>
              <w:overflowPunct/>
              <w:topLinePunct w:val="0"/>
              <w:autoSpaceDE w:val="0"/>
              <w:autoSpaceDN w:val="0"/>
              <w:bidi w:val="0"/>
              <w:adjustRightInd w:val="0"/>
              <w:snapToGrid w:val="0"/>
              <w:spacing w:before="58"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0CAD32E4">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5"/>
                <w:kern w:val="0"/>
                <w:sz w:val="18"/>
                <w:szCs w:val="18"/>
                <w:lang w:eastAsia="en-US"/>
              </w:rPr>
              <w:t>5.0.</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5"/>
                <w:kern w:val="0"/>
                <w:sz w:val="18"/>
                <w:szCs w:val="18"/>
                <w:lang w:eastAsia="en-US"/>
              </w:rPr>
              <w:t>12</w:t>
            </w:r>
          </w:p>
        </w:tc>
        <w:tc>
          <w:tcPr>
            <w:tcW w:w="1690" w:type="dxa"/>
            <w:vAlign w:val="top"/>
          </w:tcPr>
          <w:p w14:paraId="0AC0D5B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2AE188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E33B97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EBFB7D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5BF09C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72B7617">
            <w:pPr>
              <w:keepNext w:val="0"/>
              <w:keepLines w:val="0"/>
              <w:pageBreakBefore w:val="0"/>
              <w:kinsoku w:val="0"/>
              <w:wordWrap/>
              <w:overflowPunct/>
              <w:topLinePunct w:val="0"/>
              <w:autoSpaceDE w:val="0"/>
              <w:autoSpaceDN w:val="0"/>
              <w:bidi w:val="0"/>
              <w:adjustRightInd w:val="0"/>
              <w:snapToGrid w:val="0"/>
              <w:spacing w:before="58" w:line="300" w:lineRule="exact"/>
              <w:ind w:left="117" w:right="9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加油站的工艺设备</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与站外建（构）筑</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物之间设置有不燃</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烧体实体围墙。</w:t>
            </w:r>
          </w:p>
        </w:tc>
        <w:tc>
          <w:tcPr>
            <w:tcW w:w="749" w:type="dxa"/>
            <w:tcBorders>
              <w:right w:val="single" w:color="000000" w:sz="10" w:space="0"/>
            </w:tcBorders>
            <w:vAlign w:val="top"/>
          </w:tcPr>
          <w:p w14:paraId="160FA18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B07420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E16984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A3A241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24357D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467447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D6D7A88">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73D0EE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2553F05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67D29EF">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16.</w:t>
            </w:r>
          </w:p>
        </w:tc>
        <w:tc>
          <w:tcPr>
            <w:tcW w:w="4049" w:type="dxa"/>
            <w:vAlign w:val="top"/>
          </w:tcPr>
          <w:p w14:paraId="3FD4981C">
            <w:pPr>
              <w:keepNext w:val="0"/>
              <w:keepLines w:val="0"/>
              <w:pageBreakBefore w:val="0"/>
              <w:kinsoku w:val="0"/>
              <w:wordWrap/>
              <w:overflowPunct/>
              <w:topLinePunct w:val="0"/>
              <w:autoSpaceDE w:val="0"/>
              <w:autoSpaceDN w:val="0"/>
              <w:bidi w:val="0"/>
              <w:adjustRightInd w:val="0"/>
              <w:snapToGrid w:val="0"/>
              <w:spacing w:before="215" w:line="300" w:lineRule="exact"/>
              <w:ind w:left="103" w:right="104" w:hanging="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4"/>
                <w:kern w:val="0"/>
                <w:sz w:val="18"/>
                <w:szCs w:val="18"/>
                <w:lang w:val="en-US" w:eastAsia="en-US" w:bidi="ar-SA"/>
              </w:rPr>
              <w:t>加油加气站站</w:t>
            </w:r>
            <w:r>
              <w:rPr>
                <w:rFonts w:ascii="宋体" w:hAnsi="宋体" w:eastAsia="宋体" w:cs="宋体"/>
                <w:snapToGrid w:val="0"/>
                <w:color w:val="000000"/>
                <w:spacing w:val="-27"/>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内设施的</w:t>
            </w:r>
            <w:r>
              <w:rPr>
                <w:rFonts w:ascii="宋体" w:hAnsi="宋体" w:eastAsia="宋体" w:cs="宋体"/>
                <w:snapToGrid w:val="0"/>
                <w:color w:val="000000"/>
                <w:spacing w:val="-48"/>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防火</w:t>
            </w:r>
            <w:r>
              <w:rPr>
                <w:rFonts w:ascii="宋体" w:hAnsi="宋体" w:eastAsia="宋体" w:cs="宋体"/>
                <w:snapToGrid w:val="0"/>
                <w:color w:val="000000"/>
                <w:spacing w:val="-45"/>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间距不应小于表</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5.0.</w:t>
            </w:r>
            <w:r>
              <w:rPr>
                <w:rFonts w:ascii="Times New Roman" w:hAnsi="Times New Roman" w:eastAsia="Times New Roman" w:cs="Times New Roman"/>
                <w:snapToGrid w:val="0"/>
                <w:color w:val="000000"/>
                <w:spacing w:val="-11"/>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13-1</w:t>
            </w:r>
            <w:r>
              <w:rPr>
                <w:rFonts w:ascii="宋体" w:hAnsi="宋体" w:eastAsia="宋体" w:cs="宋体"/>
                <w:snapToGrid w:val="0"/>
                <w:color w:val="000000"/>
                <w:spacing w:val="-3"/>
                <w:kern w:val="0"/>
                <w:sz w:val="18"/>
                <w:szCs w:val="18"/>
                <w:lang w:val="en-US" w:eastAsia="en-US" w:bidi="ar-SA"/>
              </w:rPr>
              <w:t>和表</w:t>
            </w:r>
            <w:r>
              <w:rPr>
                <w:rFonts w:ascii="Times New Roman" w:hAnsi="Times New Roman" w:eastAsia="Times New Roman" w:cs="Times New Roman"/>
                <w:snapToGrid w:val="0"/>
                <w:color w:val="000000"/>
                <w:spacing w:val="-3"/>
                <w:kern w:val="0"/>
                <w:sz w:val="18"/>
                <w:szCs w:val="18"/>
                <w:lang w:val="en-US" w:eastAsia="en-US" w:bidi="ar-SA"/>
              </w:rPr>
              <w:t>5.0.</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13-2</w:t>
            </w:r>
            <w:r>
              <w:rPr>
                <w:rFonts w:ascii="宋体" w:hAnsi="宋体" w:eastAsia="宋体" w:cs="宋体"/>
                <w:snapToGrid w:val="0"/>
                <w:color w:val="000000"/>
                <w:spacing w:val="-3"/>
                <w:kern w:val="0"/>
                <w:sz w:val="18"/>
                <w:szCs w:val="18"/>
                <w:lang w:val="en-US" w:eastAsia="en-US" w:bidi="ar-SA"/>
              </w:rPr>
              <w:t>的规定。</w:t>
            </w:r>
          </w:p>
        </w:tc>
        <w:tc>
          <w:tcPr>
            <w:tcW w:w="2273" w:type="dxa"/>
            <w:vAlign w:val="top"/>
          </w:tcPr>
          <w:p w14:paraId="2FB0276F">
            <w:pPr>
              <w:keepNext w:val="0"/>
              <w:keepLines w:val="0"/>
              <w:pageBreakBefore w:val="0"/>
              <w:kinsoku w:val="0"/>
              <w:wordWrap/>
              <w:overflowPunct/>
              <w:topLinePunct w:val="0"/>
              <w:autoSpaceDE w:val="0"/>
              <w:autoSpaceDN w:val="0"/>
              <w:bidi w:val="0"/>
              <w:adjustRightInd w:val="0"/>
              <w:snapToGrid w:val="0"/>
              <w:spacing w:before="86"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5B5D1519">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5.0.13</w:t>
            </w:r>
          </w:p>
        </w:tc>
        <w:tc>
          <w:tcPr>
            <w:tcW w:w="1690" w:type="dxa"/>
            <w:vAlign w:val="top"/>
          </w:tcPr>
          <w:p w14:paraId="1090DA9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6BE28DA">
            <w:pPr>
              <w:keepNext w:val="0"/>
              <w:keepLines w:val="0"/>
              <w:pageBreakBefore w:val="0"/>
              <w:kinsoku w:val="0"/>
              <w:wordWrap/>
              <w:overflowPunct/>
              <w:topLinePunct w:val="0"/>
              <w:autoSpaceDE w:val="0"/>
              <w:autoSpaceDN w:val="0"/>
              <w:bidi w:val="0"/>
              <w:adjustRightInd w:val="0"/>
              <w:snapToGrid w:val="0"/>
              <w:spacing w:before="59" w:line="300" w:lineRule="exact"/>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符合要求。</w:t>
            </w:r>
          </w:p>
        </w:tc>
        <w:tc>
          <w:tcPr>
            <w:tcW w:w="749" w:type="dxa"/>
            <w:tcBorders>
              <w:right w:val="single" w:color="000000" w:sz="10" w:space="0"/>
            </w:tcBorders>
            <w:vAlign w:val="top"/>
          </w:tcPr>
          <w:p w14:paraId="67966E9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85920A8">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72D10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50AB080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EED6240">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17.</w:t>
            </w:r>
          </w:p>
        </w:tc>
        <w:tc>
          <w:tcPr>
            <w:tcW w:w="4049" w:type="dxa"/>
            <w:vAlign w:val="top"/>
          </w:tcPr>
          <w:p w14:paraId="773E761A">
            <w:pPr>
              <w:keepNext w:val="0"/>
              <w:keepLines w:val="0"/>
              <w:pageBreakBefore w:val="0"/>
              <w:kinsoku w:val="0"/>
              <w:wordWrap/>
              <w:overflowPunct/>
              <w:topLinePunct w:val="0"/>
              <w:autoSpaceDE w:val="0"/>
              <w:autoSpaceDN w:val="0"/>
              <w:bidi w:val="0"/>
              <w:adjustRightInd w:val="0"/>
              <w:snapToGrid w:val="0"/>
              <w:spacing w:before="89" w:line="300" w:lineRule="exact"/>
              <w:ind w:left="101" w:right="4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汽车加油加气加氢站内的各类房间应根据站场环</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境、生产工艺特点和运行管理需要进行采暖设计。</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采暖房间的室内计算温度不宜低于表</w:t>
            </w:r>
            <w:r>
              <w:rPr>
                <w:rFonts w:ascii="Times New Roman" w:hAnsi="Times New Roman" w:eastAsia="Times New Roman" w:cs="Times New Roman"/>
                <w:snapToGrid w:val="0"/>
                <w:color w:val="000000"/>
                <w:spacing w:val="4"/>
                <w:kern w:val="0"/>
                <w:sz w:val="18"/>
                <w:szCs w:val="18"/>
                <w:lang w:val="en-US" w:eastAsia="en-US" w:bidi="ar-SA"/>
              </w:rPr>
              <w:t>14.</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w:t>
            </w:r>
            <w:r>
              <w:rPr>
                <w:rFonts w:ascii="Times New Roman" w:hAnsi="Times New Roman" w:eastAsia="Times New Roman" w:cs="Times New Roman"/>
                <w:snapToGrid w:val="0"/>
                <w:color w:val="000000"/>
                <w:spacing w:val="-26"/>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w:t>
            </w:r>
            <w:r>
              <w:rPr>
                <w:rFonts w:ascii="宋体" w:hAnsi="宋体" w:eastAsia="宋体" w:cs="宋体"/>
                <w:snapToGrid w:val="0"/>
                <w:color w:val="000000"/>
                <w:spacing w:val="4"/>
                <w:kern w:val="0"/>
                <w:sz w:val="18"/>
                <w:szCs w:val="18"/>
                <w:lang w:val="en-US" w:eastAsia="en-US" w:bidi="ar-SA"/>
              </w:rPr>
              <w:t>的规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定。</w:t>
            </w:r>
          </w:p>
        </w:tc>
        <w:tc>
          <w:tcPr>
            <w:tcW w:w="2273" w:type="dxa"/>
            <w:vAlign w:val="top"/>
          </w:tcPr>
          <w:p w14:paraId="4B290901">
            <w:pPr>
              <w:keepNext w:val="0"/>
              <w:keepLines w:val="0"/>
              <w:pageBreakBefore w:val="0"/>
              <w:kinsoku w:val="0"/>
              <w:wordWrap/>
              <w:overflowPunct/>
              <w:topLinePunct w:val="0"/>
              <w:autoSpaceDE w:val="0"/>
              <w:autoSpaceDN w:val="0"/>
              <w:bidi w:val="0"/>
              <w:adjustRightInd w:val="0"/>
              <w:snapToGrid w:val="0"/>
              <w:spacing w:before="220"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0958FCD5">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8"/>
                <w:kern w:val="0"/>
                <w:sz w:val="18"/>
                <w:szCs w:val="18"/>
                <w:lang w:eastAsia="en-US"/>
              </w:rPr>
              <w:t>14.</w:t>
            </w:r>
            <w:r>
              <w:rPr>
                <w:rFonts w:ascii="Times New Roman" w:hAnsi="Times New Roman" w:eastAsia="Times New Roman" w:cs="Times New Roman"/>
                <w:snapToGrid w:val="0"/>
                <w:color w:val="000000"/>
                <w:spacing w:val="-20"/>
                <w:kern w:val="0"/>
                <w:sz w:val="18"/>
                <w:szCs w:val="18"/>
                <w:lang w:eastAsia="en-US"/>
              </w:rPr>
              <w:t xml:space="preserve"> </w:t>
            </w:r>
            <w:r>
              <w:rPr>
                <w:rFonts w:ascii="Times New Roman" w:hAnsi="Times New Roman" w:eastAsia="Times New Roman" w:cs="Times New Roman"/>
                <w:snapToGrid w:val="0"/>
                <w:color w:val="000000"/>
                <w:spacing w:val="-8"/>
                <w:kern w:val="0"/>
                <w:sz w:val="18"/>
                <w:szCs w:val="18"/>
                <w:lang w:eastAsia="en-US"/>
              </w:rPr>
              <w:t>1.</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8"/>
                <w:kern w:val="0"/>
                <w:sz w:val="18"/>
                <w:szCs w:val="18"/>
                <w:lang w:eastAsia="en-US"/>
              </w:rPr>
              <w:t>1</w:t>
            </w:r>
          </w:p>
        </w:tc>
        <w:tc>
          <w:tcPr>
            <w:tcW w:w="1690" w:type="dxa"/>
            <w:vAlign w:val="top"/>
          </w:tcPr>
          <w:p w14:paraId="35687661">
            <w:pPr>
              <w:keepNext w:val="0"/>
              <w:keepLines w:val="0"/>
              <w:pageBreakBefore w:val="0"/>
              <w:kinsoku w:val="0"/>
              <w:wordWrap/>
              <w:overflowPunct/>
              <w:topLinePunct w:val="0"/>
              <w:autoSpaceDE w:val="0"/>
              <w:autoSpaceDN w:val="0"/>
              <w:bidi w:val="0"/>
              <w:adjustRightInd w:val="0"/>
              <w:snapToGrid w:val="0"/>
              <w:spacing w:before="89" w:line="300" w:lineRule="exact"/>
              <w:ind w:left="116" w:right="92"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 xml:space="preserve">该站所在地理位置 </w:t>
            </w:r>
            <w:r>
              <w:rPr>
                <w:rFonts w:ascii="宋体" w:hAnsi="宋体" w:eastAsia="宋体" w:cs="宋体"/>
                <w:snapToGrid w:val="0"/>
                <w:color w:val="000000"/>
                <w:spacing w:val="4"/>
                <w:kern w:val="0"/>
                <w:sz w:val="18"/>
                <w:szCs w:val="18"/>
                <w:lang w:val="en-US" w:eastAsia="en-US" w:bidi="ar-SA"/>
              </w:rPr>
              <w:t>气候温暖，站内设</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置空调即可满足采</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暖需求。</w:t>
            </w:r>
          </w:p>
        </w:tc>
        <w:tc>
          <w:tcPr>
            <w:tcW w:w="749" w:type="dxa"/>
            <w:tcBorders>
              <w:right w:val="single" w:color="000000" w:sz="10" w:space="0"/>
            </w:tcBorders>
            <w:vAlign w:val="top"/>
          </w:tcPr>
          <w:p w14:paraId="3D3AEB8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8F2A135">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F48D5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bottom w:val="single" w:color="000000" w:sz="10" w:space="0"/>
            </w:tcBorders>
            <w:vAlign w:val="top"/>
          </w:tcPr>
          <w:p w14:paraId="04423B0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551A34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DD87DB2">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18.</w:t>
            </w:r>
          </w:p>
        </w:tc>
        <w:tc>
          <w:tcPr>
            <w:tcW w:w="4049" w:type="dxa"/>
            <w:tcBorders>
              <w:bottom w:val="single" w:color="000000" w:sz="10" w:space="0"/>
            </w:tcBorders>
            <w:vAlign w:val="top"/>
          </w:tcPr>
          <w:p w14:paraId="48BDB2C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5C136CB">
            <w:pPr>
              <w:keepNext w:val="0"/>
              <w:keepLines w:val="0"/>
              <w:pageBreakBefore w:val="0"/>
              <w:kinsoku w:val="0"/>
              <w:wordWrap/>
              <w:overflowPunct/>
              <w:topLinePunct w:val="0"/>
              <w:autoSpaceDE w:val="0"/>
              <w:autoSpaceDN w:val="0"/>
              <w:bidi w:val="0"/>
              <w:adjustRightInd w:val="0"/>
              <w:snapToGrid w:val="0"/>
              <w:spacing w:before="58" w:line="300" w:lineRule="exact"/>
              <w:ind w:left="101"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汽车加油加气加氢站的采暖宜利用城市、小区或</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邻近单位的热源。无利用条件时，可在汽车加油</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加气加氢站内设置锅炉房。</w:t>
            </w:r>
          </w:p>
        </w:tc>
        <w:tc>
          <w:tcPr>
            <w:tcW w:w="2273" w:type="dxa"/>
            <w:tcBorders>
              <w:bottom w:val="single" w:color="000000" w:sz="10" w:space="0"/>
            </w:tcBorders>
            <w:vAlign w:val="top"/>
          </w:tcPr>
          <w:p w14:paraId="7962BF3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C65850D">
            <w:pPr>
              <w:keepNext w:val="0"/>
              <w:keepLines w:val="0"/>
              <w:pageBreakBefore w:val="0"/>
              <w:kinsoku w:val="0"/>
              <w:wordWrap/>
              <w:overflowPunct/>
              <w:topLinePunct w:val="0"/>
              <w:autoSpaceDE w:val="0"/>
              <w:autoSpaceDN w:val="0"/>
              <w:bidi w:val="0"/>
              <w:adjustRightInd w:val="0"/>
              <w:snapToGrid w:val="0"/>
              <w:spacing w:before="5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45AF861F">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8"/>
                <w:kern w:val="0"/>
                <w:sz w:val="18"/>
                <w:szCs w:val="18"/>
                <w:lang w:eastAsia="en-US"/>
              </w:rPr>
              <w:t>14.</w:t>
            </w:r>
            <w:r>
              <w:rPr>
                <w:rFonts w:ascii="Times New Roman" w:hAnsi="Times New Roman" w:eastAsia="Times New Roman" w:cs="Times New Roman"/>
                <w:snapToGrid w:val="0"/>
                <w:color w:val="000000"/>
                <w:spacing w:val="-20"/>
                <w:kern w:val="0"/>
                <w:sz w:val="18"/>
                <w:szCs w:val="18"/>
                <w:lang w:eastAsia="en-US"/>
              </w:rPr>
              <w:t xml:space="preserve"> </w:t>
            </w:r>
            <w:r>
              <w:rPr>
                <w:rFonts w:ascii="Times New Roman" w:hAnsi="Times New Roman" w:eastAsia="Times New Roman" w:cs="Times New Roman"/>
                <w:snapToGrid w:val="0"/>
                <w:color w:val="000000"/>
                <w:spacing w:val="-8"/>
                <w:kern w:val="0"/>
                <w:sz w:val="18"/>
                <w:szCs w:val="18"/>
                <w:lang w:eastAsia="en-US"/>
              </w:rPr>
              <w:t>1.2</w:t>
            </w:r>
          </w:p>
        </w:tc>
        <w:tc>
          <w:tcPr>
            <w:tcW w:w="1690" w:type="dxa"/>
            <w:tcBorders>
              <w:bottom w:val="single" w:color="000000" w:sz="10" w:space="0"/>
            </w:tcBorders>
            <w:vAlign w:val="top"/>
          </w:tcPr>
          <w:p w14:paraId="5E820D31">
            <w:pPr>
              <w:keepNext w:val="0"/>
              <w:keepLines w:val="0"/>
              <w:pageBreakBefore w:val="0"/>
              <w:kinsoku w:val="0"/>
              <w:wordWrap/>
              <w:overflowPunct/>
              <w:topLinePunct w:val="0"/>
              <w:autoSpaceDE w:val="0"/>
              <w:autoSpaceDN w:val="0"/>
              <w:bidi w:val="0"/>
              <w:adjustRightInd w:val="0"/>
              <w:snapToGrid w:val="0"/>
              <w:spacing w:before="93" w:line="300" w:lineRule="exact"/>
              <w:ind w:left="116" w:right="92"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 xml:space="preserve">该站所在地理位置 </w:t>
            </w:r>
            <w:r>
              <w:rPr>
                <w:rFonts w:ascii="宋体" w:hAnsi="宋体" w:eastAsia="宋体" w:cs="宋体"/>
                <w:snapToGrid w:val="0"/>
                <w:color w:val="000000"/>
                <w:spacing w:val="4"/>
                <w:kern w:val="0"/>
                <w:sz w:val="18"/>
                <w:szCs w:val="18"/>
                <w:lang w:val="en-US" w:eastAsia="en-US" w:bidi="ar-SA"/>
              </w:rPr>
              <w:t>气候温暖，站内设</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置空调即可满足采</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暖需求，不需设置</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锅炉房。</w:t>
            </w:r>
          </w:p>
        </w:tc>
        <w:tc>
          <w:tcPr>
            <w:tcW w:w="749" w:type="dxa"/>
            <w:tcBorders>
              <w:bottom w:val="single" w:color="000000" w:sz="10" w:space="0"/>
              <w:right w:val="single" w:color="000000" w:sz="10" w:space="0"/>
            </w:tcBorders>
            <w:vAlign w:val="top"/>
          </w:tcPr>
          <w:p w14:paraId="6CE0281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3A4DCB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95EB344">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2E13E4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top w:val="single" w:color="000000" w:sz="10" w:space="0"/>
              <w:left w:val="single" w:color="000000" w:sz="10" w:space="0"/>
            </w:tcBorders>
            <w:vAlign w:val="top"/>
          </w:tcPr>
          <w:p w14:paraId="749AC8A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273178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56F0F0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597B40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0E44A22">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7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19.</w:t>
            </w:r>
          </w:p>
        </w:tc>
        <w:tc>
          <w:tcPr>
            <w:tcW w:w="4049" w:type="dxa"/>
            <w:tcBorders>
              <w:top w:val="single" w:color="000000" w:sz="10" w:space="0"/>
            </w:tcBorders>
            <w:vAlign w:val="top"/>
          </w:tcPr>
          <w:p w14:paraId="63DF1055">
            <w:pPr>
              <w:keepNext w:val="0"/>
              <w:keepLines w:val="0"/>
              <w:pageBreakBefore w:val="0"/>
              <w:kinsoku w:val="0"/>
              <w:wordWrap/>
              <w:overflowPunct/>
              <w:topLinePunct w:val="0"/>
              <w:autoSpaceDE w:val="0"/>
              <w:autoSpaceDN w:val="0"/>
              <w:bidi w:val="0"/>
              <w:adjustRightInd w:val="0"/>
              <w:snapToGrid w:val="0"/>
              <w:spacing w:before="82" w:line="300" w:lineRule="exact"/>
              <w:ind w:left="103" w:right="104" w:hanging="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汽车加油加气加氢站内爆炸危险区域中的房间或</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箱体应采取通风措施，并应符合下列规定：</w:t>
            </w:r>
          </w:p>
          <w:p w14:paraId="19303F8B">
            <w:pPr>
              <w:keepNext w:val="0"/>
              <w:keepLines w:val="0"/>
              <w:pageBreakBefore w:val="0"/>
              <w:kinsoku w:val="0"/>
              <w:wordWrap/>
              <w:overflowPunct/>
              <w:topLinePunct w:val="0"/>
              <w:autoSpaceDE w:val="0"/>
              <w:autoSpaceDN w:val="0"/>
              <w:bidi w:val="0"/>
              <w:adjustRightInd w:val="0"/>
              <w:snapToGrid w:val="0"/>
              <w:spacing w:before="23" w:line="300" w:lineRule="exact"/>
              <w:ind w:left="102" w:right="45" w:firstLine="37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1  </w:t>
            </w:r>
            <w:r>
              <w:rPr>
                <w:rFonts w:ascii="宋体" w:hAnsi="宋体" w:eastAsia="宋体" w:cs="宋体"/>
                <w:snapToGrid w:val="0"/>
                <w:color w:val="000000"/>
                <w:spacing w:val="2"/>
                <w:kern w:val="0"/>
                <w:sz w:val="18"/>
                <w:szCs w:val="18"/>
                <w:lang w:val="en-US" w:eastAsia="en-US" w:bidi="ar-SA"/>
              </w:rPr>
              <w:t>采用强制通风时，通风设备的通风能</w:t>
            </w:r>
            <w:r>
              <w:rPr>
                <w:rFonts w:ascii="宋体" w:hAnsi="宋体" w:eastAsia="宋体" w:cs="宋体"/>
                <w:snapToGrid w:val="0"/>
                <w:color w:val="000000"/>
                <w:spacing w:val="1"/>
                <w:kern w:val="0"/>
                <w:sz w:val="18"/>
                <w:szCs w:val="18"/>
                <w:lang w:val="en-US" w:eastAsia="en-US" w:bidi="ar-SA"/>
              </w:rPr>
              <w:t>力在</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工艺设备工作期间应按每小时换气</w:t>
            </w:r>
            <w:r>
              <w:rPr>
                <w:rFonts w:ascii="Times New Roman" w:hAnsi="Times New Roman" w:eastAsia="Times New Roman" w:cs="Times New Roman"/>
                <w:snapToGrid w:val="0"/>
                <w:color w:val="000000"/>
                <w:spacing w:val="2"/>
                <w:kern w:val="0"/>
                <w:sz w:val="18"/>
                <w:szCs w:val="18"/>
                <w:lang w:val="en-US" w:eastAsia="en-US" w:bidi="ar-SA"/>
              </w:rPr>
              <w:t>12</w:t>
            </w:r>
            <w:r>
              <w:rPr>
                <w:rFonts w:ascii="宋体" w:hAnsi="宋体" w:eastAsia="宋体" w:cs="宋体"/>
                <w:snapToGrid w:val="0"/>
                <w:color w:val="000000"/>
                <w:spacing w:val="2"/>
                <w:kern w:val="0"/>
                <w:sz w:val="18"/>
                <w:szCs w:val="18"/>
                <w:lang w:val="en-US" w:eastAsia="en-US" w:bidi="ar-SA"/>
              </w:rPr>
              <w:t>次计算，在</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工艺设备非工作期间应按每小时换气</w:t>
            </w:r>
            <w:r>
              <w:rPr>
                <w:rFonts w:ascii="Times New Roman" w:hAnsi="Times New Roman" w:eastAsia="Times New Roman" w:cs="Times New Roman"/>
                <w:snapToGrid w:val="0"/>
                <w:color w:val="000000"/>
                <w:spacing w:val="-2"/>
                <w:kern w:val="0"/>
                <w:sz w:val="18"/>
                <w:szCs w:val="18"/>
                <w:lang w:val="en-US" w:eastAsia="en-US" w:bidi="ar-SA"/>
              </w:rPr>
              <w:t>5</w:t>
            </w:r>
            <w:r>
              <w:rPr>
                <w:rFonts w:ascii="宋体" w:hAnsi="宋体" w:eastAsia="宋体" w:cs="宋体"/>
                <w:snapToGrid w:val="0"/>
                <w:color w:val="000000"/>
                <w:spacing w:val="-2"/>
                <w:kern w:val="0"/>
                <w:sz w:val="18"/>
                <w:szCs w:val="18"/>
                <w:lang w:val="en-US" w:eastAsia="en-US" w:bidi="ar-SA"/>
              </w:rPr>
              <w:t>次计算。通</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风设备应防爆，并应与可燃气体浓度报警器联锁。</w:t>
            </w:r>
          </w:p>
          <w:p w14:paraId="0C5F0512">
            <w:pPr>
              <w:keepNext w:val="0"/>
              <w:keepLines w:val="0"/>
              <w:pageBreakBefore w:val="0"/>
              <w:kinsoku w:val="0"/>
              <w:wordWrap/>
              <w:overflowPunct/>
              <w:topLinePunct w:val="0"/>
              <w:autoSpaceDE w:val="0"/>
              <w:autoSpaceDN w:val="0"/>
              <w:bidi w:val="0"/>
              <w:adjustRightInd w:val="0"/>
              <w:snapToGrid w:val="0"/>
              <w:spacing w:before="47" w:line="300" w:lineRule="exact"/>
              <w:ind w:left="101" w:right="104" w:firstLine="357"/>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采用自然通风时，通风口总面积不应小于</w:t>
            </w:r>
            <w:r>
              <w:rPr>
                <w:rFonts w:ascii="宋体" w:hAnsi="宋体" w:eastAsia="宋体" w:cs="宋体"/>
                <w:snapToGrid w:val="0"/>
                <w:color w:val="000000"/>
                <w:spacing w:val="15"/>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300c</w:t>
            </w:r>
            <w:r>
              <w:rPr>
                <w:rFonts w:ascii="宋体" w:hAnsi="宋体" w:eastAsia="宋体" w:cs="宋体"/>
                <w:snapToGrid w:val="0"/>
                <w:color w:val="000000"/>
                <w:spacing w:val="-2"/>
                <w:kern w:val="0"/>
                <w:sz w:val="18"/>
                <w:szCs w:val="18"/>
                <w:lang w:val="en-US" w:eastAsia="en-US" w:bidi="ar-SA"/>
              </w:rPr>
              <w:t>㎡</w:t>
            </w:r>
            <w:r>
              <w:rPr>
                <w:rFonts w:ascii="Times New Roman" w:hAnsi="Times New Roman" w:eastAsia="Times New Roman" w:cs="Times New Roman"/>
                <w:snapToGrid w:val="0"/>
                <w:color w:val="000000"/>
                <w:spacing w:val="-2"/>
                <w:kern w:val="0"/>
                <w:sz w:val="18"/>
                <w:szCs w:val="18"/>
                <w:lang w:val="en-US" w:eastAsia="en-US" w:bidi="ar-SA"/>
              </w:rPr>
              <w:t>/</w:t>
            </w:r>
            <w:r>
              <w:rPr>
                <w:rFonts w:ascii="宋体" w:hAnsi="宋体" w:eastAsia="宋体" w:cs="宋体"/>
                <w:snapToGrid w:val="0"/>
                <w:color w:val="000000"/>
                <w:spacing w:val="-2"/>
                <w:kern w:val="0"/>
                <w:sz w:val="18"/>
                <w:szCs w:val="18"/>
                <w:lang w:val="en-US" w:eastAsia="en-US" w:bidi="ar-SA"/>
              </w:rPr>
              <w:t>㎡（地面</w:t>
            </w:r>
            <w:r>
              <w:rPr>
                <w:rFonts w:ascii="宋体" w:hAnsi="宋体" w:eastAsia="宋体" w:cs="宋体"/>
                <w:snapToGrid w:val="0"/>
                <w:color w:val="000000"/>
                <w:spacing w:val="-14"/>
                <w:kern w:val="0"/>
                <w:sz w:val="18"/>
                <w:szCs w:val="18"/>
                <w:lang w:val="en-US" w:eastAsia="en-US" w:bidi="ar-SA"/>
              </w:rPr>
              <w:t>），</w:t>
            </w:r>
            <w:r>
              <w:rPr>
                <w:rFonts w:ascii="宋体" w:hAnsi="宋体" w:eastAsia="宋体" w:cs="宋体"/>
                <w:snapToGrid w:val="0"/>
                <w:color w:val="000000"/>
                <w:spacing w:val="-2"/>
                <w:kern w:val="0"/>
                <w:sz w:val="18"/>
                <w:szCs w:val="18"/>
                <w:lang w:val="en-US" w:eastAsia="en-US" w:bidi="ar-SA"/>
              </w:rPr>
              <w:t>通风口不应少于</w:t>
            </w:r>
            <w:r>
              <w:rPr>
                <w:rFonts w:ascii="Times New Roman" w:hAnsi="Times New Roman" w:eastAsia="Times New Roman" w:cs="Times New Roman"/>
                <w:snapToGrid w:val="0"/>
                <w:color w:val="000000"/>
                <w:spacing w:val="-2"/>
                <w:kern w:val="0"/>
                <w:sz w:val="18"/>
                <w:szCs w:val="18"/>
                <w:lang w:val="en-US" w:eastAsia="en-US" w:bidi="ar-SA"/>
              </w:rPr>
              <w:t>2</w:t>
            </w:r>
            <w:r>
              <w:rPr>
                <w:rFonts w:ascii="宋体" w:hAnsi="宋体" w:eastAsia="宋体" w:cs="宋体"/>
                <w:snapToGrid w:val="0"/>
                <w:color w:val="000000"/>
                <w:spacing w:val="-2"/>
                <w:kern w:val="0"/>
                <w:sz w:val="18"/>
                <w:szCs w:val="18"/>
                <w:lang w:val="en-US" w:eastAsia="en-US" w:bidi="ar-SA"/>
              </w:rPr>
              <w:t>个，且应靠</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近可燃气体积聚的部位设置。</w:t>
            </w:r>
          </w:p>
        </w:tc>
        <w:tc>
          <w:tcPr>
            <w:tcW w:w="2273" w:type="dxa"/>
            <w:tcBorders>
              <w:top w:val="single" w:color="000000" w:sz="10" w:space="0"/>
            </w:tcBorders>
            <w:vAlign w:val="top"/>
          </w:tcPr>
          <w:p w14:paraId="70A8236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A3B424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0C5D45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41C0D76">
            <w:pPr>
              <w:keepNext w:val="0"/>
              <w:keepLines w:val="0"/>
              <w:pageBreakBefore w:val="0"/>
              <w:kinsoku w:val="0"/>
              <w:wordWrap/>
              <w:overflowPunct/>
              <w:topLinePunct w:val="0"/>
              <w:autoSpaceDE w:val="0"/>
              <w:autoSpaceDN w:val="0"/>
              <w:bidi w:val="0"/>
              <w:adjustRightInd w:val="0"/>
              <w:snapToGrid w:val="0"/>
              <w:spacing w:before="5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51B7BC8B">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8"/>
                <w:kern w:val="0"/>
                <w:sz w:val="18"/>
                <w:szCs w:val="18"/>
                <w:lang w:eastAsia="en-US"/>
              </w:rPr>
              <w:t>14.</w:t>
            </w:r>
            <w:r>
              <w:rPr>
                <w:rFonts w:ascii="Times New Roman" w:hAnsi="Times New Roman" w:eastAsia="Times New Roman" w:cs="Times New Roman"/>
                <w:snapToGrid w:val="0"/>
                <w:color w:val="000000"/>
                <w:spacing w:val="-20"/>
                <w:kern w:val="0"/>
                <w:sz w:val="18"/>
                <w:szCs w:val="18"/>
                <w:lang w:eastAsia="en-US"/>
              </w:rPr>
              <w:t xml:space="preserve"> </w:t>
            </w:r>
            <w:r>
              <w:rPr>
                <w:rFonts w:ascii="Times New Roman" w:hAnsi="Times New Roman" w:eastAsia="Times New Roman" w:cs="Times New Roman"/>
                <w:snapToGrid w:val="0"/>
                <w:color w:val="000000"/>
                <w:spacing w:val="-8"/>
                <w:kern w:val="0"/>
                <w:sz w:val="18"/>
                <w:szCs w:val="18"/>
                <w:lang w:eastAsia="en-US"/>
              </w:rPr>
              <w:t>1.4</w:t>
            </w:r>
          </w:p>
        </w:tc>
        <w:tc>
          <w:tcPr>
            <w:tcW w:w="1690" w:type="dxa"/>
            <w:tcBorders>
              <w:top w:val="single" w:color="000000" w:sz="10" w:space="0"/>
            </w:tcBorders>
            <w:vAlign w:val="top"/>
          </w:tcPr>
          <w:p w14:paraId="11F6263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AEC2BE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64F98F2">
            <w:pPr>
              <w:keepNext w:val="0"/>
              <w:keepLines w:val="0"/>
              <w:pageBreakBefore w:val="0"/>
              <w:kinsoku w:val="0"/>
              <w:wordWrap/>
              <w:overflowPunct/>
              <w:topLinePunct w:val="0"/>
              <w:autoSpaceDE w:val="0"/>
              <w:autoSpaceDN w:val="0"/>
              <w:bidi w:val="0"/>
              <w:adjustRightInd w:val="0"/>
              <w:snapToGrid w:val="0"/>
              <w:spacing w:before="59" w:line="300" w:lineRule="exact"/>
              <w:ind w:left="118" w:right="95"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该加油站爆炸危险 区域内无房间或箱</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体情况，主要采用</w:t>
            </w:r>
            <w:r>
              <w:rPr>
                <w:rFonts w:ascii="宋体" w:hAnsi="宋体" w:eastAsia="宋体" w:cs="宋体"/>
                <w:snapToGrid w:val="0"/>
                <w:color w:val="000000"/>
                <w:spacing w:val="-8"/>
                <w:kern w:val="0"/>
                <w:sz w:val="18"/>
                <w:szCs w:val="18"/>
                <w:lang w:val="en-US" w:eastAsia="en-US" w:bidi="ar-SA"/>
              </w:rPr>
              <w:t>自然通风。</w:t>
            </w:r>
          </w:p>
        </w:tc>
        <w:tc>
          <w:tcPr>
            <w:tcW w:w="749" w:type="dxa"/>
            <w:tcBorders>
              <w:top w:val="single" w:color="000000" w:sz="10" w:space="0"/>
              <w:right w:val="single" w:color="000000" w:sz="10" w:space="0"/>
            </w:tcBorders>
            <w:vAlign w:val="top"/>
          </w:tcPr>
          <w:p w14:paraId="6F008E3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EAF0FA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8DAEDA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961661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A4117EC">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47D03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57BBB25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C5D344B">
            <w:pPr>
              <w:keepNext w:val="0"/>
              <w:keepLines w:val="0"/>
              <w:pageBreakBefore w:val="0"/>
              <w:widowControl/>
              <w:kinsoku w:val="0"/>
              <w:wordWrap/>
              <w:overflowPunct/>
              <w:topLinePunct w:val="0"/>
              <w:autoSpaceDE w:val="0"/>
              <w:autoSpaceDN w:val="0"/>
              <w:bidi w:val="0"/>
              <w:adjustRightInd w:val="0"/>
              <w:snapToGrid w:val="0"/>
              <w:spacing w:before="51"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20.</w:t>
            </w:r>
          </w:p>
        </w:tc>
        <w:tc>
          <w:tcPr>
            <w:tcW w:w="4049" w:type="dxa"/>
            <w:vAlign w:val="top"/>
          </w:tcPr>
          <w:p w14:paraId="5BCE1528">
            <w:pPr>
              <w:keepNext w:val="0"/>
              <w:keepLines w:val="0"/>
              <w:pageBreakBefore w:val="0"/>
              <w:kinsoku w:val="0"/>
              <w:wordWrap/>
              <w:overflowPunct/>
              <w:topLinePunct w:val="0"/>
              <w:autoSpaceDE w:val="0"/>
              <w:autoSpaceDN w:val="0"/>
              <w:bidi w:val="0"/>
              <w:adjustRightInd w:val="0"/>
              <w:snapToGrid w:val="0"/>
              <w:spacing w:before="220" w:line="300" w:lineRule="exact"/>
              <w:ind w:left="102"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作业区内的站房及其他附属建筑物的耐火等级不</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应低于二级。罩棚顶棚可采用无防火保护的钢结</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构。</w:t>
            </w:r>
          </w:p>
        </w:tc>
        <w:tc>
          <w:tcPr>
            <w:tcW w:w="2273" w:type="dxa"/>
            <w:vAlign w:val="top"/>
          </w:tcPr>
          <w:p w14:paraId="7B38066A">
            <w:pPr>
              <w:keepNext w:val="0"/>
              <w:keepLines w:val="0"/>
              <w:pageBreakBefore w:val="0"/>
              <w:kinsoku w:val="0"/>
              <w:wordWrap/>
              <w:overflowPunct/>
              <w:topLinePunct w:val="0"/>
              <w:autoSpaceDE w:val="0"/>
              <w:autoSpaceDN w:val="0"/>
              <w:bidi w:val="0"/>
              <w:adjustRightInd w:val="0"/>
              <w:snapToGrid w:val="0"/>
              <w:spacing w:before="221"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14DB5D19">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14.2.</w:t>
            </w:r>
            <w:r>
              <w:rPr>
                <w:rFonts w:ascii="Times New Roman" w:hAnsi="Times New Roman" w:eastAsia="Times New Roman" w:cs="Times New Roman"/>
                <w:snapToGrid w:val="0"/>
                <w:color w:val="000000"/>
                <w:spacing w:val="-23"/>
                <w:kern w:val="0"/>
                <w:sz w:val="18"/>
                <w:szCs w:val="18"/>
                <w:lang w:eastAsia="en-US"/>
              </w:rPr>
              <w:t xml:space="preserve"> </w:t>
            </w:r>
            <w:r>
              <w:rPr>
                <w:rFonts w:ascii="Times New Roman" w:hAnsi="Times New Roman" w:eastAsia="Times New Roman" w:cs="Times New Roman"/>
                <w:snapToGrid w:val="0"/>
                <w:color w:val="000000"/>
                <w:spacing w:val="-4"/>
                <w:kern w:val="0"/>
                <w:sz w:val="18"/>
                <w:szCs w:val="18"/>
                <w:lang w:eastAsia="en-US"/>
              </w:rPr>
              <w:t>1</w:t>
            </w:r>
          </w:p>
        </w:tc>
        <w:tc>
          <w:tcPr>
            <w:tcW w:w="1690" w:type="dxa"/>
            <w:vAlign w:val="top"/>
          </w:tcPr>
          <w:p w14:paraId="67146B8C">
            <w:pPr>
              <w:keepNext w:val="0"/>
              <w:keepLines w:val="0"/>
              <w:pageBreakBefore w:val="0"/>
              <w:kinsoku w:val="0"/>
              <w:wordWrap/>
              <w:overflowPunct/>
              <w:topLinePunct w:val="0"/>
              <w:autoSpaceDE w:val="0"/>
              <w:autoSpaceDN w:val="0"/>
              <w:bidi w:val="0"/>
              <w:adjustRightInd w:val="0"/>
              <w:snapToGrid w:val="0"/>
              <w:spacing w:before="86" w:line="300" w:lineRule="exact"/>
              <w:ind w:left="117" w:right="95"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站内建（构）筑物</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耐火等级为二级。</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罩棚顶棚的承重构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件为钢结构。</w:t>
            </w:r>
          </w:p>
        </w:tc>
        <w:tc>
          <w:tcPr>
            <w:tcW w:w="749" w:type="dxa"/>
            <w:tcBorders>
              <w:right w:val="single" w:color="000000" w:sz="10" w:space="0"/>
            </w:tcBorders>
            <w:vAlign w:val="top"/>
          </w:tcPr>
          <w:p w14:paraId="5FD53B7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FBEEA98">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D73FF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5EFE1C6B">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740D08F0">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1FFF515">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49185D18">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470D3754">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0F87DF36">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DE13E21">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402954F9">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399E046F">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DB5FB62">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62FE948">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0651D781">
            <w:pPr>
              <w:keepNext w:val="0"/>
              <w:keepLines w:val="0"/>
              <w:pageBreakBefore w:val="0"/>
              <w:widowControl/>
              <w:kinsoku w:val="0"/>
              <w:wordWrap/>
              <w:overflowPunct/>
              <w:topLinePunct w:val="0"/>
              <w:autoSpaceDE w:val="0"/>
              <w:autoSpaceDN w:val="0"/>
              <w:bidi w:val="0"/>
              <w:adjustRightInd w:val="0"/>
              <w:snapToGrid w:val="0"/>
              <w:spacing w:before="51" w:line="28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21.</w:t>
            </w:r>
          </w:p>
        </w:tc>
        <w:tc>
          <w:tcPr>
            <w:tcW w:w="4049" w:type="dxa"/>
            <w:vAlign w:val="top"/>
          </w:tcPr>
          <w:p w14:paraId="3A4C7DB1">
            <w:pPr>
              <w:keepNext w:val="0"/>
              <w:keepLines w:val="0"/>
              <w:pageBreakBefore w:val="0"/>
              <w:kinsoku w:val="0"/>
              <w:wordWrap/>
              <w:overflowPunct/>
              <w:topLinePunct w:val="0"/>
              <w:autoSpaceDE w:val="0"/>
              <w:autoSpaceDN w:val="0"/>
              <w:bidi w:val="0"/>
              <w:adjustRightInd w:val="0"/>
              <w:snapToGrid w:val="0"/>
              <w:spacing w:before="281" w:line="280" w:lineRule="exact"/>
              <w:ind w:left="103" w:right="104" w:hanging="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汽车加油加气加氢场地宜设罩棚，罩棚的设计应</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符合下列规定：</w:t>
            </w:r>
          </w:p>
          <w:p w14:paraId="766B6535">
            <w:pPr>
              <w:keepNext w:val="0"/>
              <w:keepLines w:val="0"/>
              <w:pageBreakBefore w:val="0"/>
              <w:kinsoku w:val="0"/>
              <w:wordWrap/>
              <w:overflowPunct/>
              <w:topLinePunct w:val="0"/>
              <w:autoSpaceDE w:val="0"/>
              <w:autoSpaceDN w:val="0"/>
              <w:bidi w:val="0"/>
              <w:adjustRightInd w:val="0"/>
              <w:snapToGrid w:val="0"/>
              <w:spacing w:before="26" w:line="280" w:lineRule="exact"/>
              <w:ind w:left="47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1  </w:t>
            </w:r>
            <w:r>
              <w:rPr>
                <w:rFonts w:ascii="宋体" w:hAnsi="宋体" w:eastAsia="宋体" w:cs="宋体"/>
                <w:snapToGrid w:val="0"/>
                <w:color w:val="000000"/>
                <w:spacing w:val="-2"/>
                <w:kern w:val="0"/>
                <w:sz w:val="18"/>
                <w:szCs w:val="18"/>
                <w:lang w:val="en-US" w:eastAsia="en-US" w:bidi="ar-SA"/>
              </w:rPr>
              <w:t>罩棚应采用不燃烧材料建造；</w:t>
            </w:r>
          </w:p>
          <w:p w14:paraId="39E5A72C">
            <w:pPr>
              <w:keepNext w:val="0"/>
              <w:keepLines w:val="0"/>
              <w:pageBreakBefore w:val="0"/>
              <w:kinsoku w:val="0"/>
              <w:wordWrap/>
              <w:overflowPunct/>
              <w:topLinePunct w:val="0"/>
              <w:autoSpaceDE w:val="0"/>
              <w:autoSpaceDN w:val="0"/>
              <w:bidi w:val="0"/>
              <w:adjustRightInd w:val="0"/>
              <w:snapToGrid w:val="0"/>
              <w:spacing w:before="46" w:line="280" w:lineRule="exact"/>
              <w:ind w:left="102" w:right="106" w:firstLine="35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进站口无限高措施时，罩棚的净空高度不</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应小于</w:t>
            </w:r>
            <w:r>
              <w:rPr>
                <w:rFonts w:ascii="Times New Roman" w:hAnsi="Times New Roman" w:eastAsia="Times New Roman" w:cs="Times New Roman"/>
                <w:snapToGrid w:val="0"/>
                <w:color w:val="000000"/>
                <w:spacing w:val="2"/>
                <w:kern w:val="0"/>
                <w:sz w:val="18"/>
                <w:szCs w:val="18"/>
                <w:lang w:val="en-US" w:eastAsia="en-US" w:bidi="ar-SA"/>
              </w:rPr>
              <w:t>4.5m</w:t>
            </w:r>
            <w:r>
              <w:rPr>
                <w:rFonts w:ascii="宋体" w:hAnsi="宋体" w:eastAsia="宋体" w:cs="宋体"/>
                <w:snapToGrid w:val="0"/>
                <w:color w:val="000000"/>
                <w:spacing w:val="2"/>
                <w:kern w:val="0"/>
                <w:sz w:val="18"/>
                <w:szCs w:val="18"/>
                <w:lang w:val="en-US" w:eastAsia="en-US" w:bidi="ar-SA"/>
              </w:rPr>
              <w:t>；进站口有限高措施的，罩棚的净空</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高度不应小于限高高度；</w:t>
            </w:r>
          </w:p>
          <w:p w14:paraId="398801F8">
            <w:pPr>
              <w:keepNext w:val="0"/>
              <w:keepLines w:val="0"/>
              <w:pageBreakBefore w:val="0"/>
              <w:kinsoku w:val="0"/>
              <w:wordWrap/>
              <w:overflowPunct/>
              <w:topLinePunct w:val="0"/>
              <w:autoSpaceDE w:val="0"/>
              <w:autoSpaceDN w:val="0"/>
              <w:bidi w:val="0"/>
              <w:adjustRightInd w:val="0"/>
              <w:snapToGrid w:val="0"/>
              <w:spacing w:before="47" w:line="280" w:lineRule="exact"/>
              <w:ind w:left="104" w:right="106" w:firstLine="357"/>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3  </w:t>
            </w:r>
            <w:r>
              <w:rPr>
                <w:rFonts w:ascii="宋体" w:hAnsi="宋体" w:eastAsia="宋体" w:cs="宋体"/>
                <w:snapToGrid w:val="0"/>
                <w:color w:val="000000"/>
                <w:spacing w:val="2"/>
                <w:kern w:val="0"/>
                <w:sz w:val="18"/>
                <w:szCs w:val="18"/>
                <w:lang w:val="en-US" w:eastAsia="en-US" w:bidi="ar-SA"/>
              </w:rPr>
              <w:t>罩栅遮盖加油机、加气机的平面投影距离</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不宜小于</w:t>
            </w:r>
            <w:r>
              <w:rPr>
                <w:rFonts w:ascii="Times New Roman" w:hAnsi="Times New Roman" w:eastAsia="Times New Roman" w:cs="Times New Roman"/>
                <w:snapToGrid w:val="0"/>
                <w:color w:val="000000"/>
                <w:spacing w:val="-2"/>
                <w:kern w:val="0"/>
                <w:sz w:val="18"/>
                <w:szCs w:val="18"/>
                <w:lang w:val="en-US" w:eastAsia="en-US" w:bidi="ar-SA"/>
              </w:rPr>
              <w:t>2m</w:t>
            </w:r>
            <w:r>
              <w:rPr>
                <w:rFonts w:ascii="宋体" w:hAnsi="宋体" w:eastAsia="宋体" w:cs="宋体"/>
                <w:snapToGrid w:val="0"/>
                <w:color w:val="000000"/>
                <w:spacing w:val="-2"/>
                <w:kern w:val="0"/>
                <w:sz w:val="18"/>
                <w:szCs w:val="18"/>
                <w:lang w:val="en-US" w:eastAsia="en-US" w:bidi="ar-SA"/>
              </w:rPr>
              <w:t>；</w:t>
            </w:r>
          </w:p>
          <w:p w14:paraId="519430A3">
            <w:pPr>
              <w:keepNext w:val="0"/>
              <w:keepLines w:val="0"/>
              <w:pageBreakBefore w:val="0"/>
              <w:kinsoku w:val="0"/>
              <w:wordWrap/>
              <w:overflowPunct/>
              <w:topLinePunct w:val="0"/>
              <w:autoSpaceDE w:val="0"/>
              <w:autoSpaceDN w:val="0"/>
              <w:bidi w:val="0"/>
              <w:adjustRightInd w:val="0"/>
              <w:snapToGrid w:val="0"/>
              <w:spacing w:before="43" w:line="280" w:lineRule="exact"/>
              <w:ind w:left="103" w:right="105" w:firstLine="35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4  </w:t>
            </w:r>
            <w:r>
              <w:rPr>
                <w:rFonts w:ascii="宋体" w:hAnsi="宋体" w:eastAsia="宋体" w:cs="宋体"/>
                <w:snapToGrid w:val="0"/>
                <w:color w:val="000000"/>
                <w:spacing w:val="2"/>
                <w:kern w:val="0"/>
                <w:sz w:val="18"/>
                <w:szCs w:val="18"/>
                <w:lang w:val="en-US" w:eastAsia="en-US" w:bidi="ar-SA"/>
              </w:rPr>
              <w:t>罩棚的安全等级和可靠度设计应按现行国</w:t>
            </w:r>
            <w:r>
              <w:rPr>
                <w:rFonts w:ascii="宋体" w:hAnsi="宋体" w:eastAsia="宋体" w:cs="宋体"/>
                <w:snapToGrid w:val="0"/>
                <w:color w:val="000000"/>
                <w:spacing w:val="16"/>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家标准《建筑结构可靠度设计统一标准》</w:t>
            </w:r>
            <w:r>
              <w:rPr>
                <w:rFonts w:ascii="Times New Roman" w:hAnsi="Times New Roman" w:eastAsia="Times New Roman" w:cs="Times New Roman"/>
                <w:snapToGrid w:val="0"/>
                <w:color w:val="000000"/>
                <w:spacing w:val="-4"/>
                <w:kern w:val="0"/>
                <w:sz w:val="18"/>
                <w:szCs w:val="18"/>
                <w:lang w:val="en-US" w:eastAsia="en-US" w:bidi="ar-SA"/>
              </w:rPr>
              <w:t>G</w:t>
            </w:r>
            <w:r>
              <w:rPr>
                <w:rFonts w:ascii="Times New Roman" w:hAnsi="Times New Roman" w:eastAsia="Times New Roman" w:cs="Times New Roman"/>
                <w:snapToGrid w:val="0"/>
                <w:color w:val="000000"/>
                <w:spacing w:val="-5"/>
                <w:kern w:val="0"/>
                <w:sz w:val="18"/>
                <w:szCs w:val="18"/>
                <w:lang w:val="en-US" w:eastAsia="en-US" w:bidi="ar-SA"/>
              </w:rPr>
              <w:t>B50068</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的有关规定执行；</w:t>
            </w:r>
          </w:p>
          <w:p w14:paraId="438CB48D">
            <w:pPr>
              <w:keepNext w:val="0"/>
              <w:keepLines w:val="0"/>
              <w:pageBreakBefore w:val="0"/>
              <w:kinsoku w:val="0"/>
              <w:wordWrap/>
              <w:overflowPunct/>
              <w:topLinePunct w:val="0"/>
              <w:autoSpaceDE w:val="0"/>
              <w:autoSpaceDN w:val="0"/>
              <w:bidi w:val="0"/>
              <w:adjustRightInd w:val="0"/>
              <w:snapToGrid w:val="0"/>
              <w:spacing w:before="44" w:line="280" w:lineRule="exact"/>
              <w:ind w:left="102" w:right="59" w:firstLine="36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 xml:space="preserve">5  </w:t>
            </w:r>
            <w:r>
              <w:rPr>
                <w:rFonts w:ascii="宋体" w:hAnsi="宋体" w:eastAsia="宋体" w:cs="宋体"/>
                <w:snapToGrid w:val="0"/>
                <w:color w:val="000000"/>
                <w:spacing w:val="-4"/>
                <w:kern w:val="0"/>
                <w:sz w:val="18"/>
                <w:szCs w:val="18"/>
                <w:lang w:val="en-US" w:eastAsia="en-US" w:bidi="ar-SA"/>
              </w:rPr>
              <w:t>罩棚设计应计及活荷载、雪荷载、风荷载，</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其设计标准值应符合现行国家标准《建筑结构荷</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载规范》</w:t>
            </w:r>
            <w:r>
              <w:rPr>
                <w:rFonts w:ascii="Times New Roman" w:hAnsi="Times New Roman" w:eastAsia="Times New Roman" w:cs="Times New Roman"/>
                <w:snapToGrid w:val="0"/>
                <w:color w:val="000000"/>
                <w:spacing w:val="-1"/>
                <w:kern w:val="0"/>
                <w:sz w:val="18"/>
                <w:szCs w:val="18"/>
                <w:lang w:val="en-US" w:eastAsia="en-US" w:bidi="ar-SA"/>
              </w:rPr>
              <w:t>GB50009</w:t>
            </w:r>
            <w:r>
              <w:rPr>
                <w:rFonts w:ascii="宋体" w:hAnsi="宋体" w:eastAsia="宋体" w:cs="宋体"/>
                <w:snapToGrid w:val="0"/>
                <w:color w:val="000000"/>
                <w:spacing w:val="-1"/>
                <w:kern w:val="0"/>
                <w:sz w:val="18"/>
                <w:szCs w:val="18"/>
                <w:lang w:val="en-US" w:eastAsia="en-US" w:bidi="ar-SA"/>
              </w:rPr>
              <w:t>的有关规定；</w:t>
            </w:r>
          </w:p>
          <w:p w14:paraId="6EE2962C">
            <w:pPr>
              <w:keepNext w:val="0"/>
              <w:keepLines w:val="0"/>
              <w:pageBreakBefore w:val="0"/>
              <w:kinsoku w:val="0"/>
              <w:wordWrap/>
              <w:overflowPunct/>
              <w:topLinePunct w:val="0"/>
              <w:autoSpaceDE w:val="0"/>
              <w:autoSpaceDN w:val="0"/>
              <w:bidi w:val="0"/>
              <w:adjustRightInd w:val="0"/>
              <w:snapToGrid w:val="0"/>
              <w:spacing w:before="44" w:line="280" w:lineRule="exact"/>
              <w:ind w:left="102" w:right="106" w:firstLine="36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6  </w:t>
            </w:r>
            <w:r>
              <w:rPr>
                <w:rFonts w:ascii="宋体" w:hAnsi="宋体" w:eastAsia="宋体" w:cs="宋体"/>
                <w:snapToGrid w:val="0"/>
                <w:color w:val="000000"/>
                <w:spacing w:val="2"/>
                <w:kern w:val="0"/>
                <w:sz w:val="18"/>
                <w:szCs w:val="18"/>
                <w:lang w:val="en-US" w:eastAsia="en-US" w:bidi="ar-SA"/>
              </w:rPr>
              <w:t>罩棚的抗震设计应按现行国家标准《建筑</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抗震设计规范》</w:t>
            </w:r>
            <w:r>
              <w:rPr>
                <w:rFonts w:ascii="Times New Roman" w:hAnsi="Times New Roman" w:eastAsia="Times New Roman" w:cs="Times New Roman"/>
                <w:snapToGrid w:val="0"/>
                <w:color w:val="000000"/>
                <w:spacing w:val="-1"/>
                <w:kern w:val="0"/>
                <w:sz w:val="18"/>
                <w:szCs w:val="18"/>
                <w:lang w:val="en-US" w:eastAsia="en-US" w:bidi="ar-SA"/>
              </w:rPr>
              <w:t>GB50011</w:t>
            </w:r>
            <w:r>
              <w:rPr>
                <w:rFonts w:ascii="宋体" w:hAnsi="宋体" w:eastAsia="宋体" w:cs="宋体"/>
                <w:snapToGrid w:val="0"/>
                <w:color w:val="000000"/>
                <w:spacing w:val="-1"/>
                <w:kern w:val="0"/>
                <w:sz w:val="18"/>
                <w:szCs w:val="18"/>
                <w:lang w:val="en-US" w:eastAsia="en-US" w:bidi="ar-SA"/>
              </w:rPr>
              <w:t>的有关规定执行；</w:t>
            </w:r>
          </w:p>
          <w:p w14:paraId="4B4A789A">
            <w:pPr>
              <w:keepNext w:val="0"/>
              <w:keepLines w:val="0"/>
              <w:pageBreakBefore w:val="0"/>
              <w:kinsoku w:val="0"/>
              <w:wordWrap/>
              <w:overflowPunct/>
              <w:topLinePunct w:val="0"/>
              <w:autoSpaceDE w:val="0"/>
              <w:autoSpaceDN w:val="0"/>
              <w:bidi w:val="0"/>
              <w:adjustRightInd w:val="0"/>
              <w:snapToGrid w:val="0"/>
              <w:spacing w:before="44" w:line="280" w:lineRule="exact"/>
              <w:ind w:left="102" w:right="104" w:firstLine="35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7  </w:t>
            </w:r>
            <w:r>
              <w:rPr>
                <w:rFonts w:ascii="宋体" w:hAnsi="宋体" w:eastAsia="宋体" w:cs="宋体"/>
                <w:snapToGrid w:val="0"/>
                <w:color w:val="000000"/>
                <w:spacing w:val="1"/>
                <w:kern w:val="0"/>
                <w:sz w:val="18"/>
                <w:szCs w:val="18"/>
                <w:lang w:val="en-US" w:eastAsia="en-US" w:bidi="ar-SA"/>
              </w:rPr>
              <w:t>设置于</w:t>
            </w:r>
            <w:r>
              <w:rPr>
                <w:rFonts w:ascii="Times New Roman" w:hAnsi="Times New Roman" w:eastAsia="Times New Roman" w:cs="Times New Roman"/>
                <w:snapToGrid w:val="0"/>
                <w:color w:val="000000"/>
                <w:kern w:val="0"/>
                <w:sz w:val="18"/>
                <w:szCs w:val="18"/>
                <w:lang w:val="en-US" w:eastAsia="en-US" w:bidi="ar-SA"/>
              </w:rPr>
              <w:t>CNG</w:t>
            </w:r>
            <w:r>
              <w:rPr>
                <w:rFonts w:ascii="宋体" w:hAnsi="宋体" w:eastAsia="宋体" w:cs="宋体"/>
                <w:snapToGrid w:val="0"/>
                <w:color w:val="000000"/>
                <w:spacing w:val="1"/>
                <w:kern w:val="0"/>
                <w:sz w:val="18"/>
                <w:szCs w:val="18"/>
                <w:lang w:val="en-US" w:eastAsia="en-US" w:bidi="ar-SA"/>
              </w:rPr>
              <w:t>设备、</w:t>
            </w:r>
            <w:r>
              <w:rPr>
                <w:rFonts w:ascii="Times New Roman" w:hAnsi="Times New Roman" w:eastAsia="Times New Roman" w:cs="Times New Roman"/>
                <w:snapToGrid w:val="0"/>
                <w:color w:val="000000"/>
                <w:kern w:val="0"/>
                <w:sz w:val="18"/>
                <w:szCs w:val="18"/>
                <w:lang w:val="en-US" w:eastAsia="en-US" w:bidi="ar-SA"/>
              </w:rPr>
              <w:t>LNG</w:t>
            </w:r>
            <w:r>
              <w:rPr>
                <w:rFonts w:ascii="宋体" w:hAnsi="宋体" w:eastAsia="宋体" w:cs="宋体"/>
                <w:snapToGrid w:val="0"/>
                <w:color w:val="000000"/>
                <w:spacing w:val="1"/>
                <w:kern w:val="0"/>
                <w:sz w:val="18"/>
                <w:szCs w:val="18"/>
                <w:lang w:val="en-US" w:eastAsia="en-US" w:bidi="ar-SA"/>
              </w:rPr>
              <w:t>设备和氢气设备上</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方的罩棚应采用避免天然气和氢气积聚的结构形</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式；</w:t>
            </w:r>
          </w:p>
          <w:p w14:paraId="0AC4928D">
            <w:pPr>
              <w:keepNext w:val="0"/>
              <w:keepLines w:val="0"/>
              <w:pageBreakBefore w:val="0"/>
              <w:kinsoku w:val="0"/>
              <w:wordWrap/>
              <w:overflowPunct/>
              <w:topLinePunct w:val="0"/>
              <w:autoSpaceDE w:val="0"/>
              <w:autoSpaceDN w:val="0"/>
              <w:bidi w:val="0"/>
              <w:adjustRightInd w:val="0"/>
              <w:snapToGrid w:val="0"/>
              <w:spacing w:before="44" w:line="280" w:lineRule="exact"/>
              <w:ind w:left="46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8  </w:t>
            </w:r>
            <w:r>
              <w:rPr>
                <w:rFonts w:ascii="宋体" w:hAnsi="宋体" w:eastAsia="宋体" w:cs="宋体"/>
                <w:snapToGrid w:val="0"/>
                <w:color w:val="000000"/>
                <w:spacing w:val="-1"/>
                <w:kern w:val="0"/>
                <w:sz w:val="18"/>
                <w:szCs w:val="18"/>
                <w:lang w:val="en-US" w:eastAsia="en-US" w:bidi="ar-SA"/>
              </w:rPr>
              <w:t>罩棚柱应有防止车辆碰撞的技术措施。</w:t>
            </w:r>
          </w:p>
        </w:tc>
        <w:tc>
          <w:tcPr>
            <w:tcW w:w="2273" w:type="dxa"/>
            <w:vAlign w:val="top"/>
          </w:tcPr>
          <w:p w14:paraId="685A1019">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6E84327">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584BDE3">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4089E13F">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AAE4F27">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F7CBB84">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19451DA">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27E7407">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629BC04A">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6CB39574">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03FA1233">
            <w:pPr>
              <w:keepNext w:val="0"/>
              <w:keepLines w:val="0"/>
              <w:pageBreakBefore w:val="0"/>
              <w:kinsoku w:val="0"/>
              <w:wordWrap/>
              <w:overflowPunct/>
              <w:topLinePunct w:val="0"/>
              <w:autoSpaceDE w:val="0"/>
              <w:autoSpaceDN w:val="0"/>
              <w:bidi w:val="0"/>
              <w:adjustRightInd w:val="0"/>
              <w:snapToGrid w:val="0"/>
              <w:spacing w:before="59" w:line="28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23F2ADA1">
            <w:pPr>
              <w:keepNext w:val="0"/>
              <w:keepLines w:val="0"/>
              <w:pageBreakBefore w:val="0"/>
              <w:widowControl/>
              <w:kinsoku w:val="0"/>
              <w:wordWrap/>
              <w:overflowPunct/>
              <w:topLinePunct w:val="0"/>
              <w:autoSpaceDE w:val="0"/>
              <w:autoSpaceDN w:val="0"/>
              <w:bidi w:val="0"/>
              <w:adjustRightInd w:val="0"/>
              <w:snapToGrid w:val="0"/>
              <w:spacing w:before="57" w:line="28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14.2.2</w:t>
            </w:r>
          </w:p>
        </w:tc>
        <w:tc>
          <w:tcPr>
            <w:tcW w:w="1690" w:type="dxa"/>
            <w:vAlign w:val="top"/>
          </w:tcPr>
          <w:p w14:paraId="58B257C5">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2F8A91F">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91A17B0">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50348CF">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363FFD0">
            <w:pPr>
              <w:keepNext w:val="0"/>
              <w:keepLines w:val="0"/>
              <w:pageBreakBefore w:val="0"/>
              <w:kinsoku w:val="0"/>
              <w:wordWrap/>
              <w:overflowPunct/>
              <w:topLinePunct w:val="0"/>
              <w:autoSpaceDE w:val="0"/>
              <w:autoSpaceDN w:val="0"/>
              <w:bidi w:val="0"/>
              <w:adjustRightInd w:val="0"/>
              <w:snapToGrid w:val="0"/>
              <w:spacing w:before="59" w:line="280" w:lineRule="exact"/>
              <w:ind w:left="117" w:right="95" w:firstLine="1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9"/>
                <w:kern w:val="0"/>
                <w:sz w:val="18"/>
                <w:szCs w:val="18"/>
                <w:lang w:val="en-US" w:eastAsia="en-US" w:bidi="ar-SA"/>
              </w:rPr>
              <w:t>1</w:t>
            </w:r>
            <w:r>
              <w:rPr>
                <w:rFonts w:ascii="宋体" w:hAnsi="宋体" w:eastAsia="宋体" w:cs="宋体"/>
                <w:snapToGrid w:val="0"/>
                <w:color w:val="000000"/>
                <w:spacing w:val="-9"/>
                <w:kern w:val="0"/>
                <w:sz w:val="18"/>
                <w:szCs w:val="18"/>
                <w:lang w:val="en-US" w:eastAsia="en-US" w:bidi="ar-SA"/>
              </w:rPr>
              <w:t>）设有罩棚，罩棚</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采</w:t>
            </w:r>
            <w:r>
              <w:rPr>
                <w:rFonts w:ascii="宋体" w:hAnsi="宋体" w:eastAsia="宋体" w:cs="宋体"/>
                <w:snapToGrid w:val="0"/>
                <w:color w:val="000000"/>
                <w:spacing w:val="-4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用不</w:t>
            </w:r>
            <w:r>
              <w:rPr>
                <w:rFonts w:ascii="宋体" w:hAnsi="宋体" w:eastAsia="宋体" w:cs="宋体"/>
                <w:snapToGrid w:val="0"/>
                <w:color w:val="000000"/>
                <w:spacing w:val="-48"/>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燃</w:t>
            </w:r>
            <w:r>
              <w:rPr>
                <w:rFonts w:ascii="宋体" w:hAnsi="宋体" w:eastAsia="宋体" w:cs="宋体"/>
                <w:snapToGrid w:val="0"/>
                <w:color w:val="000000"/>
                <w:spacing w:val="-4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烧</w:t>
            </w:r>
            <w:r>
              <w:rPr>
                <w:rFonts w:ascii="宋体" w:hAnsi="宋体" w:eastAsia="宋体" w:cs="宋体"/>
                <w:snapToGrid w:val="0"/>
                <w:color w:val="000000"/>
                <w:spacing w:val="-47"/>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性</w:t>
            </w:r>
            <w:r>
              <w:rPr>
                <w:rFonts w:ascii="宋体" w:hAnsi="宋体" w:eastAsia="宋体" w:cs="宋体"/>
                <w:snapToGrid w:val="0"/>
                <w:color w:val="000000"/>
                <w:spacing w:val="-47"/>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材</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料；</w:t>
            </w:r>
          </w:p>
          <w:p w14:paraId="1AF96C56">
            <w:pPr>
              <w:keepNext w:val="0"/>
              <w:keepLines w:val="0"/>
              <w:pageBreakBefore w:val="0"/>
              <w:kinsoku w:val="0"/>
              <w:wordWrap/>
              <w:overflowPunct/>
              <w:topLinePunct w:val="0"/>
              <w:autoSpaceDE w:val="0"/>
              <w:autoSpaceDN w:val="0"/>
              <w:bidi w:val="0"/>
              <w:adjustRightInd w:val="0"/>
              <w:snapToGrid w:val="0"/>
              <w:spacing w:before="47" w:line="280" w:lineRule="exact"/>
              <w:ind w:left="117" w:right="95" w:hanging="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2</w:t>
            </w:r>
            <w:r>
              <w:rPr>
                <w:rFonts w:ascii="宋体" w:hAnsi="宋体" w:eastAsia="宋体" w:cs="宋体"/>
                <w:snapToGrid w:val="0"/>
                <w:color w:val="000000"/>
                <w:spacing w:val="-7"/>
                <w:kern w:val="0"/>
                <w:sz w:val="18"/>
                <w:szCs w:val="18"/>
                <w:lang w:val="en-US" w:eastAsia="en-US" w:bidi="ar-SA"/>
              </w:rPr>
              <w:t>）进站口无限高措</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施，其净空高度不</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小于</w:t>
            </w:r>
            <w:r>
              <w:rPr>
                <w:rFonts w:ascii="Times New Roman" w:hAnsi="Times New Roman" w:eastAsia="Times New Roman" w:cs="Times New Roman"/>
                <w:snapToGrid w:val="0"/>
                <w:color w:val="000000"/>
                <w:spacing w:val="-1"/>
                <w:kern w:val="0"/>
                <w:sz w:val="18"/>
                <w:szCs w:val="18"/>
                <w:lang w:val="en-US" w:eastAsia="en-US" w:bidi="ar-SA"/>
              </w:rPr>
              <w:t>4.5m</w:t>
            </w:r>
            <w:r>
              <w:rPr>
                <w:rFonts w:ascii="宋体" w:hAnsi="宋体" w:eastAsia="宋体" w:cs="宋体"/>
                <w:snapToGrid w:val="0"/>
                <w:color w:val="000000"/>
                <w:spacing w:val="-1"/>
                <w:kern w:val="0"/>
                <w:sz w:val="18"/>
                <w:szCs w:val="18"/>
                <w:lang w:val="en-US" w:eastAsia="en-US" w:bidi="ar-SA"/>
              </w:rPr>
              <w:t>；</w:t>
            </w:r>
          </w:p>
          <w:p w14:paraId="05DE1003">
            <w:pPr>
              <w:keepNext w:val="0"/>
              <w:keepLines w:val="0"/>
              <w:pageBreakBefore w:val="0"/>
              <w:kinsoku w:val="0"/>
              <w:wordWrap/>
              <w:overflowPunct/>
              <w:topLinePunct w:val="0"/>
              <w:autoSpaceDE w:val="0"/>
              <w:autoSpaceDN w:val="0"/>
              <w:bidi w:val="0"/>
              <w:adjustRightInd w:val="0"/>
              <w:snapToGrid w:val="0"/>
              <w:spacing w:before="45" w:line="280" w:lineRule="exact"/>
              <w:ind w:left="122" w:right="95" w:hanging="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3</w:t>
            </w:r>
            <w:r>
              <w:rPr>
                <w:rFonts w:ascii="宋体" w:hAnsi="宋体" w:eastAsia="宋体" w:cs="宋体"/>
                <w:snapToGrid w:val="0"/>
                <w:color w:val="000000"/>
                <w:spacing w:val="-7"/>
                <w:kern w:val="0"/>
                <w:sz w:val="18"/>
                <w:szCs w:val="18"/>
                <w:lang w:val="en-US" w:eastAsia="en-US" w:bidi="ar-SA"/>
              </w:rPr>
              <w:t>）罩棚遮盖加油机</w:t>
            </w:r>
            <w:r>
              <w:rPr>
                <w:rFonts w:ascii="宋体" w:hAnsi="宋体" w:eastAsia="宋体" w:cs="宋体"/>
                <w:snapToGrid w:val="0"/>
                <w:color w:val="000000"/>
                <w:spacing w:val="3"/>
                <w:kern w:val="0"/>
                <w:sz w:val="18"/>
                <w:szCs w:val="18"/>
                <w:lang w:val="en-US" w:eastAsia="en-US" w:bidi="ar-SA"/>
              </w:rPr>
              <w:t xml:space="preserve"> 的平面投影距离不</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小于</w:t>
            </w:r>
            <w:r>
              <w:rPr>
                <w:rFonts w:ascii="Times New Roman" w:hAnsi="Times New Roman" w:eastAsia="Times New Roman" w:cs="Times New Roman"/>
                <w:snapToGrid w:val="0"/>
                <w:color w:val="000000"/>
                <w:spacing w:val="-3"/>
                <w:kern w:val="0"/>
                <w:sz w:val="18"/>
                <w:szCs w:val="18"/>
                <w:lang w:val="en-US" w:eastAsia="en-US" w:bidi="ar-SA"/>
              </w:rPr>
              <w:t>2m</w:t>
            </w:r>
            <w:r>
              <w:rPr>
                <w:rFonts w:ascii="宋体" w:hAnsi="宋体" w:eastAsia="宋体" w:cs="宋体"/>
                <w:snapToGrid w:val="0"/>
                <w:color w:val="000000"/>
                <w:spacing w:val="-3"/>
                <w:kern w:val="0"/>
                <w:sz w:val="18"/>
                <w:szCs w:val="18"/>
                <w:lang w:val="en-US" w:eastAsia="en-US" w:bidi="ar-SA"/>
              </w:rPr>
              <w:t>；</w:t>
            </w:r>
          </w:p>
          <w:p w14:paraId="0F9F4BE6">
            <w:pPr>
              <w:keepNext w:val="0"/>
              <w:keepLines w:val="0"/>
              <w:pageBreakBefore w:val="0"/>
              <w:kinsoku w:val="0"/>
              <w:wordWrap/>
              <w:overflowPunct/>
              <w:topLinePunct w:val="0"/>
              <w:autoSpaceDE w:val="0"/>
              <w:autoSpaceDN w:val="0"/>
              <w:bidi w:val="0"/>
              <w:adjustRightInd w:val="0"/>
              <w:snapToGrid w:val="0"/>
              <w:spacing w:before="44" w:line="280" w:lineRule="exact"/>
              <w:ind w:left="119" w:right="95" w:hanging="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4</w:t>
            </w:r>
            <w:r>
              <w:rPr>
                <w:rFonts w:ascii="宋体" w:hAnsi="宋体" w:eastAsia="宋体" w:cs="宋体"/>
                <w:snapToGrid w:val="0"/>
                <w:color w:val="000000"/>
                <w:spacing w:val="-7"/>
                <w:kern w:val="0"/>
                <w:sz w:val="18"/>
                <w:szCs w:val="18"/>
                <w:lang w:val="en-US" w:eastAsia="en-US" w:bidi="ar-SA"/>
              </w:rPr>
              <w:t>）荷载符合规范要</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求；</w:t>
            </w:r>
          </w:p>
          <w:p w14:paraId="645EB0C2">
            <w:pPr>
              <w:keepNext w:val="0"/>
              <w:keepLines w:val="0"/>
              <w:pageBreakBefore w:val="0"/>
              <w:kinsoku w:val="0"/>
              <w:wordWrap/>
              <w:overflowPunct/>
              <w:topLinePunct w:val="0"/>
              <w:autoSpaceDE w:val="0"/>
              <w:autoSpaceDN w:val="0"/>
              <w:bidi w:val="0"/>
              <w:adjustRightInd w:val="0"/>
              <w:snapToGrid w:val="0"/>
              <w:spacing w:before="42" w:line="280" w:lineRule="exact"/>
              <w:ind w:left="119" w:right="9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5</w:t>
            </w:r>
            <w:r>
              <w:rPr>
                <w:rFonts w:ascii="宋体" w:hAnsi="宋体" w:eastAsia="宋体" w:cs="宋体"/>
                <w:snapToGrid w:val="0"/>
                <w:color w:val="000000"/>
                <w:spacing w:val="-7"/>
                <w:kern w:val="0"/>
                <w:sz w:val="18"/>
                <w:szCs w:val="18"/>
                <w:lang w:val="en-US" w:eastAsia="en-US" w:bidi="ar-SA"/>
              </w:rPr>
              <w:t>）罩棚按抗震设防</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烈度</w:t>
            </w:r>
            <w:r>
              <w:rPr>
                <w:rFonts w:ascii="Times New Roman" w:hAnsi="Times New Roman" w:eastAsia="Times New Roman" w:cs="Times New Roman"/>
                <w:snapToGrid w:val="0"/>
                <w:color w:val="000000"/>
                <w:spacing w:val="-7"/>
                <w:kern w:val="0"/>
                <w:sz w:val="18"/>
                <w:szCs w:val="18"/>
                <w:lang w:val="en-US" w:eastAsia="en-US" w:bidi="ar-SA"/>
              </w:rPr>
              <w:t>6</w:t>
            </w:r>
            <w:r>
              <w:rPr>
                <w:rFonts w:ascii="宋体" w:hAnsi="宋体" w:eastAsia="宋体" w:cs="宋体"/>
                <w:snapToGrid w:val="0"/>
                <w:color w:val="000000"/>
                <w:spacing w:val="-7"/>
                <w:kern w:val="0"/>
                <w:sz w:val="18"/>
                <w:szCs w:val="18"/>
                <w:lang w:val="en-US" w:eastAsia="en-US" w:bidi="ar-SA"/>
              </w:rPr>
              <w:t>度设计，符合</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规范要求。</w:t>
            </w:r>
          </w:p>
        </w:tc>
        <w:tc>
          <w:tcPr>
            <w:tcW w:w="749" w:type="dxa"/>
            <w:tcBorders>
              <w:right w:val="single" w:color="000000" w:sz="10" w:space="0"/>
            </w:tcBorders>
            <w:vAlign w:val="top"/>
          </w:tcPr>
          <w:p w14:paraId="6DAC4A4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5305841">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276DA4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1857B6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2F90C5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637724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B14D4D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59C0C2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30EFE7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A24BE1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F445A0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AC65B4F">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5127D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01DE5B2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666E10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A551F8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9750331">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3CC2C5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F55272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69DF564">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22.</w:t>
            </w:r>
          </w:p>
        </w:tc>
        <w:tc>
          <w:tcPr>
            <w:tcW w:w="4049" w:type="dxa"/>
            <w:vAlign w:val="top"/>
          </w:tcPr>
          <w:p w14:paraId="73BECDC5">
            <w:pPr>
              <w:keepNext w:val="0"/>
              <w:keepLines w:val="0"/>
              <w:pageBreakBefore w:val="0"/>
              <w:kinsoku w:val="0"/>
              <w:wordWrap/>
              <w:overflowPunct/>
              <w:topLinePunct w:val="0"/>
              <w:autoSpaceDE w:val="0"/>
              <w:autoSpaceDN w:val="0"/>
              <w:bidi w:val="0"/>
              <w:adjustRightInd w:val="0"/>
              <w:snapToGrid w:val="0"/>
              <w:spacing w:before="179" w:line="300" w:lineRule="exact"/>
              <w:ind w:right="15"/>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加油岛、加气岛、加氢岛的设计应符合下列规定：</w:t>
            </w:r>
          </w:p>
          <w:p w14:paraId="5F40661B">
            <w:pPr>
              <w:keepNext w:val="0"/>
              <w:keepLines w:val="0"/>
              <w:pageBreakBefore w:val="0"/>
              <w:kinsoku w:val="0"/>
              <w:wordWrap/>
              <w:overflowPunct/>
              <w:topLinePunct w:val="0"/>
              <w:autoSpaceDE w:val="0"/>
              <w:autoSpaceDN w:val="0"/>
              <w:bidi w:val="0"/>
              <w:adjustRightInd w:val="0"/>
              <w:snapToGrid w:val="0"/>
              <w:spacing w:before="46" w:line="300" w:lineRule="exact"/>
              <w:ind w:left="102" w:right="106" w:firstLine="37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1  </w:t>
            </w:r>
            <w:r>
              <w:rPr>
                <w:rFonts w:ascii="宋体" w:hAnsi="宋体" w:eastAsia="宋体" w:cs="宋体"/>
                <w:snapToGrid w:val="0"/>
                <w:color w:val="000000"/>
                <w:spacing w:val="2"/>
                <w:kern w:val="0"/>
                <w:sz w:val="18"/>
                <w:szCs w:val="18"/>
                <w:lang w:val="en-US" w:eastAsia="en-US" w:bidi="ar-SA"/>
              </w:rPr>
              <w:t>加油岛、加气岛、加氢岛应高出停车</w:t>
            </w:r>
            <w:r>
              <w:rPr>
                <w:rFonts w:ascii="宋体" w:hAnsi="宋体" w:eastAsia="宋体" w:cs="宋体"/>
                <w:snapToGrid w:val="0"/>
                <w:color w:val="000000"/>
                <w:spacing w:val="1"/>
                <w:kern w:val="0"/>
                <w:sz w:val="18"/>
                <w:szCs w:val="18"/>
                <w:lang w:val="en-US" w:eastAsia="en-US" w:bidi="ar-SA"/>
              </w:rPr>
              <w:t>位的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地坪</w:t>
            </w:r>
            <w:r>
              <w:rPr>
                <w:rFonts w:ascii="Times New Roman" w:hAnsi="Times New Roman" w:eastAsia="Times New Roman" w:cs="Times New Roman"/>
                <w:snapToGrid w:val="0"/>
                <w:color w:val="000000"/>
                <w:spacing w:val="-2"/>
                <w:kern w:val="0"/>
                <w:sz w:val="18"/>
                <w:szCs w:val="18"/>
                <w:lang w:val="en-US" w:eastAsia="en-US" w:bidi="ar-SA"/>
              </w:rPr>
              <w:t>0.</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15m~0.20m</w:t>
            </w:r>
            <w:r>
              <w:rPr>
                <w:rFonts w:ascii="宋体" w:hAnsi="宋体" w:eastAsia="宋体" w:cs="宋体"/>
                <w:snapToGrid w:val="0"/>
                <w:color w:val="000000"/>
                <w:spacing w:val="-2"/>
                <w:kern w:val="0"/>
                <w:sz w:val="18"/>
                <w:szCs w:val="18"/>
                <w:lang w:val="en-US" w:eastAsia="en-US" w:bidi="ar-SA"/>
              </w:rPr>
              <w:t>；</w:t>
            </w:r>
          </w:p>
          <w:p w14:paraId="59EB2794">
            <w:pPr>
              <w:keepNext w:val="0"/>
              <w:keepLines w:val="0"/>
              <w:pageBreakBefore w:val="0"/>
              <w:kinsoku w:val="0"/>
              <w:wordWrap/>
              <w:overflowPunct/>
              <w:topLinePunct w:val="0"/>
              <w:autoSpaceDE w:val="0"/>
              <w:autoSpaceDN w:val="0"/>
              <w:bidi w:val="0"/>
              <w:adjustRightInd w:val="0"/>
              <w:snapToGrid w:val="0"/>
              <w:spacing w:before="45" w:line="300" w:lineRule="exact"/>
              <w:ind w:left="106" w:right="106" w:firstLine="35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加油岛、加气岛、加氢岛两端的宽度不应</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小于</w:t>
            </w:r>
            <w:r>
              <w:rPr>
                <w:rFonts w:ascii="Times New Roman" w:hAnsi="Times New Roman" w:eastAsia="Times New Roman" w:cs="Times New Roman"/>
                <w:snapToGrid w:val="0"/>
                <w:color w:val="000000"/>
                <w:spacing w:val="-2"/>
                <w:kern w:val="0"/>
                <w:sz w:val="18"/>
                <w:szCs w:val="18"/>
                <w:lang w:val="en-US" w:eastAsia="en-US" w:bidi="ar-SA"/>
              </w:rPr>
              <w:t>1.2m</w:t>
            </w:r>
            <w:r>
              <w:rPr>
                <w:rFonts w:ascii="宋体" w:hAnsi="宋体" w:eastAsia="宋体" w:cs="宋体"/>
                <w:snapToGrid w:val="0"/>
                <w:color w:val="000000"/>
                <w:spacing w:val="-2"/>
                <w:kern w:val="0"/>
                <w:sz w:val="18"/>
                <w:szCs w:val="18"/>
                <w:lang w:val="en-US" w:eastAsia="en-US" w:bidi="ar-SA"/>
              </w:rPr>
              <w:t>；</w:t>
            </w:r>
          </w:p>
          <w:p w14:paraId="5ADF453B">
            <w:pPr>
              <w:keepNext w:val="0"/>
              <w:keepLines w:val="0"/>
              <w:pageBreakBefore w:val="0"/>
              <w:kinsoku w:val="0"/>
              <w:wordWrap/>
              <w:overflowPunct/>
              <w:topLinePunct w:val="0"/>
              <w:autoSpaceDE w:val="0"/>
              <w:autoSpaceDN w:val="0"/>
              <w:bidi w:val="0"/>
              <w:adjustRightInd w:val="0"/>
              <w:snapToGrid w:val="0"/>
              <w:spacing w:before="42" w:line="300" w:lineRule="exact"/>
              <w:ind w:left="102" w:right="106" w:firstLine="359"/>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3  </w:t>
            </w:r>
            <w:r>
              <w:rPr>
                <w:rFonts w:ascii="宋体" w:hAnsi="宋体" w:eastAsia="宋体" w:cs="宋体"/>
                <w:snapToGrid w:val="0"/>
                <w:color w:val="000000"/>
                <w:spacing w:val="2"/>
                <w:kern w:val="0"/>
                <w:sz w:val="18"/>
                <w:szCs w:val="18"/>
                <w:lang w:val="en-US" w:eastAsia="en-US" w:bidi="ar-SA"/>
              </w:rPr>
              <w:t>加油岛、加气岛、加氢岛上的罩棚立柱边</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缘距岛端部不应小于</w:t>
            </w:r>
            <w:r>
              <w:rPr>
                <w:rFonts w:ascii="Times New Roman" w:hAnsi="Times New Roman" w:eastAsia="Times New Roman" w:cs="Times New Roman"/>
                <w:snapToGrid w:val="0"/>
                <w:color w:val="000000"/>
                <w:spacing w:val="-1"/>
                <w:kern w:val="0"/>
                <w:sz w:val="18"/>
                <w:szCs w:val="18"/>
                <w:lang w:val="en-US" w:eastAsia="en-US" w:bidi="ar-SA"/>
              </w:rPr>
              <w:t>0.6m</w:t>
            </w:r>
            <w:r>
              <w:rPr>
                <w:rFonts w:ascii="宋体" w:hAnsi="宋体" w:eastAsia="宋体" w:cs="宋体"/>
                <w:snapToGrid w:val="0"/>
                <w:color w:val="000000"/>
                <w:spacing w:val="-1"/>
                <w:kern w:val="0"/>
                <w:sz w:val="18"/>
                <w:szCs w:val="18"/>
                <w:lang w:val="en-US" w:eastAsia="en-US" w:bidi="ar-SA"/>
              </w:rPr>
              <w:t>；</w:t>
            </w:r>
          </w:p>
          <w:p w14:paraId="737AE572">
            <w:pPr>
              <w:keepNext w:val="0"/>
              <w:keepLines w:val="0"/>
              <w:pageBreakBefore w:val="0"/>
              <w:kinsoku w:val="0"/>
              <w:wordWrap/>
              <w:overflowPunct/>
              <w:topLinePunct w:val="0"/>
              <w:autoSpaceDE w:val="0"/>
              <w:autoSpaceDN w:val="0"/>
              <w:bidi w:val="0"/>
              <w:adjustRightInd w:val="0"/>
              <w:snapToGrid w:val="0"/>
              <w:spacing w:before="49" w:line="300" w:lineRule="exact"/>
              <w:ind w:left="102" w:right="104" w:firstLine="35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4  </w:t>
            </w:r>
            <w:r>
              <w:rPr>
                <w:rFonts w:ascii="宋体" w:hAnsi="宋体" w:eastAsia="宋体" w:cs="宋体"/>
                <w:snapToGrid w:val="0"/>
                <w:color w:val="000000"/>
                <w:spacing w:val="2"/>
                <w:kern w:val="0"/>
                <w:sz w:val="18"/>
                <w:szCs w:val="18"/>
                <w:lang w:val="en-US" w:eastAsia="en-US" w:bidi="ar-SA"/>
              </w:rPr>
              <w:t>靠近岛端部的加油机、加气机、加氢机等</w:t>
            </w:r>
            <w:r>
              <w:rPr>
                <w:rFonts w:ascii="宋体" w:hAnsi="宋体" w:eastAsia="宋体" w:cs="宋体"/>
                <w:snapToGrid w:val="0"/>
                <w:color w:val="000000"/>
                <w:spacing w:val="16"/>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岛上的工艺设备应有防止车辆误碰撞的措施和警</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示标识。采用钢管防撞柱（栏）时，其钢管的直</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径不应小于</w:t>
            </w:r>
            <w:r>
              <w:rPr>
                <w:rFonts w:ascii="Times New Roman" w:hAnsi="Times New Roman" w:eastAsia="Times New Roman" w:cs="Times New Roman"/>
                <w:snapToGrid w:val="0"/>
                <w:color w:val="000000"/>
                <w:kern w:val="0"/>
                <w:sz w:val="18"/>
                <w:szCs w:val="18"/>
                <w:lang w:val="en-US" w:eastAsia="en-US" w:bidi="ar-SA"/>
              </w:rPr>
              <w:t>100mm</w:t>
            </w:r>
            <w:r>
              <w:rPr>
                <w:rFonts w:ascii="Times New Roman" w:hAnsi="Times New Roman" w:eastAsia="Times New Roman" w:cs="Times New Roman"/>
                <w:snapToGrid w:val="0"/>
                <w:color w:val="000000"/>
                <w:spacing w:val="-2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，高度不应于</w:t>
            </w:r>
            <w:r>
              <w:rPr>
                <w:rFonts w:ascii="Times New Roman" w:hAnsi="Times New Roman" w:eastAsia="Times New Roman" w:cs="Times New Roman"/>
                <w:snapToGrid w:val="0"/>
                <w:color w:val="000000"/>
                <w:kern w:val="0"/>
                <w:sz w:val="18"/>
                <w:szCs w:val="18"/>
                <w:lang w:val="en-US" w:eastAsia="en-US" w:bidi="ar-SA"/>
              </w:rPr>
              <w:t>0.5</w:t>
            </w:r>
            <w:r>
              <w:rPr>
                <w:rFonts w:ascii="Times New Roman" w:hAnsi="Times New Roman" w:eastAsia="Times New Roman" w:cs="Times New Roman"/>
                <w:snapToGrid w:val="0"/>
                <w:color w:val="000000"/>
                <w:spacing w:val="-1"/>
                <w:kern w:val="0"/>
                <w:sz w:val="18"/>
                <w:szCs w:val="18"/>
                <w:lang w:val="en-US" w:eastAsia="en-US" w:bidi="ar-SA"/>
              </w:rPr>
              <w:t>m</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，并应设置</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牢固。</w:t>
            </w:r>
          </w:p>
        </w:tc>
        <w:tc>
          <w:tcPr>
            <w:tcW w:w="2273" w:type="dxa"/>
            <w:vAlign w:val="top"/>
          </w:tcPr>
          <w:p w14:paraId="65C18E8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DF8CCA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C19447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05E692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16ED6D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D840C21">
            <w:pPr>
              <w:keepNext w:val="0"/>
              <w:keepLines w:val="0"/>
              <w:pageBreakBefore w:val="0"/>
              <w:kinsoku w:val="0"/>
              <w:wordWrap/>
              <w:overflowPunct/>
              <w:topLinePunct w:val="0"/>
              <w:autoSpaceDE w:val="0"/>
              <w:autoSpaceDN w:val="0"/>
              <w:bidi w:val="0"/>
              <w:adjustRightInd w:val="0"/>
              <w:snapToGrid w:val="0"/>
              <w:spacing w:before="58"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23D40258">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14.2.3</w:t>
            </w:r>
          </w:p>
        </w:tc>
        <w:tc>
          <w:tcPr>
            <w:tcW w:w="1690" w:type="dxa"/>
            <w:vAlign w:val="top"/>
          </w:tcPr>
          <w:p w14:paraId="3C148961">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17200F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7148606">
            <w:pPr>
              <w:keepNext w:val="0"/>
              <w:keepLines w:val="0"/>
              <w:pageBreakBefore w:val="0"/>
              <w:kinsoku w:val="0"/>
              <w:wordWrap/>
              <w:overflowPunct/>
              <w:topLinePunct w:val="0"/>
              <w:autoSpaceDE w:val="0"/>
              <w:autoSpaceDN w:val="0"/>
              <w:bidi w:val="0"/>
              <w:adjustRightInd w:val="0"/>
              <w:snapToGrid w:val="0"/>
              <w:spacing w:before="58" w:line="300" w:lineRule="exact"/>
              <w:ind w:left="118" w:right="95" w:firstLine="1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9"/>
                <w:kern w:val="0"/>
                <w:sz w:val="18"/>
                <w:szCs w:val="18"/>
                <w:lang w:val="en-US" w:eastAsia="en-US" w:bidi="ar-SA"/>
              </w:rPr>
              <w:t>1</w:t>
            </w:r>
            <w:r>
              <w:rPr>
                <w:rFonts w:ascii="宋体" w:hAnsi="宋体" w:eastAsia="宋体" w:cs="宋体"/>
                <w:snapToGrid w:val="0"/>
                <w:color w:val="000000"/>
                <w:spacing w:val="-9"/>
                <w:kern w:val="0"/>
                <w:sz w:val="18"/>
                <w:szCs w:val="18"/>
                <w:lang w:val="en-US" w:eastAsia="en-US" w:bidi="ar-SA"/>
              </w:rPr>
              <w:t>）加油岛高出停车</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位的地坪</w:t>
            </w:r>
            <w:r>
              <w:rPr>
                <w:rFonts w:ascii="Times New Roman" w:hAnsi="Times New Roman" w:eastAsia="Times New Roman" w:cs="Times New Roman"/>
                <w:snapToGrid w:val="0"/>
                <w:color w:val="000000"/>
                <w:spacing w:val="-1"/>
                <w:kern w:val="0"/>
                <w:sz w:val="18"/>
                <w:szCs w:val="18"/>
                <w:lang w:val="en-US" w:eastAsia="en-US" w:bidi="ar-SA"/>
              </w:rPr>
              <w:t>0.2m</w:t>
            </w:r>
            <w:r>
              <w:rPr>
                <w:rFonts w:ascii="宋体" w:hAnsi="宋体" w:eastAsia="宋体" w:cs="宋体"/>
                <w:snapToGrid w:val="0"/>
                <w:color w:val="000000"/>
                <w:spacing w:val="-1"/>
                <w:kern w:val="0"/>
                <w:sz w:val="18"/>
                <w:szCs w:val="18"/>
                <w:lang w:val="en-US" w:eastAsia="en-US" w:bidi="ar-SA"/>
              </w:rPr>
              <w:t>；</w:t>
            </w:r>
          </w:p>
          <w:p w14:paraId="7AF0B156">
            <w:pPr>
              <w:keepNext w:val="0"/>
              <w:keepLines w:val="0"/>
              <w:pageBreakBefore w:val="0"/>
              <w:kinsoku w:val="0"/>
              <w:wordWrap/>
              <w:overflowPunct/>
              <w:topLinePunct w:val="0"/>
              <w:autoSpaceDE w:val="0"/>
              <w:autoSpaceDN w:val="0"/>
              <w:bidi w:val="0"/>
              <w:adjustRightInd w:val="0"/>
              <w:snapToGrid w:val="0"/>
              <w:spacing w:before="26" w:line="300" w:lineRule="exact"/>
              <w:ind w:left="132" w:right="95" w:hanging="17"/>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3"/>
                <w:kern w:val="0"/>
                <w:sz w:val="18"/>
                <w:szCs w:val="18"/>
                <w:lang w:val="en-US" w:eastAsia="en-US" w:bidi="ar-SA"/>
              </w:rPr>
              <w:t>2</w:t>
            </w:r>
            <w:r>
              <w:rPr>
                <w:rFonts w:ascii="Times New Roman" w:hAnsi="Times New Roman" w:eastAsia="Times New Roman" w:cs="Times New Roman"/>
                <w:snapToGrid w:val="0"/>
                <w:color w:val="000000"/>
                <w:spacing w:val="35"/>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w:t>
            </w:r>
            <w:r>
              <w:rPr>
                <w:rFonts w:ascii="宋体" w:hAnsi="宋体" w:eastAsia="宋体" w:cs="宋体"/>
                <w:snapToGrid w:val="0"/>
                <w:color w:val="000000"/>
                <w:spacing w:val="-33"/>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加</w:t>
            </w:r>
            <w:r>
              <w:rPr>
                <w:rFonts w:ascii="宋体" w:hAnsi="宋体" w:eastAsia="宋体" w:cs="宋体"/>
                <w:snapToGrid w:val="0"/>
                <w:color w:val="000000"/>
                <w:spacing w:val="-27"/>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油</w:t>
            </w:r>
            <w:r>
              <w:rPr>
                <w:rFonts w:ascii="宋体" w:hAnsi="宋体" w:eastAsia="宋体" w:cs="宋体"/>
                <w:snapToGrid w:val="0"/>
                <w:color w:val="000000"/>
                <w:spacing w:val="-19"/>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岛</w:t>
            </w:r>
            <w:r>
              <w:rPr>
                <w:rFonts w:ascii="宋体" w:hAnsi="宋体" w:eastAsia="宋体" w:cs="宋体"/>
                <w:snapToGrid w:val="0"/>
                <w:color w:val="000000"/>
                <w:spacing w:val="-24"/>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宽</w:t>
            </w:r>
            <w:r>
              <w:rPr>
                <w:rFonts w:ascii="宋体" w:hAnsi="宋体" w:eastAsia="宋体" w:cs="宋体"/>
                <w:snapToGrid w:val="0"/>
                <w:color w:val="000000"/>
                <w:spacing w:val="-33"/>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度</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1.2m</w:t>
            </w:r>
            <w:r>
              <w:rPr>
                <w:rFonts w:ascii="宋体" w:hAnsi="宋体" w:eastAsia="宋体" w:cs="宋体"/>
                <w:snapToGrid w:val="0"/>
                <w:color w:val="000000"/>
                <w:spacing w:val="-5"/>
                <w:kern w:val="0"/>
                <w:sz w:val="18"/>
                <w:szCs w:val="18"/>
                <w:lang w:val="en-US" w:eastAsia="en-US" w:bidi="ar-SA"/>
              </w:rPr>
              <w:t>；</w:t>
            </w:r>
          </w:p>
          <w:p w14:paraId="68CFBB24">
            <w:pPr>
              <w:keepNext w:val="0"/>
              <w:keepLines w:val="0"/>
              <w:pageBreakBefore w:val="0"/>
              <w:kinsoku w:val="0"/>
              <w:wordWrap/>
              <w:overflowPunct/>
              <w:topLinePunct w:val="0"/>
              <w:autoSpaceDE w:val="0"/>
              <w:autoSpaceDN w:val="0"/>
              <w:bidi w:val="0"/>
              <w:adjustRightInd w:val="0"/>
              <w:snapToGrid w:val="0"/>
              <w:spacing w:before="22" w:line="300" w:lineRule="exact"/>
              <w:ind w:left="118" w:right="9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3</w:t>
            </w:r>
            <w:r>
              <w:rPr>
                <w:rFonts w:ascii="宋体" w:hAnsi="宋体" w:eastAsia="宋体" w:cs="宋体"/>
                <w:snapToGrid w:val="0"/>
                <w:color w:val="000000"/>
                <w:spacing w:val="-7"/>
                <w:kern w:val="0"/>
                <w:sz w:val="18"/>
                <w:szCs w:val="18"/>
                <w:lang w:val="en-US" w:eastAsia="en-US" w:bidi="ar-SA"/>
              </w:rPr>
              <w:t>）加油岛上的罩棚</w:t>
            </w:r>
            <w:r>
              <w:rPr>
                <w:rFonts w:ascii="宋体" w:hAnsi="宋体" w:eastAsia="宋体" w:cs="宋体"/>
                <w:snapToGrid w:val="0"/>
                <w:color w:val="000000"/>
                <w:spacing w:val="3"/>
                <w:kern w:val="0"/>
                <w:sz w:val="18"/>
                <w:szCs w:val="18"/>
                <w:lang w:val="en-US" w:eastAsia="en-US" w:bidi="ar-SA"/>
              </w:rPr>
              <w:t xml:space="preserve"> 立柱边缘距岛端部</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不小于</w:t>
            </w:r>
            <w:r>
              <w:rPr>
                <w:rFonts w:ascii="Times New Roman" w:hAnsi="Times New Roman" w:eastAsia="Times New Roman" w:cs="Times New Roman"/>
                <w:snapToGrid w:val="0"/>
                <w:color w:val="000000"/>
                <w:spacing w:val="-1"/>
                <w:kern w:val="0"/>
                <w:sz w:val="18"/>
                <w:szCs w:val="18"/>
                <w:lang w:val="en-US" w:eastAsia="en-US" w:bidi="ar-SA"/>
              </w:rPr>
              <w:t>0.6m</w:t>
            </w:r>
            <w:r>
              <w:rPr>
                <w:rFonts w:ascii="宋体" w:hAnsi="宋体" w:eastAsia="宋体" w:cs="宋体"/>
                <w:snapToGrid w:val="0"/>
                <w:color w:val="000000"/>
                <w:spacing w:val="-1"/>
                <w:kern w:val="0"/>
                <w:sz w:val="18"/>
                <w:szCs w:val="18"/>
                <w:lang w:val="en-US" w:eastAsia="en-US" w:bidi="ar-SA"/>
              </w:rPr>
              <w:t>。</w:t>
            </w:r>
          </w:p>
          <w:p w14:paraId="3E400985">
            <w:pPr>
              <w:keepNext w:val="0"/>
              <w:keepLines w:val="0"/>
              <w:pageBreakBefore w:val="0"/>
              <w:kinsoku w:val="0"/>
              <w:wordWrap/>
              <w:overflowPunct/>
              <w:topLinePunct w:val="0"/>
              <w:autoSpaceDE w:val="0"/>
              <w:autoSpaceDN w:val="0"/>
              <w:bidi w:val="0"/>
              <w:adjustRightInd w:val="0"/>
              <w:snapToGrid w:val="0"/>
              <w:spacing w:before="42" w:line="300" w:lineRule="exact"/>
              <w:ind w:left="134" w:right="95" w:hanging="2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4</w:t>
            </w:r>
            <w:r>
              <w:rPr>
                <w:rFonts w:ascii="宋体" w:hAnsi="宋体" w:eastAsia="宋体" w:cs="宋体"/>
                <w:snapToGrid w:val="0"/>
                <w:color w:val="000000"/>
                <w:spacing w:val="-7"/>
                <w:kern w:val="0"/>
                <w:sz w:val="18"/>
                <w:szCs w:val="18"/>
                <w:lang w:val="en-US" w:eastAsia="en-US" w:bidi="ar-SA"/>
              </w:rPr>
              <w:t>）加油岛前端设置</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了</w:t>
            </w:r>
            <w:r>
              <w:rPr>
                <w:rFonts w:ascii="Times New Roman" w:hAnsi="Times New Roman" w:eastAsia="Times New Roman" w:cs="Times New Roman"/>
                <w:snapToGrid w:val="0"/>
                <w:color w:val="000000"/>
                <w:spacing w:val="-3"/>
                <w:kern w:val="0"/>
                <w:sz w:val="18"/>
                <w:szCs w:val="18"/>
                <w:lang w:val="en-US" w:eastAsia="en-US" w:bidi="ar-SA"/>
              </w:rPr>
              <w:t>60cm</w:t>
            </w:r>
            <w:r>
              <w:rPr>
                <w:rFonts w:ascii="宋体" w:hAnsi="宋体" w:eastAsia="宋体" w:cs="宋体"/>
                <w:snapToGrid w:val="0"/>
                <w:color w:val="000000"/>
                <w:spacing w:val="-3"/>
                <w:kern w:val="0"/>
                <w:sz w:val="18"/>
                <w:szCs w:val="18"/>
                <w:lang w:val="en-US" w:eastAsia="en-US" w:bidi="ar-SA"/>
              </w:rPr>
              <w:t>高防撞柱。</w:t>
            </w:r>
          </w:p>
        </w:tc>
        <w:tc>
          <w:tcPr>
            <w:tcW w:w="749" w:type="dxa"/>
            <w:tcBorders>
              <w:right w:val="single" w:color="000000" w:sz="10" w:space="0"/>
            </w:tcBorders>
            <w:vAlign w:val="top"/>
          </w:tcPr>
          <w:p w14:paraId="766D4CB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2CDBDE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F8C5E5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BE8C1E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221D65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010687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9C1139F">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56BC1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bottom w:val="single" w:color="000000" w:sz="10" w:space="0"/>
            </w:tcBorders>
            <w:vAlign w:val="top"/>
          </w:tcPr>
          <w:p w14:paraId="7797640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2601307">
            <w:pPr>
              <w:keepNext w:val="0"/>
              <w:keepLines w:val="0"/>
              <w:pageBreakBefore w:val="0"/>
              <w:widowControl/>
              <w:kinsoku w:val="0"/>
              <w:wordWrap/>
              <w:overflowPunct/>
              <w:topLinePunct w:val="0"/>
              <w:autoSpaceDE w:val="0"/>
              <w:autoSpaceDN w:val="0"/>
              <w:bidi w:val="0"/>
              <w:adjustRightInd w:val="0"/>
              <w:snapToGrid w:val="0"/>
              <w:spacing w:before="51"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23.</w:t>
            </w:r>
          </w:p>
        </w:tc>
        <w:tc>
          <w:tcPr>
            <w:tcW w:w="4049" w:type="dxa"/>
            <w:tcBorders>
              <w:bottom w:val="single" w:color="000000" w:sz="10" w:space="0"/>
            </w:tcBorders>
            <w:vAlign w:val="top"/>
          </w:tcPr>
          <w:p w14:paraId="6AB8CA74">
            <w:pPr>
              <w:keepNext w:val="0"/>
              <w:keepLines w:val="0"/>
              <w:pageBreakBefore w:val="0"/>
              <w:kinsoku w:val="0"/>
              <w:wordWrap/>
              <w:overflowPunct/>
              <w:topLinePunct w:val="0"/>
              <w:autoSpaceDE w:val="0"/>
              <w:autoSpaceDN w:val="0"/>
              <w:bidi w:val="0"/>
              <w:adjustRightInd w:val="0"/>
              <w:snapToGrid w:val="0"/>
              <w:spacing w:before="212" w:line="300" w:lineRule="exact"/>
              <w:ind w:left="102"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布置有可燃液体或可燃气体设备的建筑物的门窗</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应向外开启，并应按现行国家标准《建筑设计防</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火规范》</w:t>
            </w:r>
            <w:r>
              <w:rPr>
                <w:rFonts w:ascii="Times New Roman" w:hAnsi="Times New Roman" w:eastAsia="Times New Roman" w:cs="Times New Roman"/>
                <w:snapToGrid w:val="0"/>
                <w:color w:val="000000"/>
                <w:spacing w:val="-1"/>
                <w:kern w:val="0"/>
                <w:sz w:val="18"/>
                <w:szCs w:val="18"/>
                <w:lang w:val="en-US" w:eastAsia="en-US" w:bidi="ar-SA"/>
              </w:rPr>
              <w:t>GB 50016</w:t>
            </w:r>
            <w:r>
              <w:rPr>
                <w:rFonts w:ascii="宋体" w:hAnsi="宋体" w:eastAsia="宋体" w:cs="宋体"/>
                <w:snapToGrid w:val="0"/>
                <w:color w:val="000000"/>
                <w:spacing w:val="-1"/>
                <w:kern w:val="0"/>
                <w:sz w:val="18"/>
                <w:szCs w:val="18"/>
                <w:lang w:val="en-US" w:eastAsia="en-US" w:bidi="ar-SA"/>
              </w:rPr>
              <w:t>的有关规定采取泄压措施。</w:t>
            </w:r>
          </w:p>
        </w:tc>
        <w:tc>
          <w:tcPr>
            <w:tcW w:w="2273" w:type="dxa"/>
            <w:tcBorders>
              <w:bottom w:val="single" w:color="000000" w:sz="10" w:space="0"/>
            </w:tcBorders>
            <w:vAlign w:val="top"/>
          </w:tcPr>
          <w:p w14:paraId="762BBAC9">
            <w:pPr>
              <w:keepNext w:val="0"/>
              <w:keepLines w:val="0"/>
              <w:pageBreakBefore w:val="0"/>
              <w:kinsoku w:val="0"/>
              <w:wordWrap/>
              <w:overflowPunct/>
              <w:topLinePunct w:val="0"/>
              <w:autoSpaceDE w:val="0"/>
              <w:autoSpaceDN w:val="0"/>
              <w:bidi w:val="0"/>
              <w:adjustRightInd w:val="0"/>
              <w:snapToGrid w:val="0"/>
              <w:spacing w:before="212"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316A6ABD">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14.2.4</w:t>
            </w:r>
          </w:p>
        </w:tc>
        <w:tc>
          <w:tcPr>
            <w:tcW w:w="1690" w:type="dxa"/>
            <w:tcBorders>
              <w:bottom w:val="single" w:color="000000" w:sz="10" w:space="0"/>
            </w:tcBorders>
            <w:vAlign w:val="top"/>
          </w:tcPr>
          <w:p w14:paraId="3F87FB4F">
            <w:pPr>
              <w:keepNext w:val="0"/>
              <w:keepLines w:val="0"/>
              <w:pageBreakBefore w:val="0"/>
              <w:kinsoku w:val="0"/>
              <w:wordWrap/>
              <w:overflowPunct/>
              <w:topLinePunct w:val="0"/>
              <w:autoSpaceDE w:val="0"/>
              <w:autoSpaceDN w:val="0"/>
              <w:bidi w:val="0"/>
              <w:adjustRightInd w:val="0"/>
              <w:snapToGrid w:val="0"/>
              <w:spacing w:before="214" w:line="300" w:lineRule="exact"/>
              <w:ind w:left="119" w:right="95"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未设置布置有可燃 液体或可燃气体设</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备的建筑物。</w:t>
            </w:r>
          </w:p>
        </w:tc>
        <w:tc>
          <w:tcPr>
            <w:tcW w:w="749" w:type="dxa"/>
            <w:tcBorders>
              <w:bottom w:val="single" w:color="000000" w:sz="10" w:space="0"/>
              <w:right w:val="single" w:color="000000" w:sz="10" w:space="0"/>
            </w:tcBorders>
            <w:vAlign w:val="top"/>
          </w:tcPr>
          <w:p w14:paraId="4AA0BE5D">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94D3C9B">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B56EB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top w:val="single" w:color="000000" w:sz="10" w:space="0"/>
              <w:left w:val="single" w:color="000000" w:sz="10" w:space="0"/>
            </w:tcBorders>
            <w:vAlign w:val="top"/>
          </w:tcPr>
          <w:p w14:paraId="493AAF0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44E490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46D8E44">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24.</w:t>
            </w:r>
          </w:p>
        </w:tc>
        <w:tc>
          <w:tcPr>
            <w:tcW w:w="4049" w:type="dxa"/>
            <w:tcBorders>
              <w:top w:val="single" w:color="000000" w:sz="10" w:space="0"/>
            </w:tcBorders>
            <w:vAlign w:val="top"/>
          </w:tcPr>
          <w:p w14:paraId="2209A5D9">
            <w:pPr>
              <w:keepNext w:val="0"/>
              <w:keepLines w:val="0"/>
              <w:pageBreakBefore w:val="0"/>
              <w:kinsoku w:val="0"/>
              <w:wordWrap/>
              <w:overflowPunct/>
              <w:topLinePunct w:val="0"/>
              <w:autoSpaceDE w:val="0"/>
              <w:autoSpaceDN w:val="0"/>
              <w:bidi w:val="0"/>
              <w:adjustRightInd w:val="0"/>
              <w:snapToGrid w:val="0"/>
              <w:spacing w:before="79" w:line="300" w:lineRule="exact"/>
              <w:ind w:left="102"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汽车加油加气加氢站内的工艺设备不宜布置在封</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闭的房间或箱体内；工艺设备需要布置在封闭的</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房间或箱体内时，房间或箱体内应设置可燃气体</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检测报警器和强制通风设备，并应符合本标准第</w:t>
            </w:r>
            <w:r>
              <w:rPr>
                <w:rFonts w:ascii="宋体" w:hAnsi="宋体" w:eastAsia="宋体" w:cs="宋体"/>
                <w:snapToGrid w:val="0"/>
                <w:color w:val="000000"/>
                <w:spacing w:val="14"/>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14.</w:t>
            </w:r>
            <w:r>
              <w:rPr>
                <w:rFonts w:ascii="Times New Roman" w:hAnsi="Times New Roman" w:eastAsia="Times New Roman" w:cs="Times New Roman"/>
                <w:snapToGrid w:val="0"/>
                <w:color w:val="000000"/>
                <w:spacing w:val="-19"/>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1.4</w:t>
            </w:r>
            <w:r>
              <w:rPr>
                <w:rFonts w:ascii="宋体" w:hAnsi="宋体" w:eastAsia="宋体" w:cs="宋体"/>
                <w:snapToGrid w:val="0"/>
                <w:color w:val="000000"/>
                <w:spacing w:val="-3"/>
                <w:kern w:val="0"/>
                <w:sz w:val="18"/>
                <w:szCs w:val="18"/>
                <w:lang w:val="en-US" w:eastAsia="en-US" w:bidi="ar-SA"/>
              </w:rPr>
              <w:t>条的规定。</w:t>
            </w:r>
          </w:p>
        </w:tc>
        <w:tc>
          <w:tcPr>
            <w:tcW w:w="2273" w:type="dxa"/>
            <w:tcBorders>
              <w:top w:val="single" w:color="000000" w:sz="10" w:space="0"/>
            </w:tcBorders>
            <w:vAlign w:val="top"/>
          </w:tcPr>
          <w:p w14:paraId="22CEC61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3FFE29F">
            <w:pPr>
              <w:keepNext w:val="0"/>
              <w:keepLines w:val="0"/>
              <w:pageBreakBefore w:val="0"/>
              <w:kinsoku w:val="0"/>
              <w:wordWrap/>
              <w:overflowPunct/>
              <w:topLinePunct w:val="0"/>
              <w:autoSpaceDE w:val="0"/>
              <w:autoSpaceDN w:val="0"/>
              <w:bidi w:val="0"/>
              <w:adjustRightInd w:val="0"/>
              <w:snapToGrid w:val="0"/>
              <w:spacing w:before="5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0781F144">
            <w:pPr>
              <w:keepNext w:val="0"/>
              <w:keepLines w:val="0"/>
              <w:pageBreakBefore w:val="0"/>
              <w:widowControl/>
              <w:kinsoku w:val="0"/>
              <w:wordWrap/>
              <w:overflowPunct/>
              <w:topLinePunct w:val="0"/>
              <w:autoSpaceDE w:val="0"/>
              <w:autoSpaceDN w:val="0"/>
              <w:bidi w:val="0"/>
              <w:adjustRightInd w:val="0"/>
              <w:snapToGrid w:val="0"/>
              <w:spacing w:before="55"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14.2.7</w:t>
            </w:r>
          </w:p>
        </w:tc>
        <w:tc>
          <w:tcPr>
            <w:tcW w:w="1690" w:type="dxa"/>
            <w:tcBorders>
              <w:top w:val="single" w:color="000000" w:sz="10" w:space="0"/>
            </w:tcBorders>
            <w:vAlign w:val="top"/>
          </w:tcPr>
          <w:p w14:paraId="510AC86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0BFE7DC">
            <w:pPr>
              <w:keepNext w:val="0"/>
              <w:keepLines w:val="0"/>
              <w:pageBreakBefore w:val="0"/>
              <w:kinsoku w:val="0"/>
              <w:wordWrap/>
              <w:overflowPunct/>
              <w:topLinePunct w:val="0"/>
              <w:autoSpaceDE w:val="0"/>
              <w:autoSpaceDN w:val="0"/>
              <w:bidi w:val="0"/>
              <w:adjustRightInd w:val="0"/>
              <w:snapToGrid w:val="0"/>
              <w:spacing w:before="58" w:line="300" w:lineRule="exact"/>
              <w:ind w:left="116" w:right="95"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 xml:space="preserve">该站工艺设备未布 </w:t>
            </w:r>
            <w:r>
              <w:rPr>
                <w:rFonts w:ascii="宋体" w:hAnsi="宋体" w:eastAsia="宋体" w:cs="宋体"/>
                <w:snapToGrid w:val="0"/>
                <w:color w:val="000000"/>
                <w:spacing w:val="4"/>
                <w:kern w:val="0"/>
                <w:sz w:val="18"/>
                <w:szCs w:val="18"/>
                <w:lang w:val="en-US" w:eastAsia="en-US" w:bidi="ar-SA"/>
              </w:rPr>
              <w:t>置在封闭的房间或</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箱体内。</w:t>
            </w:r>
          </w:p>
        </w:tc>
        <w:tc>
          <w:tcPr>
            <w:tcW w:w="749" w:type="dxa"/>
            <w:tcBorders>
              <w:top w:val="single" w:color="000000" w:sz="10" w:space="0"/>
              <w:right w:val="single" w:color="000000" w:sz="10" w:space="0"/>
            </w:tcBorders>
            <w:vAlign w:val="top"/>
          </w:tcPr>
          <w:p w14:paraId="6723B6D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4A86DC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480DD83">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705D8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7CBD2CA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5053C5A">
            <w:pPr>
              <w:keepNext w:val="0"/>
              <w:keepLines w:val="0"/>
              <w:pageBreakBefore w:val="0"/>
              <w:widowControl/>
              <w:kinsoku w:val="0"/>
              <w:wordWrap/>
              <w:overflowPunct/>
              <w:topLinePunct w:val="0"/>
              <w:autoSpaceDE w:val="0"/>
              <w:autoSpaceDN w:val="0"/>
              <w:bidi w:val="0"/>
              <w:adjustRightInd w:val="0"/>
              <w:snapToGrid w:val="0"/>
              <w:spacing w:before="51"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25.</w:t>
            </w:r>
          </w:p>
        </w:tc>
        <w:tc>
          <w:tcPr>
            <w:tcW w:w="4049" w:type="dxa"/>
            <w:vAlign w:val="top"/>
          </w:tcPr>
          <w:p w14:paraId="4719C646">
            <w:pPr>
              <w:keepNext w:val="0"/>
              <w:keepLines w:val="0"/>
              <w:pageBreakBefore w:val="0"/>
              <w:kinsoku w:val="0"/>
              <w:wordWrap/>
              <w:overflowPunct/>
              <w:topLinePunct w:val="0"/>
              <w:autoSpaceDE w:val="0"/>
              <w:autoSpaceDN w:val="0"/>
              <w:bidi w:val="0"/>
              <w:adjustRightInd w:val="0"/>
              <w:snapToGrid w:val="0"/>
              <w:spacing w:before="202" w:line="300" w:lineRule="exact"/>
              <w:ind w:left="102"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站房可由办公室、值班室、营业室、控制室、变</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配电间、卫生间和便利店等组成，站房内可设非</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明火餐厨设备。</w:t>
            </w:r>
          </w:p>
        </w:tc>
        <w:tc>
          <w:tcPr>
            <w:tcW w:w="2273" w:type="dxa"/>
            <w:vAlign w:val="top"/>
          </w:tcPr>
          <w:p w14:paraId="7BEC7604">
            <w:pPr>
              <w:keepNext w:val="0"/>
              <w:keepLines w:val="0"/>
              <w:pageBreakBefore w:val="0"/>
              <w:kinsoku w:val="0"/>
              <w:wordWrap/>
              <w:overflowPunct/>
              <w:topLinePunct w:val="0"/>
              <w:autoSpaceDE w:val="0"/>
              <w:autoSpaceDN w:val="0"/>
              <w:bidi w:val="0"/>
              <w:adjustRightInd w:val="0"/>
              <w:snapToGrid w:val="0"/>
              <w:spacing w:before="203"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447F531F">
            <w:pPr>
              <w:keepNext w:val="0"/>
              <w:keepLines w:val="0"/>
              <w:pageBreakBefore w:val="0"/>
              <w:widowControl/>
              <w:kinsoku w:val="0"/>
              <w:wordWrap/>
              <w:overflowPunct/>
              <w:topLinePunct w:val="0"/>
              <w:autoSpaceDE w:val="0"/>
              <w:autoSpaceDN w:val="0"/>
              <w:bidi w:val="0"/>
              <w:adjustRightInd w:val="0"/>
              <w:snapToGrid w:val="0"/>
              <w:spacing w:before="57"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14.2.9</w:t>
            </w:r>
          </w:p>
        </w:tc>
        <w:tc>
          <w:tcPr>
            <w:tcW w:w="1690" w:type="dxa"/>
            <w:vAlign w:val="top"/>
          </w:tcPr>
          <w:p w14:paraId="0B384213">
            <w:pPr>
              <w:keepNext w:val="0"/>
              <w:keepLines w:val="0"/>
              <w:pageBreakBefore w:val="0"/>
              <w:kinsoku w:val="0"/>
              <w:wordWrap/>
              <w:overflowPunct/>
              <w:topLinePunct w:val="0"/>
              <w:autoSpaceDE w:val="0"/>
              <w:autoSpaceDN w:val="0"/>
              <w:bidi w:val="0"/>
              <w:adjustRightInd w:val="0"/>
              <w:snapToGrid w:val="0"/>
              <w:spacing w:before="70" w:line="300" w:lineRule="exact"/>
              <w:ind w:left="119" w:right="9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站房设有营业室、</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办公室、值班室、</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卫生间等，厨房设</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备为用电设备。</w:t>
            </w:r>
          </w:p>
        </w:tc>
        <w:tc>
          <w:tcPr>
            <w:tcW w:w="749" w:type="dxa"/>
            <w:tcBorders>
              <w:right w:val="single" w:color="000000" w:sz="10" w:space="0"/>
            </w:tcBorders>
            <w:vAlign w:val="top"/>
          </w:tcPr>
          <w:p w14:paraId="17A0E4D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347A171">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76B72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506054D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67728C2">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26.</w:t>
            </w:r>
          </w:p>
        </w:tc>
        <w:tc>
          <w:tcPr>
            <w:tcW w:w="4049" w:type="dxa"/>
            <w:vAlign w:val="top"/>
          </w:tcPr>
          <w:p w14:paraId="4F67DFAB">
            <w:pPr>
              <w:keepNext w:val="0"/>
              <w:keepLines w:val="0"/>
              <w:pageBreakBefore w:val="0"/>
              <w:kinsoku w:val="0"/>
              <w:wordWrap/>
              <w:overflowPunct/>
              <w:topLinePunct w:val="0"/>
              <w:autoSpaceDE w:val="0"/>
              <w:autoSpaceDN w:val="0"/>
              <w:bidi w:val="0"/>
              <w:adjustRightInd w:val="0"/>
              <w:snapToGrid w:val="0"/>
              <w:spacing w:before="215" w:line="300" w:lineRule="exact"/>
              <w:ind w:left="98" w:right="45" w:firstLine="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辅助服务区内建筑物的面积不应超过本规范附录</w:t>
            </w:r>
            <w:r>
              <w:rPr>
                <w:rFonts w:ascii="宋体" w:hAnsi="宋体" w:eastAsia="宋体" w:cs="宋体"/>
                <w:snapToGrid w:val="0"/>
                <w:color w:val="000000"/>
                <w:spacing w:val="13"/>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B</w:t>
            </w:r>
            <w:r>
              <w:rPr>
                <w:rFonts w:ascii="宋体" w:hAnsi="宋体" w:eastAsia="宋体" w:cs="宋体"/>
                <w:snapToGrid w:val="0"/>
                <w:color w:val="000000"/>
                <w:spacing w:val="-3"/>
                <w:kern w:val="0"/>
                <w:sz w:val="18"/>
                <w:szCs w:val="18"/>
                <w:lang w:val="en-US" w:eastAsia="en-US" w:bidi="ar-SA"/>
              </w:rPr>
              <w:t>中三类保护物标准，其消防设计应符合现行国家</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标准《建筑设计防火规范》</w:t>
            </w:r>
            <w:r>
              <w:rPr>
                <w:rFonts w:ascii="Times New Roman" w:hAnsi="Times New Roman" w:eastAsia="Times New Roman" w:cs="Times New Roman"/>
                <w:snapToGrid w:val="0"/>
                <w:color w:val="000000"/>
                <w:spacing w:val="-4"/>
                <w:kern w:val="0"/>
                <w:sz w:val="18"/>
                <w:szCs w:val="18"/>
                <w:lang w:val="en-US" w:eastAsia="en-US" w:bidi="ar-SA"/>
              </w:rPr>
              <w:t>GB</w:t>
            </w:r>
            <w:r>
              <w:rPr>
                <w:rFonts w:ascii="Times New Roman" w:hAnsi="Times New Roman" w:eastAsia="Times New Roman" w:cs="Times New Roman"/>
                <w:snapToGrid w:val="0"/>
                <w:color w:val="000000"/>
                <w:spacing w:val="14"/>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50016</w:t>
            </w:r>
            <w:r>
              <w:rPr>
                <w:rFonts w:ascii="宋体" w:hAnsi="宋体" w:eastAsia="宋体" w:cs="宋体"/>
                <w:snapToGrid w:val="0"/>
                <w:color w:val="000000"/>
                <w:spacing w:val="-4"/>
                <w:kern w:val="0"/>
                <w:sz w:val="18"/>
                <w:szCs w:val="18"/>
                <w:lang w:val="en-US" w:eastAsia="en-US" w:bidi="ar-SA"/>
              </w:rPr>
              <w:t>的有关规定。</w:t>
            </w:r>
          </w:p>
        </w:tc>
        <w:tc>
          <w:tcPr>
            <w:tcW w:w="2273" w:type="dxa"/>
            <w:vAlign w:val="top"/>
          </w:tcPr>
          <w:p w14:paraId="7D9D0301">
            <w:pPr>
              <w:keepNext w:val="0"/>
              <w:keepLines w:val="0"/>
              <w:pageBreakBefore w:val="0"/>
              <w:kinsoku w:val="0"/>
              <w:wordWrap/>
              <w:overflowPunct/>
              <w:topLinePunct w:val="0"/>
              <w:autoSpaceDE w:val="0"/>
              <w:autoSpaceDN w:val="0"/>
              <w:bidi w:val="0"/>
              <w:adjustRightInd w:val="0"/>
              <w:snapToGrid w:val="0"/>
              <w:spacing w:before="216"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72816591">
            <w:pPr>
              <w:keepNext w:val="0"/>
              <w:keepLines w:val="0"/>
              <w:pageBreakBefore w:val="0"/>
              <w:widowControl/>
              <w:kinsoku w:val="0"/>
              <w:wordWrap/>
              <w:overflowPunct/>
              <w:topLinePunct w:val="0"/>
              <w:autoSpaceDE w:val="0"/>
              <w:autoSpaceDN w:val="0"/>
              <w:bidi w:val="0"/>
              <w:adjustRightInd w:val="0"/>
              <w:snapToGrid w:val="0"/>
              <w:spacing w:before="57" w:line="300" w:lineRule="exact"/>
              <w:ind w:left="88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14.2.11</w:t>
            </w:r>
          </w:p>
        </w:tc>
        <w:tc>
          <w:tcPr>
            <w:tcW w:w="1690" w:type="dxa"/>
            <w:vAlign w:val="top"/>
          </w:tcPr>
          <w:p w14:paraId="20E731E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88251AC">
            <w:pPr>
              <w:keepNext w:val="0"/>
              <w:keepLines w:val="0"/>
              <w:pageBreakBefore w:val="0"/>
              <w:kinsoku w:val="0"/>
              <w:wordWrap/>
              <w:overflowPunct/>
              <w:topLinePunct w:val="0"/>
              <w:autoSpaceDE w:val="0"/>
              <w:autoSpaceDN w:val="0"/>
              <w:bidi w:val="0"/>
              <w:adjustRightInd w:val="0"/>
              <w:snapToGrid w:val="0"/>
              <w:spacing w:before="58" w:line="300" w:lineRule="exact"/>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c>
          <w:tcPr>
            <w:tcW w:w="749" w:type="dxa"/>
            <w:tcBorders>
              <w:right w:val="single" w:color="000000" w:sz="10" w:space="0"/>
            </w:tcBorders>
            <w:vAlign w:val="top"/>
          </w:tcPr>
          <w:p w14:paraId="768CE01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E2FA62D">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64978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643DFF3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61FF02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1D795B6">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27.</w:t>
            </w:r>
          </w:p>
        </w:tc>
        <w:tc>
          <w:tcPr>
            <w:tcW w:w="4049" w:type="dxa"/>
            <w:vAlign w:val="top"/>
          </w:tcPr>
          <w:p w14:paraId="49B2F558">
            <w:pPr>
              <w:keepNext w:val="0"/>
              <w:keepLines w:val="0"/>
              <w:pageBreakBefore w:val="0"/>
              <w:kinsoku w:val="0"/>
              <w:wordWrap/>
              <w:overflowPunct/>
              <w:topLinePunct w:val="0"/>
              <w:autoSpaceDE w:val="0"/>
              <w:autoSpaceDN w:val="0"/>
              <w:bidi w:val="0"/>
              <w:adjustRightInd w:val="0"/>
              <w:snapToGrid w:val="0"/>
              <w:spacing w:before="201" w:line="300" w:lineRule="exact"/>
              <w:ind w:left="102" w:right="4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站房可与设置在辅助服务区内的餐厅、汽车服务、</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锅炉房、厨房、员工宿舍、司机休息室等设施合</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建，但站房与餐厅、汽车服务、锅炉房、厨房、</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员工宿舍、司机休息室等设施之间，应设置无门</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窗洞口且耐火极限不低于</w:t>
            </w:r>
            <w:r>
              <w:rPr>
                <w:rFonts w:ascii="Times New Roman" w:hAnsi="Times New Roman" w:eastAsia="Times New Roman" w:cs="Times New Roman"/>
                <w:snapToGrid w:val="0"/>
                <w:color w:val="000000"/>
                <w:spacing w:val="-1"/>
                <w:kern w:val="0"/>
                <w:sz w:val="18"/>
                <w:szCs w:val="18"/>
                <w:lang w:val="en-US" w:eastAsia="en-US" w:bidi="ar-SA"/>
              </w:rPr>
              <w:t>3h</w:t>
            </w:r>
            <w:r>
              <w:rPr>
                <w:rFonts w:ascii="宋体" w:hAnsi="宋体" w:eastAsia="宋体" w:cs="宋体"/>
                <w:snapToGrid w:val="0"/>
                <w:color w:val="000000"/>
                <w:spacing w:val="-1"/>
                <w:kern w:val="0"/>
                <w:sz w:val="18"/>
                <w:szCs w:val="18"/>
                <w:lang w:val="en-US" w:eastAsia="en-US" w:bidi="ar-SA"/>
              </w:rPr>
              <w:t>的实体墙。</w:t>
            </w:r>
          </w:p>
        </w:tc>
        <w:tc>
          <w:tcPr>
            <w:tcW w:w="2273" w:type="dxa"/>
            <w:vAlign w:val="top"/>
          </w:tcPr>
          <w:p w14:paraId="5E5860F7">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15AE3BB">
            <w:pPr>
              <w:keepNext w:val="0"/>
              <w:keepLines w:val="0"/>
              <w:pageBreakBefore w:val="0"/>
              <w:kinsoku w:val="0"/>
              <w:wordWrap/>
              <w:overflowPunct/>
              <w:topLinePunct w:val="0"/>
              <w:autoSpaceDE w:val="0"/>
              <w:autoSpaceDN w:val="0"/>
              <w:bidi w:val="0"/>
              <w:adjustRightInd w:val="0"/>
              <w:snapToGrid w:val="0"/>
              <w:spacing w:before="58"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0B9339BA">
            <w:pPr>
              <w:keepNext w:val="0"/>
              <w:keepLines w:val="0"/>
              <w:pageBreakBefore w:val="0"/>
              <w:widowControl/>
              <w:kinsoku w:val="0"/>
              <w:wordWrap/>
              <w:overflowPunct/>
              <w:topLinePunct w:val="0"/>
              <w:autoSpaceDE w:val="0"/>
              <w:autoSpaceDN w:val="0"/>
              <w:bidi w:val="0"/>
              <w:adjustRightInd w:val="0"/>
              <w:snapToGrid w:val="0"/>
              <w:spacing w:before="57" w:line="300" w:lineRule="exact"/>
              <w:ind w:left="88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14.2.12</w:t>
            </w:r>
          </w:p>
        </w:tc>
        <w:tc>
          <w:tcPr>
            <w:tcW w:w="1690" w:type="dxa"/>
            <w:vAlign w:val="top"/>
          </w:tcPr>
          <w:p w14:paraId="6580652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AE9C4A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D03E6C2">
            <w:pPr>
              <w:keepNext w:val="0"/>
              <w:keepLines w:val="0"/>
              <w:pageBreakBefore w:val="0"/>
              <w:kinsoku w:val="0"/>
              <w:wordWrap/>
              <w:overflowPunct/>
              <w:topLinePunct w:val="0"/>
              <w:autoSpaceDE w:val="0"/>
              <w:autoSpaceDN w:val="0"/>
              <w:bidi w:val="0"/>
              <w:adjustRightInd w:val="0"/>
              <w:snapToGrid w:val="0"/>
              <w:spacing w:before="59" w:line="300" w:lineRule="exact"/>
              <w:ind w:left="117" w:right="95"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站内无辅助服务设</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施。</w:t>
            </w:r>
          </w:p>
        </w:tc>
        <w:tc>
          <w:tcPr>
            <w:tcW w:w="749" w:type="dxa"/>
            <w:tcBorders>
              <w:right w:val="single" w:color="000000" w:sz="10" w:space="0"/>
            </w:tcBorders>
            <w:vAlign w:val="top"/>
          </w:tcPr>
          <w:p w14:paraId="218F4905">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21C05B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8C3CD40">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7D730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6ABDA2E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7908C75">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28.</w:t>
            </w:r>
          </w:p>
        </w:tc>
        <w:tc>
          <w:tcPr>
            <w:tcW w:w="4049" w:type="dxa"/>
            <w:vAlign w:val="top"/>
          </w:tcPr>
          <w:p w14:paraId="0B4AF7EF">
            <w:pPr>
              <w:keepNext w:val="0"/>
              <w:keepLines w:val="0"/>
              <w:pageBreakBefore w:val="0"/>
              <w:kinsoku w:val="0"/>
              <w:wordWrap/>
              <w:overflowPunct/>
              <w:topLinePunct w:val="0"/>
              <w:autoSpaceDE w:val="0"/>
              <w:autoSpaceDN w:val="0"/>
              <w:bidi w:val="0"/>
              <w:adjustRightInd w:val="0"/>
              <w:snapToGrid w:val="0"/>
              <w:spacing w:before="78" w:line="300" w:lineRule="exact"/>
              <w:ind w:left="98" w:right="104" w:firstLine="1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当加油站内的锅炉房、厨房等有明火设备的房间</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与工艺设备之间的距离符合规定但小于或等于</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25m</w:t>
            </w:r>
            <w:r>
              <w:rPr>
                <w:rFonts w:ascii="宋体" w:hAnsi="宋体" w:eastAsia="宋体" w:cs="宋体"/>
                <w:snapToGrid w:val="0"/>
                <w:color w:val="000000"/>
                <w:spacing w:val="-4"/>
                <w:kern w:val="0"/>
                <w:sz w:val="18"/>
                <w:szCs w:val="18"/>
                <w:lang w:val="en-US" w:eastAsia="en-US" w:bidi="ar-SA"/>
              </w:rPr>
              <w:t>时，其朝向加油作业区的外墙应为无门窗洞口</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且耐火极限不低于</w:t>
            </w:r>
            <w:r>
              <w:rPr>
                <w:rFonts w:ascii="Times New Roman" w:hAnsi="Times New Roman" w:eastAsia="Times New Roman" w:cs="Times New Roman"/>
                <w:snapToGrid w:val="0"/>
                <w:color w:val="000000"/>
                <w:spacing w:val="-1"/>
                <w:kern w:val="0"/>
                <w:sz w:val="18"/>
                <w:szCs w:val="18"/>
                <w:lang w:val="en-US" w:eastAsia="en-US" w:bidi="ar-SA"/>
              </w:rPr>
              <w:t>3h</w:t>
            </w:r>
            <w:r>
              <w:rPr>
                <w:rFonts w:ascii="宋体" w:hAnsi="宋体" w:eastAsia="宋体" w:cs="宋体"/>
                <w:snapToGrid w:val="0"/>
                <w:color w:val="000000"/>
                <w:spacing w:val="-1"/>
                <w:kern w:val="0"/>
                <w:sz w:val="18"/>
                <w:szCs w:val="18"/>
                <w:lang w:val="en-US" w:eastAsia="en-US" w:bidi="ar-SA"/>
              </w:rPr>
              <w:t>的实体墙。</w:t>
            </w:r>
          </w:p>
        </w:tc>
        <w:tc>
          <w:tcPr>
            <w:tcW w:w="2273" w:type="dxa"/>
            <w:vAlign w:val="top"/>
          </w:tcPr>
          <w:p w14:paraId="5E3825B2">
            <w:pPr>
              <w:keepNext w:val="0"/>
              <w:keepLines w:val="0"/>
              <w:pageBreakBefore w:val="0"/>
              <w:kinsoku w:val="0"/>
              <w:wordWrap/>
              <w:overflowPunct/>
              <w:topLinePunct w:val="0"/>
              <w:autoSpaceDE w:val="0"/>
              <w:autoSpaceDN w:val="0"/>
              <w:bidi w:val="0"/>
              <w:adjustRightInd w:val="0"/>
              <w:snapToGrid w:val="0"/>
              <w:spacing w:before="207"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1A895CC3">
            <w:pPr>
              <w:keepNext w:val="0"/>
              <w:keepLines w:val="0"/>
              <w:pageBreakBefore w:val="0"/>
              <w:widowControl/>
              <w:kinsoku w:val="0"/>
              <w:wordWrap/>
              <w:overflowPunct/>
              <w:topLinePunct w:val="0"/>
              <w:autoSpaceDE w:val="0"/>
              <w:autoSpaceDN w:val="0"/>
              <w:bidi w:val="0"/>
              <w:adjustRightInd w:val="0"/>
              <w:snapToGrid w:val="0"/>
              <w:spacing w:before="52" w:line="300" w:lineRule="exact"/>
              <w:ind w:left="88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14.2.14</w:t>
            </w:r>
          </w:p>
        </w:tc>
        <w:tc>
          <w:tcPr>
            <w:tcW w:w="1690" w:type="dxa"/>
            <w:vAlign w:val="top"/>
          </w:tcPr>
          <w:p w14:paraId="76D4534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6F0AA42">
            <w:pPr>
              <w:keepNext w:val="0"/>
              <w:keepLines w:val="0"/>
              <w:pageBreakBefore w:val="0"/>
              <w:kinsoku w:val="0"/>
              <w:wordWrap/>
              <w:overflowPunct/>
              <w:topLinePunct w:val="0"/>
              <w:autoSpaceDE w:val="0"/>
              <w:autoSpaceDN w:val="0"/>
              <w:bidi w:val="0"/>
              <w:adjustRightInd w:val="0"/>
              <w:snapToGrid w:val="0"/>
              <w:spacing w:before="58" w:line="300" w:lineRule="exact"/>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站内无明火设备。</w:t>
            </w:r>
          </w:p>
        </w:tc>
        <w:tc>
          <w:tcPr>
            <w:tcW w:w="749" w:type="dxa"/>
            <w:tcBorders>
              <w:right w:val="single" w:color="000000" w:sz="10" w:space="0"/>
            </w:tcBorders>
            <w:vAlign w:val="top"/>
          </w:tcPr>
          <w:p w14:paraId="5B1468A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BE37BCB">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793742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7FAAA966">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17C92BF">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5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29.</w:t>
            </w:r>
          </w:p>
        </w:tc>
        <w:tc>
          <w:tcPr>
            <w:tcW w:w="4049" w:type="dxa"/>
            <w:vAlign w:val="top"/>
          </w:tcPr>
          <w:p w14:paraId="6641879C">
            <w:pPr>
              <w:keepNext w:val="0"/>
              <w:keepLines w:val="0"/>
              <w:pageBreakBefore w:val="0"/>
              <w:kinsoku w:val="0"/>
              <w:wordWrap/>
              <w:overflowPunct/>
              <w:topLinePunct w:val="0"/>
              <w:autoSpaceDE w:val="0"/>
              <w:autoSpaceDN w:val="0"/>
              <w:bidi w:val="0"/>
              <w:adjustRightInd w:val="0"/>
              <w:snapToGrid w:val="0"/>
              <w:spacing w:before="130" w:line="300" w:lineRule="exact"/>
              <w:ind w:left="102" w:right="10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加油站、</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spacing w:val="3"/>
                <w:kern w:val="0"/>
                <w:sz w:val="18"/>
                <w:szCs w:val="18"/>
                <w:lang w:val="en-US" w:eastAsia="en-US" w:bidi="ar-SA"/>
              </w:rPr>
              <w:t>加气站、</w:t>
            </w:r>
            <w:r>
              <w:rPr>
                <w:rFonts w:ascii="Times New Roman" w:hAnsi="Times New Roman" w:eastAsia="Times New Roman" w:cs="Times New Roman"/>
                <w:snapToGrid w:val="0"/>
                <w:color w:val="000000"/>
                <w:kern w:val="0"/>
                <w:sz w:val="18"/>
                <w:szCs w:val="18"/>
                <w:lang w:val="en-US" w:eastAsia="en-US" w:bidi="ar-SA"/>
              </w:rPr>
              <w:t>LNG</w:t>
            </w:r>
            <w:r>
              <w:rPr>
                <w:rFonts w:ascii="宋体" w:hAnsi="宋体" w:eastAsia="宋体" w:cs="宋体"/>
                <w:snapToGrid w:val="0"/>
                <w:color w:val="000000"/>
                <w:spacing w:val="3"/>
                <w:kern w:val="0"/>
                <w:sz w:val="18"/>
                <w:szCs w:val="18"/>
                <w:lang w:val="en-US" w:eastAsia="en-US" w:bidi="ar-SA"/>
              </w:rPr>
              <w:t>加气站和</w:t>
            </w:r>
            <w:r>
              <w:rPr>
                <w:rFonts w:ascii="Times New Roman" w:hAnsi="Times New Roman" w:eastAsia="Times New Roman" w:cs="Times New Roman"/>
                <w:snapToGrid w:val="0"/>
                <w:color w:val="000000"/>
                <w:spacing w:val="3"/>
                <w:kern w:val="0"/>
                <w:sz w:val="18"/>
                <w:szCs w:val="18"/>
                <w:lang w:val="en-US" w:eastAsia="en-US" w:bidi="ar-SA"/>
              </w:rPr>
              <w:t>L-</w:t>
            </w:r>
            <w:r>
              <w:rPr>
                <w:rFonts w:ascii="Times New Roman" w:hAnsi="Times New Roman" w:eastAsia="Times New Roman" w:cs="Times New Roman"/>
                <w:snapToGrid w:val="0"/>
                <w:color w:val="000000"/>
                <w:kern w:val="0"/>
                <w:sz w:val="18"/>
                <w:szCs w:val="18"/>
                <w:lang w:val="en-US" w:eastAsia="en-US" w:bidi="ar-SA"/>
              </w:rPr>
              <w:t>CNG</w:t>
            </w:r>
            <w:r>
              <w:rPr>
                <w:rFonts w:ascii="宋体" w:hAnsi="宋体" w:eastAsia="宋体" w:cs="宋体"/>
                <w:snapToGrid w:val="0"/>
                <w:color w:val="000000"/>
                <w:spacing w:val="3"/>
                <w:kern w:val="0"/>
                <w:sz w:val="18"/>
                <w:szCs w:val="18"/>
                <w:lang w:val="en-US" w:eastAsia="en-US" w:bidi="ar-SA"/>
              </w:rPr>
              <w:t>加气</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站内不应建地下和半地下室，消防水池应具有通</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风条件。</w:t>
            </w:r>
          </w:p>
        </w:tc>
        <w:tc>
          <w:tcPr>
            <w:tcW w:w="2273" w:type="dxa"/>
            <w:vAlign w:val="top"/>
          </w:tcPr>
          <w:p w14:paraId="45231062">
            <w:pPr>
              <w:keepNext w:val="0"/>
              <w:keepLines w:val="0"/>
              <w:pageBreakBefore w:val="0"/>
              <w:kinsoku w:val="0"/>
              <w:wordWrap/>
              <w:overflowPunct/>
              <w:topLinePunct w:val="0"/>
              <w:autoSpaceDE w:val="0"/>
              <w:autoSpaceDN w:val="0"/>
              <w:bidi w:val="0"/>
              <w:adjustRightInd w:val="0"/>
              <w:snapToGrid w:val="0"/>
              <w:spacing w:before="129"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108448B9">
            <w:pPr>
              <w:keepNext w:val="0"/>
              <w:keepLines w:val="0"/>
              <w:pageBreakBefore w:val="0"/>
              <w:widowControl/>
              <w:kinsoku w:val="0"/>
              <w:wordWrap/>
              <w:overflowPunct/>
              <w:topLinePunct w:val="0"/>
              <w:autoSpaceDE w:val="0"/>
              <w:autoSpaceDN w:val="0"/>
              <w:bidi w:val="0"/>
              <w:adjustRightInd w:val="0"/>
              <w:snapToGrid w:val="0"/>
              <w:spacing w:before="55" w:line="300" w:lineRule="exact"/>
              <w:ind w:left="88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14.2.15</w:t>
            </w:r>
          </w:p>
        </w:tc>
        <w:tc>
          <w:tcPr>
            <w:tcW w:w="1690" w:type="dxa"/>
            <w:vAlign w:val="top"/>
          </w:tcPr>
          <w:p w14:paraId="45B63872">
            <w:pPr>
              <w:keepNext w:val="0"/>
              <w:keepLines w:val="0"/>
              <w:pageBreakBefore w:val="0"/>
              <w:kinsoku w:val="0"/>
              <w:wordWrap/>
              <w:overflowPunct/>
              <w:topLinePunct w:val="0"/>
              <w:autoSpaceDE w:val="0"/>
              <w:autoSpaceDN w:val="0"/>
              <w:bidi w:val="0"/>
              <w:adjustRightInd w:val="0"/>
              <w:snapToGrid w:val="0"/>
              <w:spacing w:before="262" w:line="300" w:lineRule="exact"/>
              <w:ind w:left="118" w:right="9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站内未建地下和半</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地下室。</w:t>
            </w:r>
          </w:p>
        </w:tc>
        <w:tc>
          <w:tcPr>
            <w:tcW w:w="749" w:type="dxa"/>
            <w:tcBorders>
              <w:right w:val="single" w:color="000000" w:sz="10" w:space="0"/>
            </w:tcBorders>
            <w:vAlign w:val="top"/>
          </w:tcPr>
          <w:p w14:paraId="3ADC797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B97BDE6">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E29B2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52F2DF8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F13CE15">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30.</w:t>
            </w:r>
          </w:p>
        </w:tc>
        <w:tc>
          <w:tcPr>
            <w:tcW w:w="4049" w:type="dxa"/>
            <w:vAlign w:val="top"/>
          </w:tcPr>
          <w:p w14:paraId="5DCA2BE1">
            <w:pPr>
              <w:keepNext w:val="0"/>
              <w:keepLines w:val="0"/>
              <w:pageBreakBefore w:val="0"/>
              <w:kinsoku w:val="0"/>
              <w:wordWrap/>
              <w:overflowPunct/>
              <w:topLinePunct w:val="0"/>
              <w:autoSpaceDE w:val="0"/>
              <w:autoSpaceDN w:val="0"/>
              <w:bidi w:val="0"/>
              <w:adjustRightInd w:val="0"/>
              <w:snapToGrid w:val="0"/>
              <w:spacing w:before="203" w:line="300" w:lineRule="exact"/>
              <w:ind w:left="116" w:right="104" w:hanging="1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埋地油罐和埋地</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spacing w:val="3"/>
                <w:kern w:val="0"/>
                <w:sz w:val="18"/>
                <w:szCs w:val="18"/>
                <w:lang w:val="en-US" w:eastAsia="en-US" w:bidi="ar-SA"/>
              </w:rPr>
              <w:t>储罐的操作井、位于作业区</w:t>
            </w:r>
            <w:r>
              <w:rPr>
                <w:rFonts w:ascii="宋体" w:hAnsi="宋体" w:eastAsia="宋体" w:cs="宋体"/>
                <w:snapToGrid w:val="0"/>
                <w:color w:val="000000"/>
                <w:spacing w:val="16"/>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的排水井应采取防渗漏措施，位于爆炸危险区域</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内的操作井和排水井应有防止产生火花的措</w:t>
            </w:r>
            <w:r>
              <w:rPr>
                <w:rFonts w:ascii="宋体" w:hAnsi="宋体" w:eastAsia="宋体" w:cs="宋体"/>
                <w:snapToGrid w:val="0"/>
                <w:color w:val="000000"/>
                <w:spacing w:val="-2"/>
                <w:kern w:val="0"/>
                <w:sz w:val="18"/>
                <w:szCs w:val="18"/>
                <w:lang w:val="en-US" w:eastAsia="en-US" w:bidi="ar-SA"/>
              </w:rPr>
              <w:t>施。</w:t>
            </w:r>
          </w:p>
        </w:tc>
        <w:tc>
          <w:tcPr>
            <w:tcW w:w="2273" w:type="dxa"/>
            <w:vAlign w:val="top"/>
          </w:tcPr>
          <w:p w14:paraId="5CDAA76F">
            <w:pPr>
              <w:keepNext w:val="0"/>
              <w:keepLines w:val="0"/>
              <w:pageBreakBefore w:val="0"/>
              <w:kinsoku w:val="0"/>
              <w:wordWrap/>
              <w:overflowPunct/>
              <w:topLinePunct w:val="0"/>
              <w:autoSpaceDE w:val="0"/>
              <w:autoSpaceDN w:val="0"/>
              <w:bidi w:val="0"/>
              <w:adjustRightInd w:val="0"/>
              <w:snapToGrid w:val="0"/>
              <w:spacing w:before="203"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063CD88E">
            <w:pPr>
              <w:keepNext w:val="0"/>
              <w:keepLines w:val="0"/>
              <w:pageBreakBefore w:val="0"/>
              <w:widowControl/>
              <w:kinsoku w:val="0"/>
              <w:wordWrap/>
              <w:overflowPunct/>
              <w:topLinePunct w:val="0"/>
              <w:autoSpaceDE w:val="0"/>
              <w:autoSpaceDN w:val="0"/>
              <w:bidi w:val="0"/>
              <w:adjustRightInd w:val="0"/>
              <w:snapToGrid w:val="0"/>
              <w:spacing w:before="55" w:line="300" w:lineRule="exact"/>
              <w:ind w:left="88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14.2.16</w:t>
            </w:r>
          </w:p>
        </w:tc>
        <w:tc>
          <w:tcPr>
            <w:tcW w:w="1690" w:type="dxa"/>
            <w:vAlign w:val="top"/>
          </w:tcPr>
          <w:p w14:paraId="719A0736">
            <w:pPr>
              <w:keepNext w:val="0"/>
              <w:keepLines w:val="0"/>
              <w:pageBreakBefore w:val="0"/>
              <w:kinsoku w:val="0"/>
              <w:wordWrap/>
              <w:overflowPunct/>
              <w:topLinePunct w:val="0"/>
              <w:autoSpaceDE w:val="0"/>
              <w:autoSpaceDN w:val="0"/>
              <w:bidi w:val="0"/>
              <w:adjustRightInd w:val="0"/>
              <w:snapToGrid w:val="0"/>
              <w:spacing w:before="203" w:line="300" w:lineRule="exact"/>
              <w:ind w:left="117" w:right="95"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 xml:space="preserve">油罐操作井采取了 </w:t>
            </w:r>
            <w:r>
              <w:rPr>
                <w:rFonts w:ascii="宋体" w:hAnsi="宋体" w:eastAsia="宋体" w:cs="宋体"/>
                <w:snapToGrid w:val="0"/>
                <w:color w:val="000000"/>
                <w:spacing w:val="30"/>
                <w:kern w:val="0"/>
                <w:sz w:val="18"/>
                <w:szCs w:val="18"/>
                <w:lang w:val="en-US" w:eastAsia="en-US" w:bidi="ar-SA"/>
              </w:rPr>
              <w:t>密封等防渗漏措</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施。</w:t>
            </w:r>
          </w:p>
        </w:tc>
        <w:tc>
          <w:tcPr>
            <w:tcW w:w="749" w:type="dxa"/>
            <w:tcBorders>
              <w:right w:val="single" w:color="000000" w:sz="10" w:space="0"/>
            </w:tcBorders>
            <w:vAlign w:val="top"/>
          </w:tcPr>
          <w:p w14:paraId="41E0B18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4A2FC59">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CCC79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2AE6394C">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02A9484">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31.</w:t>
            </w:r>
          </w:p>
        </w:tc>
        <w:tc>
          <w:tcPr>
            <w:tcW w:w="4049" w:type="dxa"/>
            <w:vAlign w:val="top"/>
          </w:tcPr>
          <w:p w14:paraId="08A9F25D">
            <w:pPr>
              <w:keepNext w:val="0"/>
              <w:keepLines w:val="0"/>
              <w:pageBreakBefore w:val="0"/>
              <w:kinsoku w:val="0"/>
              <w:wordWrap/>
              <w:overflowPunct/>
              <w:topLinePunct w:val="0"/>
              <w:autoSpaceDE w:val="0"/>
              <w:autoSpaceDN w:val="0"/>
              <w:bidi w:val="0"/>
              <w:adjustRightInd w:val="0"/>
              <w:snapToGrid w:val="0"/>
              <w:spacing w:before="209" w:line="300" w:lineRule="exact"/>
              <w:ind w:left="102" w:right="10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汽车加油加气加氢站作业区内不得种植油性植</w:t>
            </w:r>
            <w:r>
              <w:rPr>
                <w:rFonts w:ascii="宋体" w:hAnsi="宋体" w:eastAsia="宋体" w:cs="宋体"/>
                <w:snapToGrid w:val="0"/>
                <w:color w:val="000000"/>
                <w:spacing w:val="16"/>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物。</w:t>
            </w:r>
          </w:p>
        </w:tc>
        <w:tc>
          <w:tcPr>
            <w:tcW w:w="2273" w:type="dxa"/>
            <w:vAlign w:val="top"/>
          </w:tcPr>
          <w:p w14:paraId="606AB77B">
            <w:pPr>
              <w:keepNext w:val="0"/>
              <w:keepLines w:val="0"/>
              <w:pageBreakBefore w:val="0"/>
              <w:kinsoku w:val="0"/>
              <w:wordWrap/>
              <w:overflowPunct/>
              <w:topLinePunct w:val="0"/>
              <w:autoSpaceDE w:val="0"/>
              <w:autoSpaceDN w:val="0"/>
              <w:bidi w:val="0"/>
              <w:adjustRightInd w:val="0"/>
              <w:snapToGrid w:val="0"/>
              <w:spacing w:before="80" w:line="300" w:lineRule="exact"/>
              <w:ind w:left="115" w:right="25" w:firstLine="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术标准》（</w:t>
            </w:r>
            <w:r>
              <w:rPr>
                <w:rFonts w:ascii="Times New Roman" w:hAnsi="Times New Roman" w:eastAsia="Times New Roman" w:cs="Times New Roman"/>
                <w:snapToGrid w:val="0"/>
                <w:color w:val="000000"/>
                <w:spacing w:val="-5"/>
                <w:kern w:val="0"/>
                <w:sz w:val="18"/>
                <w:szCs w:val="18"/>
                <w:lang w:val="en-US" w:eastAsia="en-US" w:bidi="ar-SA"/>
              </w:rPr>
              <w:t>GB50156-2021</w:t>
            </w:r>
            <w:r>
              <w:rPr>
                <w:rFonts w:ascii="宋体" w:hAnsi="宋体" w:eastAsia="宋体" w:cs="宋体"/>
                <w:snapToGrid w:val="0"/>
                <w:color w:val="000000"/>
                <w:spacing w:val="-5"/>
                <w:kern w:val="0"/>
                <w:sz w:val="18"/>
                <w:szCs w:val="18"/>
                <w:lang w:val="en-US" w:eastAsia="en-US" w:bidi="ar-SA"/>
              </w:rPr>
              <w:t>）</w:t>
            </w:r>
          </w:p>
          <w:p w14:paraId="4B48550E">
            <w:pPr>
              <w:keepNext w:val="0"/>
              <w:keepLines w:val="0"/>
              <w:pageBreakBefore w:val="0"/>
              <w:widowControl/>
              <w:kinsoku w:val="0"/>
              <w:wordWrap/>
              <w:overflowPunct/>
              <w:topLinePunct w:val="0"/>
              <w:autoSpaceDE w:val="0"/>
              <w:autoSpaceDN w:val="0"/>
              <w:bidi w:val="0"/>
              <w:adjustRightInd w:val="0"/>
              <w:snapToGrid w:val="0"/>
              <w:spacing w:before="52" w:line="300" w:lineRule="exact"/>
              <w:ind w:left="93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14.3.</w:t>
            </w:r>
            <w:r>
              <w:rPr>
                <w:rFonts w:ascii="Times New Roman" w:hAnsi="Times New Roman" w:eastAsia="Times New Roman" w:cs="Times New Roman"/>
                <w:snapToGrid w:val="0"/>
                <w:color w:val="000000"/>
                <w:spacing w:val="-23"/>
                <w:kern w:val="0"/>
                <w:sz w:val="18"/>
                <w:szCs w:val="18"/>
                <w:lang w:eastAsia="en-US"/>
              </w:rPr>
              <w:t xml:space="preserve"> </w:t>
            </w:r>
            <w:r>
              <w:rPr>
                <w:rFonts w:ascii="Times New Roman" w:hAnsi="Times New Roman" w:eastAsia="Times New Roman" w:cs="Times New Roman"/>
                <w:snapToGrid w:val="0"/>
                <w:color w:val="000000"/>
                <w:spacing w:val="-4"/>
                <w:kern w:val="0"/>
                <w:sz w:val="18"/>
                <w:szCs w:val="18"/>
                <w:lang w:eastAsia="en-US"/>
              </w:rPr>
              <w:t>1</w:t>
            </w:r>
          </w:p>
        </w:tc>
        <w:tc>
          <w:tcPr>
            <w:tcW w:w="1690" w:type="dxa"/>
            <w:vAlign w:val="top"/>
          </w:tcPr>
          <w:p w14:paraId="30AC1642">
            <w:pPr>
              <w:keepNext w:val="0"/>
              <w:keepLines w:val="0"/>
              <w:pageBreakBefore w:val="0"/>
              <w:kinsoku w:val="0"/>
              <w:wordWrap/>
              <w:overflowPunct/>
              <w:topLinePunct w:val="0"/>
              <w:autoSpaceDE w:val="0"/>
              <w:autoSpaceDN w:val="0"/>
              <w:bidi w:val="0"/>
              <w:adjustRightInd w:val="0"/>
              <w:snapToGrid w:val="0"/>
              <w:spacing w:before="209" w:line="300" w:lineRule="exact"/>
              <w:ind w:left="118" w:right="9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站内未种植油性植</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物。</w:t>
            </w:r>
          </w:p>
        </w:tc>
        <w:tc>
          <w:tcPr>
            <w:tcW w:w="749" w:type="dxa"/>
            <w:tcBorders>
              <w:right w:val="single" w:color="000000" w:sz="10" w:space="0"/>
            </w:tcBorders>
            <w:vAlign w:val="top"/>
          </w:tcPr>
          <w:p w14:paraId="0EB74E10">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700AAE9">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C1BC6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tcBorders>
            <w:vAlign w:val="top"/>
          </w:tcPr>
          <w:p w14:paraId="3931174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9401BB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59C2CC6">
            <w:pPr>
              <w:keepNext w:val="0"/>
              <w:keepLines w:val="0"/>
              <w:pageBreakBefore w:val="0"/>
              <w:widowControl/>
              <w:kinsoku w:val="0"/>
              <w:wordWrap/>
              <w:overflowPunct/>
              <w:topLinePunct w:val="0"/>
              <w:autoSpaceDE w:val="0"/>
              <w:autoSpaceDN w:val="0"/>
              <w:bidi w:val="0"/>
              <w:adjustRightInd w:val="0"/>
              <w:snapToGrid w:val="0"/>
              <w:spacing w:before="52" w:line="300" w:lineRule="exact"/>
              <w:ind w:left="16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32.</w:t>
            </w:r>
          </w:p>
        </w:tc>
        <w:tc>
          <w:tcPr>
            <w:tcW w:w="4049" w:type="dxa"/>
            <w:vAlign w:val="top"/>
          </w:tcPr>
          <w:p w14:paraId="0B05A308">
            <w:pPr>
              <w:keepNext w:val="0"/>
              <w:keepLines w:val="0"/>
              <w:pageBreakBefore w:val="0"/>
              <w:kinsoku w:val="0"/>
              <w:wordWrap/>
              <w:overflowPunct/>
              <w:topLinePunct w:val="0"/>
              <w:autoSpaceDE w:val="0"/>
              <w:autoSpaceDN w:val="0"/>
              <w:bidi w:val="0"/>
              <w:adjustRightInd w:val="0"/>
              <w:snapToGrid w:val="0"/>
              <w:spacing w:before="220" w:line="300" w:lineRule="exact"/>
              <w:ind w:left="101" w:right="46"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从事危险化学品经营单位的经营和储存场所、设</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15"/>
                <w:kern w:val="0"/>
                <w:sz w:val="18"/>
                <w:szCs w:val="18"/>
                <w:lang w:val="en-US" w:eastAsia="en-US" w:bidi="ar-SA"/>
              </w:rPr>
              <w:t>施、建筑物符合《建筑设计防火规范》（</w:t>
            </w:r>
            <w:r>
              <w:rPr>
                <w:rFonts w:ascii="Times New Roman" w:hAnsi="Times New Roman" w:eastAsia="Times New Roman" w:cs="Times New Roman"/>
                <w:snapToGrid w:val="0"/>
                <w:color w:val="000000"/>
                <w:spacing w:val="-15"/>
                <w:kern w:val="0"/>
                <w:sz w:val="18"/>
                <w:szCs w:val="18"/>
                <w:lang w:val="en-US" w:eastAsia="en-US" w:bidi="ar-SA"/>
              </w:rPr>
              <w:t>GB50016</w:t>
            </w:r>
            <w:r>
              <w:rPr>
                <w:rFonts w:ascii="宋体" w:hAnsi="宋体" w:eastAsia="宋体" w:cs="宋体"/>
                <w:snapToGrid w:val="0"/>
                <w:color w:val="000000"/>
                <w:spacing w:val="-15"/>
                <w:kern w:val="0"/>
                <w:sz w:val="18"/>
                <w:szCs w:val="18"/>
                <w:lang w:val="en-US" w:eastAsia="en-US" w:bidi="ar-SA"/>
              </w:rPr>
              <w:t>）、</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《石油化工企业设计防火规范》（</w:t>
            </w:r>
            <w:r>
              <w:rPr>
                <w:rFonts w:ascii="Times New Roman" w:hAnsi="Times New Roman" w:eastAsia="Times New Roman" w:cs="Times New Roman"/>
                <w:snapToGrid w:val="0"/>
                <w:color w:val="000000"/>
                <w:kern w:val="0"/>
                <w:sz w:val="18"/>
                <w:szCs w:val="18"/>
                <w:lang w:val="en-US" w:eastAsia="en-US" w:bidi="ar-SA"/>
              </w:rPr>
              <w:t>GB</w:t>
            </w:r>
            <w:r>
              <w:rPr>
                <w:rFonts w:ascii="Times New Roman" w:hAnsi="Times New Roman" w:eastAsia="Times New Roman" w:cs="Times New Roman"/>
                <w:snapToGrid w:val="0"/>
                <w:color w:val="000000"/>
                <w:spacing w:val="4"/>
                <w:kern w:val="0"/>
                <w:sz w:val="18"/>
                <w:szCs w:val="18"/>
                <w:lang w:val="en-US" w:eastAsia="en-US" w:bidi="ar-SA"/>
              </w:rPr>
              <w:t>50160</w:t>
            </w:r>
            <w:r>
              <w:rPr>
                <w:rFonts w:ascii="宋体" w:hAnsi="宋体" w:eastAsia="宋体" w:cs="宋体"/>
                <w:snapToGrid w:val="0"/>
                <w:color w:val="000000"/>
                <w:spacing w:val="4"/>
                <w:kern w:val="0"/>
                <w:sz w:val="18"/>
                <w:szCs w:val="18"/>
                <w:lang w:val="en-US" w:eastAsia="en-US" w:bidi="ar-SA"/>
              </w:rPr>
              <w:t>）、</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《汽车加油加气加氢站设计标准》（</w:t>
            </w:r>
            <w:r>
              <w:rPr>
                <w:rFonts w:ascii="Times New Roman" w:hAnsi="Times New Roman" w:eastAsia="Times New Roman" w:cs="Times New Roman"/>
                <w:snapToGrid w:val="0"/>
                <w:color w:val="000000"/>
                <w:kern w:val="0"/>
                <w:sz w:val="18"/>
                <w:szCs w:val="18"/>
                <w:lang w:val="en-US" w:eastAsia="en-US" w:bidi="ar-SA"/>
              </w:rPr>
              <w:t>GB</w:t>
            </w:r>
            <w:r>
              <w:rPr>
                <w:rFonts w:ascii="Times New Roman" w:hAnsi="Times New Roman" w:eastAsia="Times New Roman" w:cs="Times New Roman"/>
                <w:snapToGrid w:val="0"/>
                <w:color w:val="000000"/>
                <w:spacing w:val="3"/>
                <w:kern w:val="0"/>
                <w:sz w:val="18"/>
                <w:szCs w:val="18"/>
                <w:lang w:val="en-US" w:eastAsia="en-US" w:bidi="ar-SA"/>
              </w:rPr>
              <w:t>50156</w:t>
            </w:r>
            <w:r>
              <w:rPr>
                <w:rFonts w:ascii="宋体" w:hAnsi="宋体" w:eastAsia="宋体" w:cs="宋体"/>
                <w:snapToGrid w:val="0"/>
                <w:color w:val="000000"/>
                <w:spacing w:val="3"/>
                <w:kern w:val="0"/>
                <w:sz w:val="18"/>
                <w:szCs w:val="18"/>
                <w:lang w:val="en-US" w:eastAsia="en-US" w:bidi="ar-SA"/>
              </w:rPr>
              <w:t>）</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等相关国家标准、行业标准的规定。</w:t>
            </w:r>
          </w:p>
        </w:tc>
        <w:tc>
          <w:tcPr>
            <w:tcW w:w="2273" w:type="dxa"/>
            <w:vAlign w:val="top"/>
          </w:tcPr>
          <w:p w14:paraId="3AFD8E6C">
            <w:pPr>
              <w:keepNext w:val="0"/>
              <w:keepLines w:val="0"/>
              <w:pageBreakBefore w:val="0"/>
              <w:kinsoku w:val="0"/>
              <w:wordWrap/>
              <w:overflowPunct/>
              <w:topLinePunct w:val="0"/>
              <w:autoSpaceDE w:val="0"/>
              <w:autoSpaceDN w:val="0"/>
              <w:bidi w:val="0"/>
              <w:adjustRightInd w:val="0"/>
              <w:snapToGrid w:val="0"/>
              <w:spacing w:before="91" w:line="300" w:lineRule="exact"/>
              <w:ind w:left="697" w:right="140" w:hanging="53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《危险化学品经营许可证</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管理办法》</w:t>
            </w:r>
          </w:p>
          <w:p w14:paraId="727B5DF2">
            <w:pPr>
              <w:keepNext w:val="0"/>
              <w:keepLines w:val="0"/>
              <w:pageBreakBefore w:val="0"/>
              <w:kinsoku w:val="0"/>
              <w:wordWrap/>
              <w:overflowPunct/>
              <w:topLinePunct w:val="0"/>
              <w:autoSpaceDE w:val="0"/>
              <w:autoSpaceDN w:val="0"/>
              <w:bidi w:val="0"/>
              <w:adjustRightInd w:val="0"/>
              <w:snapToGrid w:val="0"/>
              <w:spacing w:before="29" w:line="300" w:lineRule="exact"/>
              <w:ind w:left="113" w:right="25" w:firstLine="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（原国家安全生产监督管</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理总局令〔</w:t>
            </w:r>
            <w:r>
              <w:rPr>
                <w:rFonts w:ascii="Times New Roman" w:hAnsi="Times New Roman" w:eastAsia="Times New Roman" w:cs="Times New Roman"/>
                <w:snapToGrid w:val="0"/>
                <w:color w:val="000000"/>
                <w:spacing w:val="-3"/>
                <w:kern w:val="0"/>
                <w:sz w:val="18"/>
                <w:szCs w:val="18"/>
                <w:lang w:val="en-US" w:eastAsia="en-US" w:bidi="ar-SA"/>
              </w:rPr>
              <w:t>2012</w:t>
            </w:r>
            <w:r>
              <w:rPr>
                <w:rFonts w:ascii="宋体" w:hAnsi="宋体" w:eastAsia="宋体" w:cs="宋体"/>
                <w:snapToGrid w:val="0"/>
                <w:color w:val="000000"/>
                <w:spacing w:val="-3"/>
                <w:kern w:val="0"/>
                <w:sz w:val="18"/>
                <w:szCs w:val="18"/>
                <w:lang w:val="en-US" w:eastAsia="en-US" w:bidi="ar-SA"/>
              </w:rPr>
              <w:t>〕第</w:t>
            </w:r>
            <w:r>
              <w:rPr>
                <w:rFonts w:ascii="Times New Roman" w:hAnsi="Times New Roman" w:eastAsia="Times New Roman" w:cs="Times New Roman"/>
                <w:snapToGrid w:val="0"/>
                <w:color w:val="000000"/>
                <w:spacing w:val="-3"/>
                <w:kern w:val="0"/>
                <w:sz w:val="18"/>
                <w:szCs w:val="18"/>
                <w:lang w:val="en-US" w:eastAsia="en-US" w:bidi="ar-SA"/>
              </w:rPr>
              <w:t>55</w:t>
            </w:r>
            <w:r>
              <w:rPr>
                <w:rFonts w:ascii="宋体" w:hAnsi="宋体" w:eastAsia="宋体" w:cs="宋体"/>
                <w:snapToGrid w:val="0"/>
                <w:color w:val="000000"/>
                <w:spacing w:val="-3"/>
                <w:kern w:val="0"/>
                <w:sz w:val="18"/>
                <w:szCs w:val="18"/>
                <w:lang w:val="en-US" w:eastAsia="en-US" w:bidi="ar-SA"/>
              </w:rPr>
              <w:t>号、</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国家安监总局令〔</w:t>
            </w:r>
            <w:r>
              <w:rPr>
                <w:rFonts w:ascii="Times New Roman" w:hAnsi="Times New Roman" w:eastAsia="Times New Roman" w:cs="Times New Roman"/>
                <w:snapToGrid w:val="0"/>
                <w:color w:val="000000"/>
                <w:spacing w:val="2"/>
                <w:kern w:val="0"/>
                <w:sz w:val="18"/>
                <w:szCs w:val="18"/>
                <w:lang w:val="en-US" w:eastAsia="en-US" w:bidi="ar-SA"/>
              </w:rPr>
              <w:t>2015</w:t>
            </w:r>
            <w:r>
              <w:rPr>
                <w:rFonts w:ascii="宋体" w:hAnsi="宋体" w:eastAsia="宋体" w:cs="宋体"/>
                <w:snapToGrid w:val="0"/>
                <w:color w:val="000000"/>
                <w:spacing w:val="2"/>
                <w:kern w:val="0"/>
                <w:sz w:val="18"/>
                <w:szCs w:val="18"/>
                <w:lang w:val="en-US" w:eastAsia="en-US" w:bidi="ar-SA"/>
              </w:rPr>
              <w:t>〕</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第</w:t>
            </w:r>
            <w:r>
              <w:rPr>
                <w:rFonts w:ascii="Times New Roman" w:hAnsi="Times New Roman" w:eastAsia="Times New Roman" w:cs="Times New Roman"/>
                <w:snapToGrid w:val="0"/>
                <w:color w:val="000000"/>
                <w:spacing w:val="-3"/>
                <w:kern w:val="0"/>
                <w:sz w:val="18"/>
                <w:szCs w:val="18"/>
                <w:lang w:val="en-US" w:eastAsia="en-US" w:bidi="ar-SA"/>
              </w:rPr>
              <w:t>79</w:t>
            </w:r>
            <w:r>
              <w:rPr>
                <w:rFonts w:ascii="宋体" w:hAnsi="宋体" w:eastAsia="宋体" w:cs="宋体"/>
                <w:snapToGrid w:val="0"/>
                <w:color w:val="000000"/>
                <w:spacing w:val="-3"/>
                <w:kern w:val="0"/>
                <w:sz w:val="18"/>
                <w:szCs w:val="18"/>
                <w:lang w:val="en-US" w:eastAsia="en-US" w:bidi="ar-SA"/>
              </w:rPr>
              <w:t>号修订）第六条（一）</w:t>
            </w:r>
          </w:p>
        </w:tc>
        <w:tc>
          <w:tcPr>
            <w:tcW w:w="1690" w:type="dxa"/>
            <w:vAlign w:val="top"/>
          </w:tcPr>
          <w:p w14:paraId="613F066B">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679D0468">
            <w:pPr>
              <w:keepNext w:val="0"/>
              <w:keepLines w:val="0"/>
              <w:pageBreakBefore w:val="0"/>
              <w:kinsoku w:val="0"/>
              <w:wordWrap/>
              <w:overflowPunct/>
              <w:topLinePunct w:val="0"/>
              <w:autoSpaceDE w:val="0"/>
              <w:autoSpaceDN w:val="0"/>
              <w:bidi w:val="0"/>
              <w:adjustRightInd w:val="0"/>
              <w:snapToGrid w:val="0"/>
              <w:spacing w:before="58" w:line="300" w:lineRule="exact"/>
              <w:ind w:left="117" w:right="95"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 xml:space="preserve">该站的经营和储存 </w:t>
            </w:r>
            <w:r>
              <w:rPr>
                <w:rFonts w:ascii="宋体" w:hAnsi="宋体" w:eastAsia="宋体" w:cs="宋体"/>
                <w:snapToGrid w:val="0"/>
                <w:color w:val="000000"/>
                <w:spacing w:val="4"/>
                <w:kern w:val="0"/>
                <w:sz w:val="18"/>
                <w:szCs w:val="18"/>
                <w:lang w:val="en-US" w:eastAsia="en-US" w:bidi="ar-SA"/>
              </w:rPr>
              <w:t>设施、建筑物符合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相关国家标准、行</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业标准的规定。</w:t>
            </w:r>
          </w:p>
        </w:tc>
        <w:tc>
          <w:tcPr>
            <w:tcW w:w="749" w:type="dxa"/>
            <w:tcBorders>
              <w:right w:val="single" w:color="000000" w:sz="10" w:space="0"/>
            </w:tcBorders>
            <w:vAlign w:val="top"/>
          </w:tcPr>
          <w:p w14:paraId="5DA43892">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8C7BA4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B379EDE">
            <w:pPr>
              <w:keepNext w:val="0"/>
              <w:keepLines w:val="0"/>
              <w:pageBreakBefore w:val="0"/>
              <w:kinsoku w:val="0"/>
              <w:wordWrap/>
              <w:overflowPunct/>
              <w:topLinePunct w:val="0"/>
              <w:autoSpaceDE w:val="0"/>
              <w:autoSpaceDN w:val="0"/>
              <w:bidi w:val="0"/>
              <w:adjustRightInd w:val="0"/>
              <w:snapToGrid w:val="0"/>
              <w:spacing w:before="58"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0E861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60" w:type="dxa"/>
            <w:tcBorders>
              <w:left w:val="single" w:color="000000" w:sz="10" w:space="0"/>
              <w:bottom w:val="single" w:color="000000" w:sz="10" w:space="0"/>
            </w:tcBorders>
            <w:vAlign w:val="top"/>
          </w:tcPr>
          <w:p w14:paraId="3A276DAF">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38C3AB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165E5F0E">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253655D8">
            <w:pPr>
              <w:keepNext w:val="0"/>
              <w:keepLines w:val="0"/>
              <w:pageBreakBefore w:val="0"/>
              <w:widowControl/>
              <w:kinsoku w:val="0"/>
              <w:wordWrap/>
              <w:overflowPunct/>
              <w:topLinePunct w:val="0"/>
              <w:autoSpaceDE w:val="0"/>
              <w:autoSpaceDN w:val="0"/>
              <w:bidi w:val="0"/>
              <w:adjustRightInd w:val="0"/>
              <w:snapToGrid w:val="0"/>
              <w:spacing w:before="51" w:line="300" w:lineRule="exact"/>
              <w:ind w:left="16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33.</w:t>
            </w:r>
          </w:p>
        </w:tc>
        <w:tc>
          <w:tcPr>
            <w:tcW w:w="4049" w:type="dxa"/>
            <w:tcBorders>
              <w:bottom w:val="single" w:color="000000" w:sz="10" w:space="0"/>
            </w:tcBorders>
            <w:vAlign w:val="top"/>
          </w:tcPr>
          <w:p w14:paraId="4AD4DFC8">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320E9B96">
            <w:pPr>
              <w:keepNext w:val="0"/>
              <w:keepLines w:val="0"/>
              <w:pageBreakBefore w:val="0"/>
              <w:kinsoku w:val="0"/>
              <w:wordWrap/>
              <w:overflowPunct/>
              <w:topLinePunct w:val="0"/>
              <w:autoSpaceDE w:val="0"/>
              <w:autoSpaceDN w:val="0"/>
              <w:bidi w:val="0"/>
              <w:adjustRightInd w:val="0"/>
              <w:snapToGrid w:val="0"/>
              <w:spacing w:before="59" w:line="300" w:lineRule="exact"/>
              <w:ind w:left="102" w:right="104"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从事危险化学品经营单位的储存设施与相关场</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所、设施、区域的距离符合有关法律、法规、规</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章和标准的规定。</w:t>
            </w:r>
          </w:p>
        </w:tc>
        <w:tc>
          <w:tcPr>
            <w:tcW w:w="2273" w:type="dxa"/>
            <w:tcBorders>
              <w:bottom w:val="single" w:color="000000" w:sz="10" w:space="0"/>
            </w:tcBorders>
            <w:vAlign w:val="top"/>
          </w:tcPr>
          <w:p w14:paraId="648D7D58">
            <w:pPr>
              <w:keepNext w:val="0"/>
              <w:keepLines w:val="0"/>
              <w:pageBreakBefore w:val="0"/>
              <w:kinsoku w:val="0"/>
              <w:wordWrap/>
              <w:overflowPunct/>
              <w:topLinePunct w:val="0"/>
              <w:autoSpaceDE w:val="0"/>
              <w:autoSpaceDN w:val="0"/>
              <w:bidi w:val="0"/>
              <w:adjustRightInd w:val="0"/>
              <w:snapToGrid w:val="0"/>
              <w:spacing w:before="135" w:line="300" w:lineRule="exact"/>
              <w:ind w:left="697" w:right="140" w:hanging="53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《危险化学品经营许可证</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管理办法》</w:t>
            </w:r>
          </w:p>
          <w:p w14:paraId="592EC00C">
            <w:pPr>
              <w:keepNext w:val="0"/>
              <w:keepLines w:val="0"/>
              <w:pageBreakBefore w:val="0"/>
              <w:kinsoku w:val="0"/>
              <w:wordWrap/>
              <w:overflowPunct/>
              <w:topLinePunct w:val="0"/>
              <w:autoSpaceDE w:val="0"/>
              <w:autoSpaceDN w:val="0"/>
              <w:bidi w:val="0"/>
              <w:adjustRightInd w:val="0"/>
              <w:snapToGrid w:val="0"/>
              <w:spacing w:before="28" w:line="300" w:lineRule="exact"/>
              <w:ind w:left="113" w:right="25" w:firstLine="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（原国家安全生产监督管</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理总局令〔</w:t>
            </w:r>
            <w:r>
              <w:rPr>
                <w:rFonts w:ascii="Times New Roman" w:hAnsi="Times New Roman" w:eastAsia="Times New Roman" w:cs="Times New Roman"/>
                <w:snapToGrid w:val="0"/>
                <w:color w:val="000000"/>
                <w:spacing w:val="-3"/>
                <w:kern w:val="0"/>
                <w:sz w:val="18"/>
                <w:szCs w:val="18"/>
                <w:lang w:val="en-US" w:eastAsia="en-US" w:bidi="ar-SA"/>
              </w:rPr>
              <w:t>2012</w:t>
            </w:r>
            <w:r>
              <w:rPr>
                <w:rFonts w:ascii="宋体" w:hAnsi="宋体" w:eastAsia="宋体" w:cs="宋体"/>
                <w:snapToGrid w:val="0"/>
                <w:color w:val="000000"/>
                <w:spacing w:val="-3"/>
                <w:kern w:val="0"/>
                <w:sz w:val="18"/>
                <w:szCs w:val="18"/>
                <w:lang w:val="en-US" w:eastAsia="en-US" w:bidi="ar-SA"/>
              </w:rPr>
              <w:t>〕第</w:t>
            </w:r>
            <w:r>
              <w:rPr>
                <w:rFonts w:ascii="Times New Roman" w:hAnsi="Times New Roman" w:eastAsia="Times New Roman" w:cs="Times New Roman"/>
                <w:snapToGrid w:val="0"/>
                <w:color w:val="000000"/>
                <w:spacing w:val="-3"/>
                <w:kern w:val="0"/>
                <w:sz w:val="18"/>
                <w:szCs w:val="18"/>
                <w:lang w:val="en-US" w:eastAsia="en-US" w:bidi="ar-SA"/>
              </w:rPr>
              <w:t>55</w:t>
            </w:r>
            <w:r>
              <w:rPr>
                <w:rFonts w:ascii="宋体" w:hAnsi="宋体" w:eastAsia="宋体" w:cs="宋体"/>
                <w:snapToGrid w:val="0"/>
                <w:color w:val="000000"/>
                <w:spacing w:val="-3"/>
                <w:kern w:val="0"/>
                <w:sz w:val="18"/>
                <w:szCs w:val="18"/>
                <w:lang w:val="en-US" w:eastAsia="en-US" w:bidi="ar-SA"/>
              </w:rPr>
              <w:t>号、</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国家安监总局令〔</w:t>
            </w:r>
            <w:r>
              <w:rPr>
                <w:rFonts w:ascii="Times New Roman" w:hAnsi="Times New Roman" w:eastAsia="Times New Roman" w:cs="Times New Roman"/>
                <w:snapToGrid w:val="0"/>
                <w:color w:val="000000"/>
                <w:spacing w:val="2"/>
                <w:kern w:val="0"/>
                <w:sz w:val="18"/>
                <w:szCs w:val="18"/>
                <w:lang w:val="en-US" w:eastAsia="en-US" w:bidi="ar-SA"/>
              </w:rPr>
              <w:t>2015</w:t>
            </w:r>
            <w:r>
              <w:rPr>
                <w:rFonts w:ascii="宋体" w:hAnsi="宋体" w:eastAsia="宋体" w:cs="宋体"/>
                <w:snapToGrid w:val="0"/>
                <w:color w:val="000000"/>
                <w:spacing w:val="2"/>
                <w:kern w:val="0"/>
                <w:sz w:val="18"/>
                <w:szCs w:val="18"/>
                <w:lang w:val="en-US" w:eastAsia="en-US" w:bidi="ar-SA"/>
              </w:rPr>
              <w:t>〕</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第</w:t>
            </w:r>
            <w:r>
              <w:rPr>
                <w:rFonts w:ascii="Times New Roman" w:hAnsi="Times New Roman" w:eastAsia="Times New Roman" w:cs="Times New Roman"/>
                <w:snapToGrid w:val="0"/>
                <w:color w:val="000000"/>
                <w:spacing w:val="-3"/>
                <w:kern w:val="0"/>
                <w:sz w:val="18"/>
                <w:szCs w:val="18"/>
                <w:lang w:val="en-US" w:eastAsia="en-US" w:bidi="ar-SA"/>
              </w:rPr>
              <w:t>79</w:t>
            </w:r>
            <w:r>
              <w:rPr>
                <w:rFonts w:ascii="宋体" w:hAnsi="宋体" w:eastAsia="宋体" w:cs="宋体"/>
                <w:snapToGrid w:val="0"/>
                <w:color w:val="000000"/>
                <w:spacing w:val="-3"/>
                <w:kern w:val="0"/>
                <w:sz w:val="18"/>
                <w:szCs w:val="18"/>
                <w:lang w:val="en-US" w:eastAsia="en-US" w:bidi="ar-SA"/>
              </w:rPr>
              <w:t>号修订）第八条（二）</w:t>
            </w:r>
          </w:p>
        </w:tc>
        <w:tc>
          <w:tcPr>
            <w:tcW w:w="1690" w:type="dxa"/>
            <w:tcBorders>
              <w:bottom w:val="single" w:color="000000" w:sz="10" w:space="0"/>
            </w:tcBorders>
            <w:vAlign w:val="top"/>
          </w:tcPr>
          <w:p w14:paraId="2A449D83">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417ADB49">
            <w:pPr>
              <w:keepNext w:val="0"/>
              <w:keepLines w:val="0"/>
              <w:pageBreakBefore w:val="0"/>
              <w:kinsoku w:val="0"/>
              <w:wordWrap/>
              <w:overflowPunct/>
              <w:topLinePunct w:val="0"/>
              <w:autoSpaceDE w:val="0"/>
              <w:autoSpaceDN w:val="0"/>
              <w:bidi w:val="0"/>
              <w:adjustRightInd w:val="0"/>
              <w:snapToGrid w:val="0"/>
              <w:spacing w:before="59" w:line="300" w:lineRule="exact"/>
              <w:ind w:left="118" w:right="95"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与周边建（构）筑</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30"/>
                <w:kern w:val="0"/>
                <w:sz w:val="18"/>
                <w:szCs w:val="18"/>
                <w:lang w:val="en-US" w:eastAsia="en-US" w:bidi="ar-SA"/>
              </w:rPr>
              <w:t>物的距离符合要</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求。</w:t>
            </w:r>
          </w:p>
        </w:tc>
        <w:tc>
          <w:tcPr>
            <w:tcW w:w="749" w:type="dxa"/>
            <w:tcBorders>
              <w:bottom w:val="single" w:color="000000" w:sz="10" w:space="0"/>
              <w:right w:val="single" w:color="000000" w:sz="10" w:space="0"/>
            </w:tcBorders>
            <w:vAlign w:val="top"/>
          </w:tcPr>
          <w:p w14:paraId="70A885C9">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5798F254">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0A189C3A">
            <w:pPr>
              <w:keepNext w:val="0"/>
              <w:keepLines w:val="0"/>
              <w:pageBreakBefore w:val="0"/>
              <w:widowControl/>
              <w:kinsoku w:val="0"/>
              <w:wordWrap/>
              <w:overflowPunct/>
              <w:topLinePunct w:val="0"/>
              <w:autoSpaceDE w:val="0"/>
              <w:autoSpaceDN w:val="0"/>
              <w:bidi w:val="0"/>
              <w:adjustRightInd w:val="0"/>
              <w:snapToGrid w:val="0"/>
              <w:spacing w:line="300" w:lineRule="exact"/>
              <w:jc w:val="left"/>
              <w:textAlignment w:val="baseline"/>
              <w:rPr>
                <w:rFonts w:ascii="Arial" w:hAnsi="Arial" w:eastAsia="Arial" w:cs="Arial"/>
                <w:snapToGrid w:val="0"/>
                <w:color w:val="000000"/>
                <w:kern w:val="0"/>
                <w:sz w:val="21"/>
                <w:lang w:eastAsia="en-US"/>
              </w:rPr>
            </w:pPr>
          </w:p>
          <w:p w14:paraId="75255C1C">
            <w:pPr>
              <w:keepNext w:val="0"/>
              <w:keepLines w:val="0"/>
              <w:pageBreakBefore w:val="0"/>
              <w:kinsoku w:val="0"/>
              <w:wordWrap/>
              <w:overflowPunct/>
              <w:topLinePunct w:val="0"/>
              <w:autoSpaceDE w:val="0"/>
              <w:autoSpaceDN w:val="0"/>
              <w:bidi w:val="0"/>
              <w:adjustRightInd w:val="0"/>
              <w:snapToGrid w:val="0"/>
              <w:spacing w:before="59" w:line="300" w:lineRule="exact"/>
              <w:ind w:left="20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bl>
    <w:p w14:paraId="4EFBE131">
      <w:pPr>
        <w:kinsoku w:val="0"/>
        <w:autoSpaceDE w:val="0"/>
        <w:autoSpaceDN w:val="0"/>
        <w:adjustRightInd w:val="0"/>
        <w:snapToGrid w:val="0"/>
        <w:spacing w:line="240" w:lineRule="auto"/>
        <w:jc w:val="center"/>
        <w:textAlignment w:val="baseline"/>
        <w:rPr>
          <w:rFonts w:ascii="宋体" w:hAnsi="宋体" w:eastAsia="宋体" w:cs="宋体"/>
          <w:snapToGrid w:val="0"/>
          <w:color w:val="000000"/>
          <w:spacing w:val="-7"/>
          <w:kern w:val="0"/>
          <w:sz w:val="28"/>
          <w:szCs w:val="28"/>
          <w:lang w:eastAsia="en-US"/>
        </w:rPr>
      </w:pPr>
      <w:r>
        <w:rPr>
          <w:rFonts w:ascii="宋体" w:hAnsi="宋体" w:eastAsia="宋体" w:cs="宋体"/>
          <w:snapToGrid w:val="0"/>
          <w:color w:val="000000"/>
          <w:spacing w:val="-6"/>
          <w:kern w:val="0"/>
          <w:sz w:val="28"/>
          <w:szCs w:val="28"/>
          <w:lang w:eastAsia="en-US"/>
        </w:rPr>
        <w:t>评价结果：站址及平面布置安全检查表共检查项目</w:t>
      </w:r>
      <w:r>
        <w:rPr>
          <w:rFonts w:ascii="宋体" w:hAnsi="宋体" w:eastAsia="宋体" w:cs="宋体"/>
          <w:snapToGrid w:val="0"/>
          <w:color w:val="000000"/>
          <w:spacing w:val="-59"/>
          <w:kern w:val="0"/>
          <w:sz w:val="28"/>
          <w:szCs w:val="28"/>
          <w:lang w:eastAsia="en-US"/>
        </w:rPr>
        <w:t xml:space="preserve"> </w:t>
      </w:r>
      <w:r>
        <w:rPr>
          <w:rFonts w:ascii="Times New Roman" w:hAnsi="Times New Roman" w:eastAsia="Times New Roman" w:cs="Times New Roman"/>
          <w:snapToGrid w:val="0"/>
          <w:color w:val="000000"/>
          <w:spacing w:val="-6"/>
          <w:kern w:val="0"/>
          <w:sz w:val="28"/>
          <w:szCs w:val="28"/>
          <w:lang w:eastAsia="en-US"/>
        </w:rPr>
        <w:t xml:space="preserve">33 </w:t>
      </w:r>
      <w:r>
        <w:rPr>
          <w:rFonts w:ascii="宋体" w:hAnsi="宋体" w:eastAsia="宋体" w:cs="宋体"/>
          <w:snapToGrid w:val="0"/>
          <w:color w:val="000000"/>
          <w:spacing w:val="-6"/>
          <w:kern w:val="0"/>
          <w:sz w:val="28"/>
          <w:szCs w:val="28"/>
          <w:lang w:eastAsia="en-US"/>
        </w:rPr>
        <w:t>项，均符合</w:t>
      </w:r>
      <w:r>
        <w:rPr>
          <w:rFonts w:ascii="宋体" w:hAnsi="宋体" w:eastAsia="宋体" w:cs="宋体"/>
          <w:snapToGrid w:val="0"/>
          <w:color w:val="000000"/>
          <w:spacing w:val="-7"/>
          <w:kern w:val="0"/>
          <w:sz w:val="28"/>
          <w:szCs w:val="28"/>
          <w:lang w:eastAsia="en-US"/>
        </w:rPr>
        <w:t>要求。</w:t>
      </w:r>
    </w:p>
    <w:p w14:paraId="279C6D4C">
      <w:pPr>
        <w:rPr>
          <w:rFonts w:ascii="宋体" w:hAnsi="宋体" w:eastAsia="宋体" w:cs="宋体"/>
          <w:snapToGrid w:val="0"/>
          <w:color w:val="000000"/>
          <w:spacing w:val="-7"/>
          <w:kern w:val="0"/>
          <w:sz w:val="28"/>
          <w:szCs w:val="28"/>
          <w:lang w:val="en-US" w:eastAsia="en-US"/>
        </w:rPr>
      </w:pPr>
      <w:r>
        <w:rPr>
          <w:rFonts w:ascii="宋体" w:hAnsi="宋体" w:eastAsia="宋体" w:cs="宋体"/>
          <w:snapToGrid w:val="0"/>
          <w:color w:val="000000"/>
          <w:spacing w:val="-7"/>
          <w:kern w:val="0"/>
          <w:sz w:val="28"/>
          <w:szCs w:val="28"/>
          <w:lang w:eastAsia="en-US"/>
        </w:rPr>
        <w:br w:type="page"/>
      </w:r>
    </w:p>
    <w:p w14:paraId="38190548">
      <w:pPr>
        <w:pStyle w:val="5"/>
        <w:keepNext/>
        <w:keepLines/>
        <w:pageBreakBefore w:val="0"/>
        <w:widowControl w:val="0"/>
        <w:kinsoku/>
        <w:wordWrap/>
        <w:overflowPunct/>
        <w:topLinePunct w:val="0"/>
        <w:autoSpaceDE/>
        <w:autoSpaceDN/>
        <w:bidi w:val="0"/>
        <w:adjustRightInd/>
        <w:snapToGrid/>
        <w:spacing w:line="240" w:lineRule="atLeast"/>
        <w:textAlignment w:val="auto"/>
        <w:rPr>
          <w:rFonts w:hint="eastAsia" w:ascii="楷体" w:hAnsi="楷体" w:eastAsia="楷体" w:cs="楷体"/>
          <w:sz w:val="32"/>
          <w:szCs w:val="32"/>
          <w:lang w:eastAsia="en-US"/>
        </w:rPr>
      </w:pPr>
      <w:bookmarkStart w:id="229" w:name="_Toc1972"/>
      <w:r>
        <w:rPr>
          <w:rFonts w:hint="eastAsia" w:ascii="楷体" w:hAnsi="楷体" w:eastAsia="楷体" w:cs="楷体"/>
          <w:sz w:val="32"/>
          <w:szCs w:val="32"/>
          <w:lang w:eastAsia="en-US"/>
        </w:rPr>
        <w:t>5.3加油工艺及设备设施单元</w:t>
      </w:r>
      <w:bookmarkEnd w:id="229"/>
    </w:p>
    <w:p w14:paraId="79E7CED5">
      <w:pPr>
        <w:widowControl/>
        <w:kinsoku w:val="0"/>
        <w:autoSpaceDE w:val="0"/>
        <w:autoSpaceDN w:val="0"/>
        <w:adjustRightInd w:val="0"/>
        <w:snapToGrid w:val="0"/>
        <w:spacing w:before="201" w:line="398" w:lineRule="auto"/>
        <w:ind w:left="116" w:right="98" w:firstLine="552"/>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1"/>
          <w:kern w:val="0"/>
          <w:sz w:val="28"/>
          <w:szCs w:val="28"/>
          <w:lang w:eastAsia="en-US"/>
        </w:rPr>
        <w:t>采用《安全检查表法》对加油工艺及设施单元进</w:t>
      </w:r>
      <w:r>
        <w:rPr>
          <w:rFonts w:ascii="宋体" w:hAnsi="宋体" w:eastAsia="宋体" w:cs="宋体"/>
          <w:snapToGrid w:val="0"/>
          <w:color w:val="000000"/>
          <w:spacing w:val="-2"/>
          <w:kern w:val="0"/>
          <w:sz w:val="28"/>
          <w:szCs w:val="28"/>
          <w:lang w:eastAsia="en-US"/>
        </w:rPr>
        <w:t>行分析评价，评价结</w:t>
      </w:r>
      <w:r>
        <w:rPr>
          <w:rFonts w:ascii="宋体" w:hAnsi="宋体" w:eastAsia="宋体" w:cs="宋体"/>
          <w:snapToGrid w:val="0"/>
          <w:color w:val="000000"/>
          <w:spacing w:val="-4"/>
          <w:kern w:val="0"/>
          <w:sz w:val="28"/>
          <w:szCs w:val="28"/>
          <w:lang w:eastAsia="en-US"/>
        </w:rPr>
        <w:t>果见表</w:t>
      </w:r>
      <w:r>
        <w:rPr>
          <w:rFonts w:ascii="宋体" w:hAnsi="宋体" w:eastAsia="宋体" w:cs="宋体"/>
          <w:snapToGrid w:val="0"/>
          <w:color w:val="000000"/>
          <w:spacing w:val="-51"/>
          <w:kern w:val="0"/>
          <w:sz w:val="28"/>
          <w:szCs w:val="28"/>
          <w:lang w:eastAsia="en-US"/>
        </w:rPr>
        <w:t xml:space="preserve"> </w:t>
      </w:r>
      <w:r>
        <w:rPr>
          <w:rFonts w:ascii="Times New Roman" w:hAnsi="Times New Roman" w:eastAsia="Times New Roman" w:cs="Times New Roman"/>
          <w:snapToGrid w:val="0"/>
          <w:color w:val="000000"/>
          <w:spacing w:val="-4"/>
          <w:kern w:val="0"/>
          <w:sz w:val="28"/>
          <w:szCs w:val="28"/>
          <w:lang w:eastAsia="en-US"/>
        </w:rPr>
        <w:t>5</w:t>
      </w:r>
      <w:r>
        <w:rPr>
          <w:rFonts w:hint="eastAsia" w:ascii="Times New Roman" w:hAnsi="Times New Roman" w:eastAsia="宋体" w:cs="Times New Roman"/>
          <w:snapToGrid w:val="0"/>
          <w:color w:val="000000"/>
          <w:spacing w:val="-4"/>
          <w:kern w:val="0"/>
          <w:sz w:val="28"/>
          <w:szCs w:val="28"/>
          <w:lang w:val="en-US" w:eastAsia="zh-CN"/>
        </w:rPr>
        <w:t>-8</w:t>
      </w:r>
      <w:r>
        <w:rPr>
          <w:rFonts w:ascii="宋体" w:hAnsi="宋体" w:eastAsia="宋体" w:cs="宋体"/>
          <w:snapToGrid w:val="0"/>
          <w:color w:val="000000"/>
          <w:spacing w:val="-4"/>
          <w:kern w:val="0"/>
          <w:sz w:val="28"/>
          <w:szCs w:val="28"/>
          <w:lang w:eastAsia="en-US"/>
        </w:rPr>
        <w:t>。</w:t>
      </w:r>
    </w:p>
    <w:p w14:paraId="6B47DFAA">
      <w:pPr>
        <w:widowControl/>
        <w:kinsoku w:val="0"/>
        <w:autoSpaceDE w:val="0"/>
        <w:autoSpaceDN w:val="0"/>
        <w:adjustRightInd w:val="0"/>
        <w:snapToGrid w:val="0"/>
        <w:spacing w:before="143" w:line="220" w:lineRule="auto"/>
        <w:ind w:left="2436"/>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48"/>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5</w:t>
      </w:r>
      <w:r>
        <w:rPr>
          <w:rFonts w:hint="eastAsia" w:ascii="Times New Roman" w:hAnsi="Times New Roman" w:eastAsia="宋体" w:cs="Times New Roman"/>
          <w:b/>
          <w:bCs/>
          <w:snapToGrid w:val="0"/>
          <w:color w:val="000000"/>
          <w:spacing w:val="-2"/>
          <w:kern w:val="0"/>
          <w:sz w:val="24"/>
          <w:szCs w:val="24"/>
          <w:lang w:val="en-US" w:eastAsia="zh-CN"/>
        </w:rPr>
        <w:t>-8</w:t>
      </w:r>
      <w:r>
        <w:rPr>
          <w:rFonts w:ascii="Times New Roman" w:hAnsi="Times New Roman" w:eastAsia="Times New Roman" w:cs="Times New Roman"/>
          <w:b/>
          <w:bCs/>
          <w:snapToGrid w:val="0"/>
          <w:color w:val="000000"/>
          <w:spacing w:val="-2"/>
          <w:kern w:val="0"/>
          <w:sz w:val="24"/>
          <w:szCs w:val="24"/>
          <w:lang w:eastAsia="en-US"/>
        </w:rPr>
        <w:t xml:space="preserve">    </w:t>
      </w:r>
      <w:r>
        <w:rPr>
          <w:rFonts w:ascii="宋体" w:hAnsi="宋体" w:eastAsia="宋体" w:cs="宋体"/>
          <w:b/>
          <w:bCs/>
          <w:snapToGrid w:val="0"/>
          <w:color w:val="000000"/>
          <w:spacing w:val="-2"/>
          <w:kern w:val="0"/>
          <w:sz w:val="24"/>
          <w:szCs w:val="24"/>
          <w:lang w:eastAsia="en-US"/>
        </w:rPr>
        <w:t>加油工艺及设施单元现场检查表</w:t>
      </w:r>
    </w:p>
    <w:p w14:paraId="1ACE7B5B">
      <w:pPr>
        <w:widowControl/>
        <w:kinsoku w:val="0"/>
        <w:autoSpaceDE w:val="0"/>
        <w:autoSpaceDN w:val="0"/>
        <w:adjustRightInd w:val="0"/>
        <w:snapToGrid w:val="0"/>
        <w:spacing w:line="39" w:lineRule="exact"/>
        <w:jc w:val="left"/>
        <w:textAlignment w:val="baseline"/>
        <w:rPr>
          <w:rFonts w:ascii="Arial" w:hAnsi="Arial" w:eastAsia="Arial" w:cs="Arial"/>
          <w:snapToGrid w:val="0"/>
          <w:color w:val="000000"/>
          <w:kern w:val="0"/>
          <w:lang w:eastAsia="en-US"/>
        </w:rPr>
      </w:pPr>
    </w:p>
    <w:tbl>
      <w:tblPr>
        <w:tblStyle w:val="47"/>
        <w:tblW w:w="9242"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41"/>
        <w:gridCol w:w="6569"/>
        <w:gridCol w:w="1546"/>
        <w:gridCol w:w="586"/>
      </w:tblGrid>
      <w:tr w14:paraId="413774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9242" w:type="dxa"/>
            <w:gridSpan w:val="4"/>
            <w:tcBorders>
              <w:top w:val="single" w:color="000000" w:sz="10" w:space="0"/>
              <w:left w:val="single" w:color="000000" w:sz="10" w:space="0"/>
              <w:right w:val="single" w:color="000000" w:sz="10" w:space="0"/>
            </w:tcBorders>
            <w:vAlign w:val="top"/>
          </w:tcPr>
          <w:p w14:paraId="4045756A">
            <w:pPr>
              <w:kinsoku w:val="0"/>
              <w:autoSpaceDE w:val="0"/>
              <w:autoSpaceDN w:val="0"/>
              <w:adjustRightInd w:val="0"/>
              <w:snapToGrid w:val="0"/>
              <w:spacing w:before="43" w:line="220" w:lineRule="auto"/>
              <w:ind w:left="409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4"/>
                <w:kern w:val="0"/>
                <w:sz w:val="20"/>
                <w:szCs w:val="20"/>
                <w:lang w:val="en-US" w:eastAsia="en-US" w:bidi="ar-SA"/>
              </w:rPr>
              <w:t>（一）油罐</w:t>
            </w:r>
          </w:p>
        </w:tc>
      </w:tr>
      <w:tr w14:paraId="17EA2E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7424B620">
            <w:pPr>
              <w:kinsoku w:val="0"/>
              <w:autoSpaceDE w:val="0"/>
              <w:autoSpaceDN w:val="0"/>
              <w:adjustRightInd w:val="0"/>
              <w:snapToGrid w:val="0"/>
              <w:spacing w:before="66" w:line="216" w:lineRule="auto"/>
              <w:ind w:left="8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6569" w:type="dxa"/>
            <w:vAlign w:val="top"/>
          </w:tcPr>
          <w:p w14:paraId="68317149">
            <w:pPr>
              <w:kinsoku w:val="0"/>
              <w:autoSpaceDE w:val="0"/>
              <w:autoSpaceDN w:val="0"/>
              <w:adjustRightInd w:val="0"/>
              <w:snapToGrid w:val="0"/>
              <w:spacing w:before="66" w:line="216" w:lineRule="auto"/>
              <w:ind w:left="292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546" w:type="dxa"/>
            <w:vAlign w:val="top"/>
          </w:tcPr>
          <w:p w14:paraId="0C75F834">
            <w:pPr>
              <w:kinsoku w:val="0"/>
              <w:autoSpaceDE w:val="0"/>
              <w:autoSpaceDN w:val="0"/>
              <w:adjustRightInd w:val="0"/>
              <w:snapToGrid w:val="0"/>
              <w:spacing w:before="66" w:line="216" w:lineRule="auto"/>
              <w:ind w:left="4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586" w:type="dxa"/>
            <w:tcBorders>
              <w:right w:val="single" w:color="000000" w:sz="10" w:space="0"/>
            </w:tcBorders>
            <w:vAlign w:val="top"/>
          </w:tcPr>
          <w:p w14:paraId="162ECFCE">
            <w:pPr>
              <w:kinsoku w:val="0"/>
              <w:autoSpaceDE w:val="0"/>
              <w:autoSpaceDN w:val="0"/>
              <w:adjustRightInd w:val="0"/>
              <w:snapToGrid w:val="0"/>
              <w:spacing w:before="66" w:line="216" w:lineRule="auto"/>
              <w:ind w:left="1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1FA7E5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63EB55C8">
            <w:pPr>
              <w:widowControl/>
              <w:kinsoku w:val="0"/>
              <w:autoSpaceDE w:val="0"/>
              <w:autoSpaceDN w:val="0"/>
              <w:adjustRightInd w:val="0"/>
              <w:snapToGrid w:val="0"/>
              <w:spacing w:before="216" w:line="188" w:lineRule="auto"/>
              <w:ind w:left="23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1</w:t>
            </w:r>
          </w:p>
        </w:tc>
        <w:tc>
          <w:tcPr>
            <w:tcW w:w="6569" w:type="dxa"/>
            <w:vAlign w:val="top"/>
          </w:tcPr>
          <w:p w14:paraId="132119FA">
            <w:pPr>
              <w:kinsoku w:val="0"/>
              <w:autoSpaceDE w:val="0"/>
              <w:autoSpaceDN w:val="0"/>
              <w:adjustRightInd w:val="0"/>
              <w:snapToGrid w:val="0"/>
              <w:spacing w:before="55" w:line="235" w:lineRule="auto"/>
              <w:ind w:firstLine="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除橇装式加油装置所配置的防火防爆油罐外，加油站的汽油罐和柴油罐应埋地设置，</w:t>
            </w:r>
            <w:r>
              <w:rPr>
                <w:rFonts w:ascii="宋体" w:hAnsi="宋体" w:eastAsia="宋体" w:cs="宋体"/>
                <w:snapToGrid w:val="0"/>
                <w:color w:val="000000"/>
                <w:spacing w:val="-2"/>
                <w:kern w:val="0"/>
                <w:sz w:val="18"/>
                <w:szCs w:val="18"/>
                <w:lang w:val="en-US" w:eastAsia="en-US" w:bidi="ar-SA"/>
              </w:rPr>
              <w:t>严禁设在室内或地不室内。</w:t>
            </w:r>
          </w:p>
        </w:tc>
        <w:tc>
          <w:tcPr>
            <w:tcW w:w="1546" w:type="dxa"/>
            <w:vAlign w:val="top"/>
          </w:tcPr>
          <w:p w14:paraId="3C1896E5">
            <w:pPr>
              <w:kinsoku w:val="0"/>
              <w:autoSpaceDE w:val="0"/>
              <w:autoSpaceDN w:val="0"/>
              <w:adjustRightInd w:val="0"/>
              <w:snapToGrid w:val="0"/>
              <w:spacing w:before="187" w:line="220" w:lineRule="auto"/>
              <w:ind w:left="24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油罐室外埋地</w:t>
            </w:r>
          </w:p>
        </w:tc>
        <w:tc>
          <w:tcPr>
            <w:tcW w:w="586" w:type="dxa"/>
            <w:tcBorders>
              <w:right w:val="single" w:color="000000" w:sz="10" w:space="0"/>
            </w:tcBorders>
            <w:vAlign w:val="top"/>
          </w:tcPr>
          <w:p w14:paraId="79D4E420">
            <w:pPr>
              <w:kinsoku w:val="0"/>
              <w:autoSpaceDE w:val="0"/>
              <w:autoSpaceDN w:val="0"/>
              <w:adjustRightInd w:val="0"/>
              <w:snapToGrid w:val="0"/>
              <w:spacing w:before="187"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3918C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432EB726">
            <w:pPr>
              <w:widowControl/>
              <w:kinsoku w:val="0"/>
              <w:autoSpaceDE w:val="0"/>
              <w:autoSpaceDN w:val="0"/>
              <w:adjustRightInd w:val="0"/>
              <w:snapToGrid w:val="0"/>
              <w:spacing w:before="97" w:line="188" w:lineRule="auto"/>
              <w:ind w:left="21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2</w:t>
            </w:r>
          </w:p>
        </w:tc>
        <w:tc>
          <w:tcPr>
            <w:tcW w:w="6569" w:type="dxa"/>
            <w:vAlign w:val="top"/>
          </w:tcPr>
          <w:p w14:paraId="4C099F56">
            <w:pPr>
              <w:kinsoku w:val="0"/>
              <w:autoSpaceDE w:val="0"/>
              <w:autoSpaceDN w:val="0"/>
              <w:adjustRightInd w:val="0"/>
              <w:snapToGrid w:val="0"/>
              <w:spacing w:before="68" w:line="214"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汽车加油站的储油罐应采用卧式油罐。</w:t>
            </w:r>
          </w:p>
        </w:tc>
        <w:tc>
          <w:tcPr>
            <w:tcW w:w="1546" w:type="dxa"/>
            <w:vAlign w:val="top"/>
          </w:tcPr>
          <w:p w14:paraId="457987DC">
            <w:pPr>
              <w:kinsoku w:val="0"/>
              <w:autoSpaceDE w:val="0"/>
              <w:autoSpaceDN w:val="0"/>
              <w:adjustRightInd w:val="0"/>
              <w:snapToGrid w:val="0"/>
              <w:spacing w:before="68" w:line="214" w:lineRule="auto"/>
              <w:ind w:left="2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采用卧式油罐</w:t>
            </w:r>
          </w:p>
        </w:tc>
        <w:tc>
          <w:tcPr>
            <w:tcW w:w="586" w:type="dxa"/>
            <w:tcBorders>
              <w:right w:val="single" w:color="000000" w:sz="10" w:space="0"/>
            </w:tcBorders>
            <w:vAlign w:val="top"/>
          </w:tcPr>
          <w:p w14:paraId="641EA4BC">
            <w:pPr>
              <w:kinsoku w:val="0"/>
              <w:autoSpaceDE w:val="0"/>
              <w:autoSpaceDN w:val="0"/>
              <w:adjustRightInd w:val="0"/>
              <w:snapToGrid w:val="0"/>
              <w:spacing w:before="68" w:line="214"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2D08D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 w:hRule="atLeast"/>
        </w:trPr>
        <w:tc>
          <w:tcPr>
            <w:tcW w:w="541" w:type="dxa"/>
            <w:tcBorders>
              <w:left w:val="single" w:color="000000" w:sz="10" w:space="0"/>
            </w:tcBorders>
            <w:vAlign w:val="top"/>
          </w:tcPr>
          <w:p w14:paraId="6DA115E1">
            <w:pPr>
              <w:widowControl/>
              <w:kinsoku w:val="0"/>
              <w:autoSpaceDE w:val="0"/>
              <w:autoSpaceDN w:val="0"/>
              <w:adjustRightInd w:val="0"/>
              <w:snapToGrid w:val="0"/>
              <w:spacing w:line="294" w:lineRule="auto"/>
              <w:jc w:val="left"/>
              <w:textAlignment w:val="baseline"/>
              <w:rPr>
                <w:rFonts w:ascii="Arial" w:hAnsi="Arial" w:eastAsia="Arial" w:cs="Arial"/>
                <w:snapToGrid w:val="0"/>
                <w:color w:val="000000"/>
                <w:kern w:val="0"/>
                <w:sz w:val="21"/>
                <w:lang w:eastAsia="en-US"/>
              </w:rPr>
            </w:pPr>
          </w:p>
          <w:p w14:paraId="77CB1D4A">
            <w:pPr>
              <w:widowControl/>
              <w:kinsoku w:val="0"/>
              <w:autoSpaceDE w:val="0"/>
              <w:autoSpaceDN w:val="0"/>
              <w:adjustRightInd w:val="0"/>
              <w:snapToGrid w:val="0"/>
              <w:spacing w:before="52" w:line="188" w:lineRule="auto"/>
              <w:ind w:left="2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3</w:t>
            </w:r>
          </w:p>
        </w:tc>
        <w:tc>
          <w:tcPr>
            <w:tcW w:w="6569" w:type="dxa"/>
            <w:vAlign w:val="top"/>
          </w:tcPr>
          <w:p w14:paraId="7AFF6B03">
            <w:pPr>
              <w:kinsoku w:val="0"/>
              <w:autoSpaceDE w:val="0"/>
              <w:autoSpaceDN w:val="0"/>
              <w:adjustRightInd w:val="0"/>
              <w:snapToGrid w:val="0"/>
              <w:spacing w:before="56" w:line="245" w:lineRule="auto"/>
              <w:ind w:left="6" w:hanging="7"/>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埋地油罐需要采用双层油罐时，可采用双层钢制油罐、双层玻璃纤维增强塑料油罐、</w:t>
            </w:r>
            <w:r>
              <w:rPr>
                <w:rFonts w:ascii="宋体" w:hAnsi="宋体" w:eastAsia="宋体" w:cs="宋体"/>
                <w:snapToGrid w:val="0"/>
                <w:color w:val="000000"/>
                <w:spacing w:val="-4"/>
                <w:kern w:val="0"/>
                <w:sz w:val="18"/>
                <w:szCs w:val="18"/>
                <w:lang w:val="en-US" w:eastAsia="en-US" w:bidi="ar-SA"/>
              </w:rPr>
              <w:t>内钢外玻璃纤维增强塑料双层油罐。既有加油站的埋地单层钢制油罐</w:t>
            </w:r>
            <w:r>
              <w:rPr>
                <w:rFonts w:ascii="宋体" w:hAnsi="宋体" w:eastAsia="宋体" w:cs="宋体"/>
                <w:snapToGrid w:val="0"/>
                <w:color w:val="000000"/>
                <w:spacing w:val="-5"/>
                <w:kern w:val="0"/>
                <w:sz w:val="18"/>
                <w:szCs w:val="18"/>
                <w:lang w:val="en-US" w:eastAsia="en-US" w:bidi="ar-SA"/>
              </w:rPr>
              <w:t>改造为双层油罐</w:t>
            </w:r>
            <w:r>
              <w:rPr>
                <w:rFonts w:ascii="宋体" w:hAnsi="宋体" w:eastAsia="宋体" w:cs="宋体"/>
                <w:snapToGrid w:val="0"/>
                <w:color w:val="000000"/>
                <w:spacing w:val="-2"/>
                <w:kern w:val="0"/>
                <w:sz w:val="18"/>
                <w:szCs w:val="18"/>
                <w:lang w:val="en-US" w:eastAsia="en-US" w:bidi="ar-SA"/>
              </w:rPr>
              <w:t>时，可采用玻璃纤维增强塑料等满足强度和防渗要求的材料进行衬里改造。</w:t>
            </w:r>
          </w:p>
        </w:tc>
        <w:tc>
          <w:tcPr>
            <w:tcW w:w="1546" w:type="dxa"/>
            <w:vAlign w:val="top"/>
          </w:tcPr>
          <w:p w14:paraId="2EC634C9">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2FE12AD5">
            <w:pPr>
              <w:kinsoku w:val="0"/>
              <w:autoSpaceDE w:val="0"/>
              <w:autoSpaceDN w:val="0"/>
              <w:adjustRightInd w:val="0"/>
              <w:snapToGrid w:val="0"/>
              <w:spacing w:before="59" w:line="220" w:lineRule="auto"/>
              <w:ind w:left="30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SF</w:t>
            </w:r>
            <w:r>
              <w:rPr>
                <w:rFonts w:ascii="宋体" w:hAnsi="宋体" w:eastAsia="宋体" w:cs="宋体"/>
                <w:snapToGrid w:val="0"/>
                <w:color w:val="000000"/>
                <w:spacing w:val="-2"/>
                <w:kern w:val="0"/>
                <w:sz w:val="18"/>
                <w:szCs w:val="18"/>
                <w:lang w:val="en-US" w:eastAsia="en-US" w:bidi="ar-SA"/>
              </w:rPr>
              <w:t>双层油罐</w:t>
            </w:r>
          </w:p>
        </w:tc>
        <w:tc>
          <w:tcPr>
            <w:tcW w:w="586" w:type="dxa"/>
            <w:tcBorders>
              <w:right w:val="single" w:color="000000" w:sz="10" w:space="0"/>
            </w:tcBorders>
            <w:vAlign w:val="top"/>
          </w:tcPr>
          <w:p w14:paraId="13B7747A">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6A3098E5">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32DC6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2" w:hRule="atLeast"/>
        </w:trPr>
        <w:tc>
          <w:tcPr>
            <w:tcW w:w="541" w:type="dxa"/>
            <w:tcBorders>
              <w:left w:val="single" w:color="000000" w:sz="10" w:space="0"/>
            </w:tcBorders>
            <w:vAlign w:val="top"/>
          </w:tcPr>
          <w:p w14:paraId="022A464D">
            <w:pPr>
              <w:widowControl/>
              <w:kinsoku w:val="0"/>
              <w:autoSpaceDE w:val="0"/>
              <w:autoSpaceDN w:val="0"/>
              <w:adjustRightInd w:val="0"/>
              <w:snapToGrid w:val="0"/>
              <w:spacing w:line="342" w:lineRule="auto"/>
              <w:jc w:val="left"/>
              <w:textAlignment w:val="baseline"/>
              <w:rPr>
                <w:rFonts w:ascii="Arial" w:hAnsi="Arial" w:eastAsia="Arial" w:cs="Arial"/>
                <w:snapToGrid w:val="0"/>
                <w:color w:val="000000"/>
                <w:kern w:val="0"/>
                <w:sz w:val="21"/>
                <w:lang w:eastAsia="en-US"/>
              </w:rPr>
            </w:pPr>
          </w:p>
          <w:p w14:paraId="799C67D9">
            <w:pPr>
              <w:widowControl/>
              <w:kinsoku w:val="0"/>
              <w:autoSpaceDE w:val="0"/>
              <w:autoSpaceDN w:val="0"/>
              <w:adjustRightInd w:val="0"/>
              <w:snapToGrid w:val="0"/>
              <w:spacing w:line="342" w:lineRule="auto"/>
              <w:jc w:val="left"/>
              <w:textAlignment w:val="baseline"/>
              <w:rPr>
                <w:rFonts w:ascii="Arial" w:hAnsi="Arial" w:eastAsia="Arial" w:cs="Arial"/>
                <w:snapToGrid w:val="0"/>
                <w:color w:val="000000"/>
                <w:kern w:val="0"/>
                <w:sz w:val="21"/>
                <w:lang w:eastAsia="en-US"/>
              </w:rPr>
            </w:pPr>
          </w:p>
          <w:p w14:paraId="3F0ADDDE">
            <w:pPr>
              <w:widowControl/>
              <w:kinsoku w:val="0"/>
              <w:autoSpaceDE w:val="0"/>
              <w:autoSpaceDN w:val="0"/>
              <w:adjustRightInd w:val="0"/>
              <w:snapToGrid w:val="0"/>
              <w:spacing w:before="52" w:line="188" w:lineRule="auto"/>
              <w:ind w:left="216"/>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4</w:t>
            </w:r>
          </w:p>
        </w:tc>
        <w:tc>
          <w:tcPr>
            <w:tcW w:w="6569" w:type="dxa"/>
            <w:vAlign w:val="top"/>
          </w:tcPr>
          <w:p w14:paraId="5C0052F8">
            <w:pPr>
              <w:kinsoku w:val="0"/>
              <w:autoSpaceDE w:val="0"/>
              <w:autoSpaceDN w:val="0"/>
              <w:adjustRightInd w:val="0"/>
              <w:snapToGrid w:val="0"/>
              <w:spacing w:before="61" w:line="259" w:lineRule="auto"/>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单层钢制油罐、双层钢制油罐和内钢外玻璃纤维增强塑料双层油罐的内层罐的罐体结</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构设计，可按现行行业标准《钢制常压储罐第一部分：储</w:t>
            </w:r>
            <w:r>
              <w:rPr>
                <w:rFonts w:ascii="宋体" w:hAnsi="宋体" w:eastAsia="宋体" w:cs="宋体"/>
                <w:snapToGrid w:val="0"/>
                <w:color w:val="000000"/>
                <w:spacing w:val="-1"/>
                <w:kern w:val="0"/>
                <w:sz w:val="18"/>
                <w:szCs w:val="18"/>
                <w:lang w:val="en-US" w:eastAsia="en-US" w:bidi="ar-SA"/>
              </w:rPr>
              <w:t>存对水有污染的易燃和不</w:t>
            </w:r>
            <w:r>
              <w:rPr>
                <w:rFonts w:ascii="宋体" w:hAnsi="宋体" w:eastAsia="宋体" w:cs="宋体"/>
                <w:snapToGrid w:val="0"/>
                <w:color w:val="000000"/>
                <w:spacing w:val="-3"/>
                <w:kern w:val="0"/>
                <w:sz w:val="18"/>
                <w:szCs w:val="18"/>
                <w:lang w:val="en-US" w:eastAsia="en-US" w:bidi="ar-SA"/>
              </w:rPr>
              <w:t>易燃液体的埋地卧式圆筒形单层和双层储罐》</w:t>
            </w:r>
            <w:r>
              <w:rPr>
                <w:rFonts w:ascii="Times New Roman" w:hAnsi="Times New Roman" w:eastAsia="Times New Roman" w:cs="Times New Roman"/>
                <w:snapToGrid w:val="0"/>
                <w:color w:val="000000"/>
                <w:spacing w:val="-3"/>
                <w:kern w:val="0"/>
                <w:sz w:val="18"/>
                <w:szCs w:val="18"/>
                <w:lang w:val="en-US" w:eastAsia="en-US" w:bidi="ar-SA"/>
              </w:rPr>
              <w:t>AQ3020</w:t>
            </w:r>
            <w:r>
              <w:rPr>
                <w:rFonts w:hint="eastAsia" w:ascii="Times New Roman" w:hAnsi="Times New Roman" w:eastAsia="宋体" w:cs="Times New Roman"/>
                <w:snapToGrid w:val="0"/>
                <w:color w:val="000000"/>
                <w:spacing w:val="-3"/>
                <w:kern w:val="0"/>
                <w:sz w:val="18"/>
                <w:szCs w:val="18"/>
                <w:lang w:val="en-US" w:eastAsia="zh-CN" w:bidi="ar-SA"/>
              </w:rPr>
              <w:t>-2008</w:t>
            </w:r>
            <w:r>
              <w:rPr>
                <w:rFonts w:ascii="宋体" w:hAnsi="宋体" w:eastAsia="宋体" w:cs="宋体"/>
                <w:snapToGrid w:val="0"/>
                <w:color w:val="000000"/>
                <w:spacing w:val="-3"/>
                <w:kern w:val="0"/>
                <w:sz w:val="18"/>
                <w:szCs w:val="18"/>
                <w:lang w:val="en-US" w:eastAsia="en-US" w:bidi="ar-SA"/>
              </w:rPr>
              <w:t>的有关规定执行，并应符合下列规定。</w:t>
            </w:r>
          </w:p>
          <w:p w14:paraId="739339A2">
            <w:pPr>
              <w:kinsoku w:val="0"/>
              <w:autoSpaceDE w:val="0"/>
              <w:autoSpaceDN w:val="0"/>
              <w:adjustRightInd w:val="0"/>
              <w:snapToGrid w:val="0"/>
              <w:spacing w:before="29" w:line="219" w:lineRule="auto"/>
              <w:ind w:left="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1  </w:t>
            </w:r>
            <w:r>
              <w:rPr>
                <w:rFonts w:ascii="宋体" w:hAnsi="宋体" w:eastAsia="宋体" w:cs="宋体"/>
                <w:snapToGrid w:val="0"/>
                <w:color w:val="000000"/>
                <w:spacing w:val="-1"/>
                <w:kern w:val="0"/>
                <w:sz w:val="18"/>
                <w:szCs w:val="18"/>
                <w:lang w:val="en-US" w:eastAsia="en-US" w:bidi="ar-SA"/>
              </w:rPr>
              <w:t>钢制油罐的罐体和封头所用的钢板的厚度，不应小于表</w:t>
            </w:r>
            <w:r>
              <w:rPr>
                <w:rFonts w:ascii="Times New Roman" w:hAnsi="Times New Roman" w:eastAsia="Times New Roman" w:cs="Times New Roman"/>
                <w:snapToGrid w:val="0"/>
                <w:color w:val="000000"/>
                <w:spacing w:val="-1"/>
                <w:kern w:val="0"/>
                <w:sz w:val="18"/>
                <w:szCs w:val="18"/>
                <w:lang w:val="en-US" w:eastAsia="en-US" w:bidi="ar-SA"/>
              </w:rPr>
              <w:t>6</w:t>
            </w:r>
            <w:r>
              <w:rPr>
                <w:rFonts w:ascii="Times New Roman" w:hAnsi="Times New Roman" w:eastAsia="Times New Roman" w:cs="Times New Roman"/>
                <w:snapToGrid w:val="0"/>
                <w:color w:val="000000"/>
                <w:spacing w:val="-2"/>
                <w:kern w:val="0"/>
                <w:sz w:val="18"/>
                <w:szCs w:val="18"/>
                <w:lang w:val="en-US" w:eastAsia="en-US" w:bidi="ar-SA"/>
              </w:rPr>
              <w:t>.1.4</w:t>
            </w:r>
            <w:r>
              <w:rPr>
                <w:rFonts w:ascii="宋体" w:hAnsi="宋体" w:eastAsia="宋体" w:cs="宋体"/>
                <w:snapToGrid w:val="0"/>
                <w:color w:val="000000"/>
                <w:spacing w:val="-2"/>
                <w:kern w:val="0"/>
                <w:sz w:val="18"/>
                <w:szCs w:val="18"/>
                <w:lang w:val="en-US" w:eastAsia="en-US" w:bidi="ar-SA"/>
              </w:rPr>
              <w:t>的规定。</w:t>
            </w:r>
          </w:p>
          <w:p w14:paraId="79BE8790">
            <w:pPr>
              <w:kinsoku w:val="0"/>
              <w:autoSpaceDE w:val="0"/>
              <w:autoSpaceDN w:val="0"/>
              <w:adjustRightInd w:val="0"/>
              <w:snapToGrid w:val="0"/>
              <w:spacing w:before="45" w:line="197"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2  </w:t>
            </w:r>
            <w:r>
              <w:rPr>
                <w:rFonts w:ascii="宋体" w:hAnsi="宋体" w:eastAsia="宋体" w:cs="宋体"/>
                <w:snapToGrid w:val="0"/>
                <w:color w:val="000000"/>
                <w:spacing w:val="-1"/>
                <w:kern w:val="0"/>
                <w:sz w:val="18"/>
                <w:szCs w:val="18"/>
                <w:lang w:val="en-US" w:eastAsia="en-US" w:bidi="ar-SA"/>
              </w:rPr>
              <w:t>钢制油罐的设计内压不应低于</w:t>
            </w:r>
            <w:r>
              <w:rPr>
                <w:rFonts w:ascii="Times New Roman" w:hAnsi="Times New Roman" w:eastAsia="Times New Roman" w:cs="Times New Roman"/>
                <w:snapToGrid w:val="0"/>
                <w:color w:val="000000"/>
                <w:spacing w:val="-1"/>
                <w:kern w:val="0"/>
                <w:sz w:val="18"/>
                <w:szCs w:val="18"/>
                <w:lang w:val="en-US" w:eastAsia="en-US" w:bidi="ar-SA"/>
              </w:rPr>
              <w:t>0.08MPa</w:t>
            </w:r>
            <w:r>
              <w:rPr>
                <w:rFonts w:ascii="宋体" w:hAnsi="宋体" w:eastAsia="宋体" w:cs="宋体"/>
                <w:snapToGrid w:val="0"/>
                <w:color w:val="000000"/>
                <w:spacing w:val="-1"/>
                <w:kern w:val="0"/>
                <w:sz w:val="18"/>
                <w:szCs w:val="18"/>
                <w:lang w:val="en-US" w:eastAsia="en-US" w:bidi="ar-SA"/>
              </w:rPr>
              <w:t>。</w:t>
            </w:r>
          </w:p>
        </w:tc>
        <w:tc>
          <w:tcPr>
            <w:tcW w:w="1546" w:type="dxa"/>
            <w:vAlign w:val="top"/>
          </w:tcPr>
          <w:p w14:paraId="1B65F401">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5690F27E">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380633E7">
            <w:pPr>
              <w:kinsoku w:val="0"/>
              <w:autoSpaceDE w:val="0"/>
              <w:autoSpaceDN w:val="0"/>
              <w:adjustRightInd w:val="0"/>
              <w:snapToGrid w:val="0"/>
              <w:spacing w:before="59" w:line="255" w:lineRule="auto"/>
              <w:ind w:left="529" w:right="41" w:hanging="46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选用符合标准要求</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的油罐</w:t>
            </w:r>
          </w:p>
        </w:tc>
        <w:tc>
          <w:tcPr>
            <w:tcW w:w="586" w:type="dxa"/>
            <w:tcBorders>
              <w:right w:val="single" w:color="000000" w:sz="10" w:space="0"/>
            </w:tcBorders>
            <w:vAlign w:val="top"/>
          </w:tcPr>
          <w:p w14:paraId="17DA9652">
            <w:pPr>
              <w:widowControl/>
              <w:kinsoku w:val="0"/>
              <w:autoSpaceDE w:val="0"/>
              <w:autoSpaceDN w:val="0"/>
              <w:adjustRightInd w:val="0"/>
              <w:snapToGrid w:val="0"/>
              <w:spacing w:line="323" w:lineRule="auto"/>
              <w:jc w:val="left"/>
              <w:textAlignment w:val="baseline"/>
              <w:rPr>
                <w:rFonts w:ascii="Arial" w:hAnsi="Arial" w:eastAsia="Arial" w:cs="Arial"/>
                <w:snapToGrid w:val="0"/>
                <w:color w:val="000000"/>
                <w:kern w:val="0"/>
                <w:sz w:val="21"/>
                <w:lang w:eastAsia="en-US"/>
              </w:rPr>
            </w:pPr>
          </w:p>
          <w:p w14:paraId="73855D4F">
            <w:pPr>
              <w:widowControl/>
              <w:kinsoku w:val="0"/>
              <w:autoSpaceDE w:val="0"/>
              <w:autoSpaceDN w:val="0"/>
              <w:adjustRightInd w:val="0"/>
              <w:snapToGrid w:val="0"/>
              <w:spacing w:line="323" w:lineRule="auto"/>
              <w:jc w:val="left"/>
              <w:textAlignment w:val="baseline"/>
              <w:rPr>
                <w:rFonts w:ascii="Arial" w:hAnsi="Arial" w:eastAsia="Arial" w:cs="Arial"/>
                <w:snapToGrid w:val="0"/>
                <w:color w:val="000000"/>
                <w:kern w:val="0"/>
                <w:sz w:val="21"/>
                <w:lang w:eastAsia="en-US"/>
              </w:rPr>
            </w:pPr>
          </w:p>
          <w:p w14:paraId="545398D0">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5993E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541" w:type="dxa"/>
            <w:tcBorders>
              <w:left w:val="single" w:color="000000" w:sz="10" w:space="0"/>
            </w:tcBorders>
            <w:vAlign w:val="top"/>
          </w:tcPr>
          <w:p w14:paraId="167D3D46">
            <w:pPr>
              <w:widowControl/>
              <w:kinsoku w:val="0"/>
              <w:autoSpaceDE w:val="0"/>
              <w:autoSpaceDN w:val="0"/>
              <w:adjustRightInd w:val="0"/>
              <w:snapToGrid w:val="0"/>
              <w:spacing w:line="432" w:lineRule="auto"/>
              <w:jc w:val="left"/>
              <w:textAlignment w:val="baseline"/>
              <w:rPr>
                <w:rFonts w:ascii="Arial" w:hAnsi="Arial" w:eastAsia="Arial" w:cs="Arial"/>
                <w:snapToGrid w:val="0"/>
                <w:color w:val="000000"/>
                <w:kern w:val="0"/>
                <w:sz w:val="21"/>
                <w:lang w:eastAsia="en-US"/>
              </w:rPr>
            </w:pPr>
          </w:p>
          <w:p w14:paraId="06A53F94">
            <w:pPr>
              <w:widowControl/>
              <w:kinsoku w:val="0"/>
              <w:autoSpaceDE w:val="0"/>
              <w:autoSpaceDN w:val="0"/>
              <w:adjustRightInd w:val="0"/>
              <w:snapToGrid w:val="0"/>
              <w:spacing w:before="51" w:line="185" w:lineRule="auto"/>
              <w:ind w:left="222"/>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5</w:t>
            </w:r>
          </w:p>
        </w:tc>
        <w:tc>
          <w:tcPr>
            <w:tcW w:w="6569" w:type="dxa"/>
            <w:vAlign w:val="top"/>
          </w:tcPr>
          <w:p w14:paraId="4006F6E7">
            <w:pPr>
              <w:kinsoku w:val="0"/>
              <w:autoSpaceDE w:val="0"/>
              <w:autoSpaceDN w:val="0"/>
              <w:adjustRightInd w:val="0"/>
              <w:snapToGrid w:val="0"/>
              <w:spacing w:before="65" w:line="248" w:lineRule="auto"/>
              <w:ind w:firstLine="90"/>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选用的双层玻璃纤维增强塑料油罐应符合现行行业标准《加油站</w:t>
            </w:r>
            <w:r>
              <w:rPr>
                <w:rFonts w:ascii="宋体" w:hAnsi="宋体" w:eastAsia="宋体" w:cs="宋体"/>
                <w:snapToGrid w:val="0"/>
                <w:color w:val="000000"/>
                <w:spacing w:val="-1"/>
                <w:kern w:val="0"/>
                <w:sz w:val="18"/>
                <w:szCs w:val="18"/>
                <w:lang w:val="en-US" w:eastAsia="en-US" w:bidi="ar-SA"/>
              </w:rPr>
              <w:t>用埋地玻璃纤维增</w:t>
            </w:r>
            <w:r>
              <w:rPr>
                <w:rFonts w:ascii="宋体" w:hAnsi="宋体" w:eastAsia="宋体" w:cs="宋体"/>
                <w:snapToGrid w:val="0"/>
                <w:color w:val="000000"/>
                <w:kern w:val="0"/>
                <w:sz w:val="18"/>
                <w:szCs w:val="18"/>
                <w:lang w:val="en-US" w:eastAsia="en-US" w:bidi="ar-SA"/>
              </w:rPr>
              <w:t xml:space="preserve"> 强塑料双层油罐工程技术规范》</w:t>
            </w:r>
            <w:r>
              <w:rPr>
                <w:rFonts w:ascii="Times New Roman" w:hAnsi="Times New Roman" w:eastAsia="Times New Roman" w:cs="Times New Roman"/>
                <w:snapToGrid w:val="0"/>
                <w:color w:val="000000"/>
                <w:kern w:val="0"/>
                <w:sz w:val="18"/>
                <w:szCs w:val="18"/>
                <w:lang w:val="en-US" w:eastAsia="en-US" w:bidi="ar-SA"/>
              </w:rPr>
              <w:t>SH/T3177</w:t>
            </w:r>
            <w:r>
              <w:rPr>
                <w:rFonts w:ascii="宋体" w:hAnsi="宋体" w:eastAsia="宋体" w:cs="宋体"/>
                <w:snapToGrid w:val="0"/>
                <w:color w:val="000000"/>
                <w:kern w:val="0"/>
                <w:sz w:val="18"/>
                <w:szCs w:val="18"/>
                <w:lang w:val="en-US" w:eastAsia="en-US" w:bidi="ar-SA"/>
              </w:rPr>
              <w:t>的有关规定；选用的钢</w:t>
            </w:r>
            <w:r>
              <w:rPr>
                <w:rFonts w:ascii="Times New Roman" w:hAnsi="Times New Roman" w:eastAsia="Times New Roman" w:cs="Times New Roman"/>
                <w:snapToGrid w:val="0"/>
                <w:color w:val="000000"/>
                <w:kern w:val="0"/>
                <w:sz w:val="18"/>
                <w:szCs w:val="18"/>
                <w:lang w:val="en-US" w:eastAsia="en-US" w:bidi="ar-SA"/>
              </w:rPr>
              <w:t>-</w:t>
            </w:r>
            <w:r>
              <w:rPr>
                <w:rFonts w:ascii="宋体" w:hAnsi="宋体" w:eastAsia="宋体" w:cs="宋体"/>
                <w:snapToGrid w:val="0"/>
                <w:color w:val="000000"/>
                <w:spacing w:val="-1"/>
                <w:kern w:val="0"/>
                <w:sz w:val="18"/>
                <w:szCs w:val="18"/>
                <w:lang w:val="en-US" w:eastAsia="en-US" w:bidi="ar-SA"/>
              </w:rPr>
              <w:t>玻璃纤维增强塑料</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双层油罐应符合现行行业标准《加油站用埋地钢</w:t>
            </w:r>
            <w:r>
              <w:rPr>
                <w:rFonts w:ascii="Times New Roman" w:hAnsi="Times New Roman" w:eastAsia="Times New Roman" w:cs="Times New Roman"/>
                <w:snapToGrid w:val="0"/>
                <w:color w:val="000000"/>
                <w:spacing w:val="1"/>
                <w:kern w:val="0"/>
                <w:sz w:val="18"/>
                <w:szCs w:val="18"/>
                <w:lang w:val="en-US" w:eastAsia="en-US" w:bidi="ar-SA"/>
              </w:rPr>
              <w:t>-</w:t>
            </w:r>
            <w:r>
              <w:rPr>
                <w:rFonts w:ascii="宋体" w:hAnsi="宋体" w:eastAsia="宋体" w:cs="宋体"/>
                <w:snapToGrid w:val="0"/>
                <w:color w:val="000000"/>
                <w:spacing w:val="1"/>
                <w:kern w:val="0"/>
                <w:sz w:val="18"/>
                <w:szCs w:val="18"/>
                <w:lang w:val="en-US" w:eastAsia="en-US" w:bidi="ar-SA"/>
              </w:rPr>
              <w:t>玻</w:t>
            </w:r>
            <w:r>
              <w:rPr>
                <w:rFonts w:ascii="宋体" w:hAnsi="宋体" w:eastAsia="宋体" w:cs="宋体"/>
                <w:snapToGrid w:val="0"/>
                <w:color w:val="000000"/>
                <w:kern w:val="0"/>
                <w:sz w:val="18"/>
                <w:szCs w:val="18"/>
                <w:lang w:val="en-US" w:eastAsia="en-US" w:bidi="ar-SA"/>
              </w:rPr>
              <w:t xml:space="preserve">璃纤维增强塑料双层油罐工程技 </w:t>
            </w:r>
            <w:r>
              <w:rPr>
                <w:rFonts w:ascii="宋体" w:hAnsi="宋体" w:eastAsia="宋体" w:cs="宋体"/>
                <w:snapToGrid w:val="0"/>
                <w:color w:val="000000"/>
                <w:spacing w:val="-1"/>
                <w:kern w:val="0"/>
                <w:sz w:val="18"/>
                <w:szCs w:val="18"/>
                <w:lang w:val="en-US" w:eastAsia="en-US" w:bidi="ar-SA"/>
              </w:rPr>
              <w:t>术规范》</w:t>
            </w:r>
            <w:r>
              <w:rPr>
                <w:rFonts w:ascii="Times New Roman" w:hAnsi="Times New Roman" w:eastAsia="Times New Roman" w:cs="Times New Roman"/>
                <w:snapToGrid w:val="0"/>
                <w:color w:val="000000"/>
                <w:spacing w:val="-1"/>
                <w:kern w:val="0"/>
                <w:sz w:val="18"/>
                <w:szCs w:val="18"/>
                <w:lang w:val="en-US" w:eastAsia="en-US" w:bidi="ar-SA"/>
              </w:rPr>
              <w:t>SH/T 3178</w:t>
            </w:r>
            <w:r>
              <w:rPr>
                <w:rFonts w:ascii="宋体" w:hAnsi="宋体" w:eastAsia="宋体" w:cs="宋体"/>
                <w:snapToGrid w:val="0"/>
                <w:color w:val="000000"/>
                <w:spacing w:val="-1"/>
                <w:kern w:val="0"/>
                <w:sz w:val="18"/>
                <w:szCs w:val="18"/>
                <w:lang w:val="en-US" w:eastAsia="en-US" w:bidi="ar-SA"/>
              </w:rPr>
              <w:t>的有关规定。</w:t>
            </w:r>
          </w:p>
        </w:tc>
        <w:tc>
          <w:tcPr>
            <w:tcW w:w="1546" w:type="dxa"/>
            <w:vAlign w:val="top"/>
          </w:tcPr>
          <w:p w14:paraId="65D6D0EC">
            <w:pPr>
              <w:widowControl/>
              <w:kinsoku w:val="0"/>
              <w:autoSpaceDE w:val="0"/>
              <w:autoSpaceDN w:val="0"/>
              <w:adjustRightInd w:val="0"/>
              <w:snapToGrid w:val="0"/>
              <w:spacing w:line="391" w:lineRule="auto"/>
              <w:jc w:val="left"/>
              <w:textAlignment w:val="baseline"/>
              <w:rPr>
                <w:rFonts w:ascii="Arial" w:hAnsi="Arial" w:eastAsia="Arial" w:cs="Arial"/>
                <w:snapToGrid w:val="0"/>
                <w:color w:val="000000"/>
                <w:kern w:val="0"/>
                <w:sz w:val="21"/>
                <w:lang w:eastAsia="en-US"/>
              </w:rPr>
            </w:pPr>
          </w:p>
          <w:p w14:paraId="7881F9B1">
            <w:pPr>
              <w:kinsoku w:val="0"/>
              <w:autoSpaceDE w:val="0"/>
              <w:autoSpaceDN w:val="0"/>
              <w:adjustRightInd w:val="0"/>
              <w:snapToGrid w:val="0"/>
              <w:spacing w:before="59" w:line="220" w:lineRule="auto"/>
              <w:ind w:left="24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符合标准要求</w:t>
            </w:r>
          </w:p>
        </w:tc>
        <w:tc>
          <w:tcPr>
            <w:tcW w:w="586" w:type="dxa"/>
            <w:tcBorders>
              <w:right w:val="single" w:color="000000" w:sz="10" w:space="0"/>
            </w:tcBorders>
            <w:vAlign w:val="top"/>
          </w:tcPr>
          <w:p w14:paraId="0472628C">
            <w:pPr>
              <w:widowControl/>
              <w:kinsoku w:val="0"/>
              <w:autoSpaceDE w:val="0"/>
              <w:autoSpaceDN w:val="0"/>
              <w:adjustRightInd w:val="0"/>
              <w:snapToGrid w:val="0"/>
              <w:spacing w:line="391" w:lineRule="auto"/>
              <w:jc w:val="left"/>
              <w:textAlignment w:val="baseline"/>
              <w:rPr>
                <w:rFonts w:ascii="Arial" w:hAnsi="Arial" w:eastAsia="Arial" w:cs="Arial"/>
                <w:snapToGrid w:val="0"/>
                <w:color w:val="000000"/>
                <w:kern w:val="0"/>
                <w:sz w:val="21"/>
                <w:lang w:eastAsia="en-US"/>
              </w:rPr>
            </w:pPr>
          </w:p>
          <w:p w14:paraId="565F42B8">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969EF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3C5425B1">
            <w:pPr>
              <w:widowControl/>
              <w:kinsoku w:val="0"/>
              <w:autoSpaceDE w:val="0"/>
              <w:autoSpaceDN w:val="0"/>
              <w:adjustRightInd w:val="0"/>
              <w:snapToGrid w:val="0"/>
              <w:spacing w:before="225" w:line="188" w:lineRule="auto"/>
              <w:ind w:left="2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6</w:t>
            </w:r>
          </w:p>
        </w:tc>
        <w:tc>
          <w:tcPr>
            <w:tcW w:w="6569" w:type="dxa"/>
            <w:vAlign w:val="top"/>
          </w:tcPr>
          <w:p w14:paraId="423AF0F9">
            <w:pPr>
              <w:kinsoku w:val="0"/>
              <w:autoSpaceDE w:val="0"/>
              <w:autoSpaceDN w:val="0"/>
              <w:adjustRightInd w:val="0"/>
              <w:snapToGrid w:val="0"/>
              <w:spacing w:before="65" w:line="230"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加油站在役油罐进行加内衬防渗漏改造时，应符合现国家标准《加油站在役油罐防渗</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漏改造工程技术标准》</w:t>
            </w:r>
            <w:r>
              <w:rPr>
                <w:rFonts w:ascii="Times New Roman" w:hAnsi="Times New Roman" w:eastAsia="Times New Roman" w:cs="Times New Roman"/>
                <w:snapToGrid w:val="0"/>
                <w:color w:val="000000"/>
                <w:spacing w:val="-1"/>
                <w:kern w:val="0"/>
                <w:sz w:val="18"/>
                <w:szCs w:val="18"/>
                <w:lang w:val="en-US" w:eastAsia="en-US" w:bidi="ar-SA"/>
              </w:rPr>
              <w:t>GB/T 51344</w:t>
            </w:r>
            <w:r>
              <w:rPr>
                <w:rFonts w:ascii="宋体" w:hAnsi="宋体" w:eastAsia="宋体" w:cs="宋体"/>
                <w:snapToGrid w:val="0"/>
                <w:color w:val="000000"/>
                <w:spacing w:val="-1"/>
                <w:kern w:val="0"/>
                <w:sz w:val="18"/>
                <w:szCs w:val="18"/>
                <w:lang w:val="en-US" w:eastAsia="en-US" w:bidi="ar-SA"/>
              </w:rPr>
              <w:t>的有关规定。</w:t>
            </w:r>
          </w:p>
        </w:tc>
        <w:tc>
          <w:tcPr>
            <w:tcW w:w="1546" w:type="dxa"/>
            <w:vAlign w:val="top"/>
          </w:tcPr>
          <w:p w14:paraId="05B373DD">
            <w:pPr>
              <w:widowControl/>
              <w:kinsoku w:val="0"/>
              <w:autoSpaceDE w:val="0"/>
              <w:autoSpaceDN w:val="0"/>
              <w:adjustRightInd w:val="0"/>
              <w:snapToGrid w:val="0"/>
              <w:spacing w:before="167" w:line="237" w:lineRule="exact"/>
              <w:ind w:left="75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c>
          <w:tcPr>
            <w:tcW w:w="586" w:type="dxa"/>
            <w:tcBorders>
              <w:right w:val="single" w:color="000000" w:sz="10" w:space="0"/>
            </w:tcBorders>
            <w:vAlign w:val="top"/>
          </w:tcPr>
          <w:p w14:paraId="31F64D33">
            <w:pPr>
              <w:widowControl/>
              <w:kinsoku w:val="0"/>
              <w:autoSpaceDE w:val="0"/>
              <w:autoSpaceDN w:val="0"/>
              <w:adjustRightInd w:val="0"/>
              <w:snapToGrid w:val="0"/>
              <w:spacing w:before="167" w:line="237" w:lineRule="exact"/>
              <w:ind w:left="2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r>
      <w:tr w14:paraId="57707D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21" w:hRule="atLeast"/>
        </w:trPr>
        <w:tc>
          <w:tcPr>
            <w:tcW w:w="541" w:type="dxa"/>
            <w:tcBorders>
              <w:left w:val="single" w:color="000000" w:sz="10" w:space="0"/>
            </w:tcBorders>
            <w:vAlign w:val="top"/>
          </w:tcPr>
          <w:p w14:paraId="00672B80">
            <w:pPr>
              <w:widowControl/>
              <w:kinsoku w:val="0"/>
              <w:autoSpaceDE w:val="0"/>
              <w:autoSpaceDN w:val="0"/>
              <w:adjustRightInd w:val="0"/>
              <w:snapToGrid w:val="0"/>
              <w:spacing w:line="274" w:lineRule="auto"/>
              <w:jc w:val="left"/>
              <w:textAlignment w:val="baseline"/>
              <w:rPr>
                <w:rFonts w:ascii="Arial" w:hAnsi="Arial" w:eastAsia="Arial" w:cs="Arial"/>
                <w:snapToGrid w:val="0"/>
                <w:color w:val="000000"/>
                <w:kern w:val="0"/>
                <w:sz w:val="21"/>
                <w:lang w:eastAsia="en-US"/>
              </w:rPr>
            </w:pPr>
          </w:p>
          <w:p w14:paraId="57C36274">
            <w:pPr>
              <w:widowControl/>
              <w:kinsoku w:val="0"/>
              <w:autoSpaceDE w:val="0"/>
              <w:autoSpaceDN w:val="0"/>
              <w:adjustRightInd w:val="0"/>
              <w:snapToGrid w:val="0"/>
              <w:spacing w:line="274" w:lineRule="auto"/>
              <w:jc w:val="left"/>
              <w:textAlignment w:val="baseline"/>
              <w:rPr>
                <w:rFonts w:ascii="Arial" w:hAnsi="Arial" w:eastAsia="Arial" w:cs="Arial"/>
                <w:snapToGrid w:val="0"/>
                <w:color w:val="000000"/>
                <w:kern w:val="0"/>
                <w:sz w:val="21"/>
                <w:lang w:eastAsia="en-US"/>
              </w:rPr>
            </w:pPr>
          </w:p>
          <w:p w14:paraId="6F4AB0D6">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1C16BA8F">
            <w:pPr>
              <w:widowControl/>
              <w:kinsoku w:val="0"/>
              <w:autoSpaceDE w:val="0"/>
              <w:autoSpaceDN w:val="0"/>
              <w:adjustRightInd w:val="0"/>
              <w:snapToGrid w:val="0"/>
              <w:spacing w:before="51" w:line="185" w:lineRule="auto"/>
              <w:ind w:left="220"/>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7</w:t>
            </w:r>
          </w:p>
        </w:tc>
        <w:tc>
          <w:tcPr>
            <w:tcW w:w="6569" w:type="dxa"/>
            <w:vAlign w:val="top"/>
          </w:tcPr>
          <w:p w14:paraId="0C769162">
            <w:pPr>
              <w:kinsoku w:val="0"/>
              <w:autoSpaceDE w:val="0"/>
              <w:autoSpaceDN w:val="0"/>
              <w:adjustRightInd w:val="0"/>
              <w:snapToGrid w:val="0"/>
              <w:spacing w:before="64" w:line="260" w:lineRule="auto"/>
              <w:ind w:firstLine="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3"/>
                <w:kern w:val="0"/>
                <w:sz w:val="18"/>
                <w:szCs w:val="18"/>
                <w:lang w:val="en-US" w:eastAsia="en-US" w:bidi="ar-SA"/>
              </w:rPr>
              <w:t>与罐内油</w:t>
            </w:r>
            <w:r>
              <w:rPr>
                <w:rFonts w:ascii="宋体" w:hAnsi="宋体" w:eastAsia="宋体" w:cs="宋体"/>
                <w:snapToGrid w:val="0"/>
                <w:color w:val="000000"/>
                <w:spacing w:val="-12"/>
                <w:kern w:val="0"/>
                <w:sz w:val="18"/>
                <w:szCs w:val="18"/>
                <w:lang w:val="en-US" w:eastAsia="en-US" w:bidi="ar-SA"/>
              </w:rPr>
              <w:t>品直接接触的玻璃纤维增强塑料等非金属层，应满足消除油品静电荷的要求，</w:t>
            </w:r>
            <w:r>
              <w:rPr>
                <w:rFonts w:ascii="宋体" w:hAnsi="宋体" w:eastAsia="宋体" w:cs="宋体"/>
                <w:snapToGrid w:val="0"/>
                <w:color w:val="000000"/>
                <w:spacing w:val="-8"/>
                <w:kern w:val="0"/>
                <w:sz w:val="18"/>
                <w:szCs w:val="18"/>
                <w:lang w:val="en-US" w:eastAsia="en-US" w:bidi="ar-SA"/>
              </w:rPr>
              <w:t>其</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11"/>
                <w:kern w:val="0"/>
                <w:sz w:val="18"/>
                <w:szCs w:val="18"/>
                <w:lang w:val="en-US" w:eastAsia="en-US" w:bidi="ar-SA"/>
              </w:rPr>
              <w:t>表面电阻率应小于</w:t>
            </w:r>
            <w:r>
              <w:rPr>
                <w:rFonts w:ascii="Times New Roman" w:hAnsi="Times New Roman" w:eastAsia="Times New Roman" w:cs="Times New Roman"/>
                <w:snapToGrid w:val="0"/>
                <w:color w:val="000000"/>
                <w:spacing w:val="-11"/>
                <w:kern w:val="0"/>
                <w:sz w:val="18"/>
                <w:szCs w:val="18"/>
                <w:lang w:val="en-US" w:eastAsia="en-US" w:bidi="ar-SA"/>
              </w:rPr>
              <w:t>10</w:t>
            </w:r>
            <w:r>
              <w:rPr>
                <w:rFonts w:ascii="Times New Roman" w:hAnsi="Times New Roman" w:eastAsia="Times New Roman" w:cs="Times New Roman"/>
                <w:snapToGrid w:val="0"/>
                <w:color w:val="000000"/>
                <w:spacing w:val="-11"/>
                <w:kern w:val="0"/>
                <w:position w:val="5"/>
                <w:sz w:val="11"/>
                <w:szCs w:val="11"/>
                <w:lang w:val="en-US" w:eastAsia="en-US" w:bidi="ar-SA"/>
              </w:rPr>
              <w:t>9</w:t>
            </w:r>
            <w:r>
              <w:rPr>
                <w:rFonts w:ascii="Times New Roman" w:hAnsi="Times New Roman" w:eastAsia="Times New Roman" w:cs="Times New Roman"/>
                <w:snapToGrid w:val="0"/>
                <w:color w:val="000000"/>
                <w:spacing w:val="-11"/>
                <w:kern w:val="0"/>
                <w:sz w:val="18"/>
                <w:szCs w:val="18"/>
                <w:lang w:val="en-US" w:eastAsia="en-US" w:bidi="ar-SA"/>
              </w:rPr>
              <w:t>Ω</w:t>
            </w:r>
            <w:r>
              <w:rPr>
                <w:rFonts w:ascii="宋体" w:hAnsi="宋体" w:eastAsia="宋体" w:cs="宋体"/>
                <w:snapToGrid w:val="0"/>
                <w:color w:val="000000"/>
                <w:spacing w:val="-13"/>
                <w:kern w:val="0"/>
                <w:sz w:val="18"/>
                <w:szCs w:val="18"/>
                <w:lang w:val="en-US" w:eastAsia="en-US" w:bidi="ar-SA"/>
              </w:rPr>
              <w:t>;</w:t>
            </w:r>
            <w:r>
              <w:rPr>
                <w:rFonts w:ascii="宋体" w:hAnsi="宋体" w:eastAsia="宋体" w:cs="宋体"/>
                <w:snapToGrid w:val="0"/>
                <w:color w:val="000000"/>
                <w:spacing w:val="60"/>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当表面电阻率无法满足小于</w:t>
            </w:r>
            <w:r>
              <w:rPr>
                <w:rFonts w:ascii="Times New Roman" w:hAnsi="Times New Roman" w:eastAsia="Times New Roman" w:cs="Times New Roman"/>
                <w:snapToGrid w:val="0"/>
                <w:color w:val="000000"/>
                <w:spacing w:val="-13"/>
                <w:kern w:val="0"/>
                <w:sz w:val="18"/>
                <w:szCs w:val="18"/>
                <w:lang w:val="en-US" w:eastAsia="en-US" w:bidi="ar-SA"/>
              </w:rPr>
              <w:t>10</w:t>
            </w:r>
            <w:r>
              <w:rPr>
                <w:rFonts w:ascii="Times New Roman" w:hAnsi="Times New Roman" w:eastAsia="Times New Roman" w:cs="Times New Roman"/>
                <w:snapToGrid w:val="0"/>
                <w:color w:val="000000"/>
                <w:spacing w:val="-13"/>
                <w:kern w:val="0"/>
                <w:position w:val="5"/>
                <w:sz w:val="11"/>
                <w:szCs w:val="11"/>
                <w:lang w:val="en-US" w:eastAsia="en-US" w:bidi="ar-SA"/>
              </w:rPr>
              <w:t>9</w:t>
            </w:r>
            <w:r>
              <w:rPr>
                <w:rFonts w:ascii="Times New Roman" w:hAnsi="Times New Roman" w:eastAsia="Times New Roman" w:cs="Times New Roman"/>
                <w:snapToGrid w:val="0"/>
                <w:color w:val="000000"/>
                <w:spacing w:val="-13"/>
                <w:kern w:val="0"/>
                <w:sz w:val="18"/>
                <w:szCs w:val="18"/>
                <w:lang w:val="en-US" w:eastAsia="en-US" w:bidi="ar-SA"/>
              </w:rPr>
              <w:t>Ω</w:t>
            </w:r>
            <w:r>
              <w:rPr>
                <w:rFonts w:ascii="宋体" w:hAnsi="宋体" w:eastAsia="宋体" w:cs="宋体"/>
                <w:snapToGrid w:val="0"/>
                <w:color w:val="000000"/>
                <w:spacing w:val="-13"/>
                <w:kern w:val="0"/>
                <w:sz w:val="18"/>
                <w:szCs w:val="18"/>
                <w:lang w:val="en-US" w:eastAsia="en-US" w:bidi="ar-SA"/>
              </w:rPr>
              <w:t>的要求时，应在罐内安装能够消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除油品静电电荷的物体。消除油品静电电荷的物体可为浸入油品中的钢板，也可为钢制的</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进油立管、出油管等金属物，表面积之和不应小于下式的计算值。</w:t>
            </w:r>
          </w:p>
          <w:p w14:paraId="19BEEDB8">
            <w:pPr>
              <w:kinsoku w:val="0"/>
              <w:autoSpaceDE w:val="0"/>
              <w:autoSpaceDN w:val="0"/>
              <w:adjustRightInd w:val="0"/>
              <w:snapToGrid w:val="0"/>
              <w:spacing w:line="282" w:lineRule="exact"/>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position w:val="2"/>
                <w:sz w:val="18"/>
                <w:szCs w:val="18"/>
                <w:lang w:val="en-US" w:eastAsia="en-US" w:bidi="ar-SA"/>
              </w:rPr>
              <w:t xml:space="preserve">A=0.04Vt        </w:t>
            </w:r>
            <w:r>
              <w:rPr>
                <w:rFonts w:ascii="宋体" w:hAnsi="宋体" w:eastAsia="宋体" w:cs="宋体"/>
                <w:snapToGrid w:val="0"/>
                <w:color w:val="000000"/>
                <w:spacing w:val="-2"/>
                <w:kern w:val="0"/>
                <w:position w:val="2"/>
                <w:sz w:val="18"/>
                <w:szCs w:val="18"/>
                <w:lang w:val="en-US" w:eastAsia="en-US" w:bidi="ar-SA"/>
              </w:rPr>
              <w:t>（</w:t>
            </w:r>
            <w:r>
              <w:rPr>
                <w:rFonts w:ascii="Times New Roman" w:hAnsi="Times New Roman" w:eastAsia="Times New Roman" w:cs="Times New Roman"/>
                <w:snapToGrid w:val="0"/>
                <w:color w:val="000000"/>
                <w:spacing w:val="-2"/>
                <w:kern w:val="0"/>
                <w:position w:val="2"/>
                <w:sz w:val="18"/>
                <w:szCs w:val="18"/>
                <w:lang w:val="en-US" w:eastAsia="en-US" w:bidi="ar-SA"/>
              </w:rPr>
              <w:t>6.</w:t>
            </w:r>
            <w:r>
              <w:rPr>
                <w:rFonts w:ascii="Times New Roman" w:hAnsi="Times New Roman" w:eastAsia="Times New Roman" w:cs="Times New Roman"/>
                <w:snapToGrid w:val="0"/>
                <w:color w:val="000000"/>
                <w:spacing w:val="-8"/>
                <w:kern w:val="0"/>
                <w:position w:val="2"/>
                <w:sz w:val="18"/>
                <w:szCs w:val="18"/>
                <w:lang w:val="en-US" w:eastAsia="en-US" w:bidi="ar-SA"/>
              </w:rPr>
              <w:t xml:space="preserve"> </w:t>
            </w:r>
            <w:r>
              <w:rPr>
                <w:rFonts w:ascii="Times New Roman" w:hAnsi="Times New Roman" w:eastAsia="Times New Roman" w:cs="Times New Roman"/>
                <w:snapToGrid w:val="0"/>
                <w:color w:val="000000"/>
                <w:spacing w:val="-2"/>
                <w:kern w:val="0"/>
                <w:position w:val="2"/>
                <w:sz w:val="18"/>
                <w:szCs w:val="18"/>
                <w:lang w:val="en-US" w:eastAsia="en-US" w:bidi="ar-SA"/>
              </w:rPr>
              <w:t>1.7</w:t>
            </w:r>
            <w:r>
              <w:rPr>
                <w:rFonts w:ascii="宋体" w:hAnsi="宋体" w:eastAsia="宋体" w:cs="宋体"/>
                <w:snapToGrid w:val="0"/>
                <w:color w:val="000000"/>
                <w:spacing w:val="-2"/>
                <w:kern w:val="0"/>
                <w:position w:val="2"/>
                <w:sz w:val="18"/>
                <w:szCs w:val="18"/>
                <w:lang w:val="en-US" w:eastAsia="en-US" w:bidi="ar-SA"/>
              </w:rPr>
              <w:t>）</w:t>
            </w:r>
          </w:p>
          <w:p w14:paraId="7965D6AF">
            <w:pPr>
              <w:kinsoku w:val="0"/>
              <w:autoSpaceDE w:val="0"/>
              <w:autoSpaceDN w:val="0"/>
              <w:adjustRightInd w:val="0"/>
              <w:snapToGrid w:val="0"/>
              <w:spacing w:before="5" w:line="228" w:lineRule="auto"/>
              <w:ind w:right="2331" w:firstLine="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式中：</w:t>
            </w:r>
            <w:r>
              <w:rPr>
                <w:rFonts w:ascii="Times New Roman" w:hAnsi="Times New Roman" w:eastAsia="Times New Roman" w:cs="Times New Roman"/>
                <w:snapToGrid w:val="0"/>
                <w:color w:val="000000"/>
                <w:spacing w:val="-1"/>
                <w:kern w:val="0"/>
                <w:sz w:val="18"/>
                <w:szCs w:val="18"/>
                <w:lang w:val="en-US" w:eastAsia="en-US" w:bidi="ar-SA"/>
              </w:rPr>
              <w:t>A——</w:t>
            </w:r>
            <w:r>
              <w:rPr>
                <w:rFonts w:ascii="宋体" w:hAnsi="宋体" w:eastAsia="宋体" w:cs="宋体"/>
                <w:snapToGrid w:val="0"/>
                <w:color w:val="000000"/>
                <w:spacing w:val="-1"/>
                <w:kern w:val="0"/>
                <w:sz w:val="18"/>
                <w:szCs w:val="18"/>
                <w:lang w:val="en-US" w:eastAsia="en-US" w:bidi="ar-SA"/>
              </w:rPr>
              <w:t>浸入油品中的金属物表面积之和（</w:t>
            </w:r>
            <w:r>
              <w:rPr>
                <w:rFonts w:ascii="Times New Roman" w:hAnsi="Times New Roman" w:eastAsia="Times New Roman" w:cs="Times New Roman"/>
                <w:snapToGrid w:val="0"/>
                <w:color w:val="000000"/>
                <w:spacing w:val="-1"/>
                <w:kern w:val="0"/>
                <w:sz w:val="18"/>
                <w:szCs w:val="18"/>
                <w:lang w:val="en-US" w:eastAsia="en-US" w:bidi="ar-SA"/>
              </w:rPr>
              <w:t>m</w:t>
            </w:r>
            <w:r>
              <w:rPr>
                <w:rFonts w:ascii="Times New Roman" w:hAnsi="Times New Roman" w:eastAsia="Times New Roman" w:cs="Times New Roman"/>
                <w:snapToGrid w:val="0"/>
                <w:color w:val="000000"/>
                <w:spacing w:val="-1"/>
                <w:kern w:val="0"/>
                <w:position w:val="6"/>
                <w:sz w:val="11"/>
                <w:szCs w:val="11"/>
                <w:lang w:val="en-US" w:eastAsia="en-US" w:bidi="ar-SA"/>
              </w:rPr>
              <w:t xml:space="preserve">2 </w:t>
            </w:r>
            <w:r>
              <w:rPr>
                <w:rFonts w:ascii="宋体" w:hAnsi="宋体" w:eastAsia="宋体" w:cs="宋体"/>
                <w:snapToGrid w:val="0"/>
                <w:color w:val="000000"/>
                <w:spacing w:val="-33"/>
                <w:kern w:val="0"/>
                <w:sz w:val="18"/>
                <w:szCs w:val="18"/>
                <w:lang w:val="en-US" w:eastAsia="en-US" w:bidi="ar-SA"/>
              </w:rPr>
              <w:t>）；</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Vt——</w:t>
            </w:r>
            <w:r>
              <w:rPr>
                <w:rFonts w:ascii="宋体" w:hAnsi="宋体" w:eastAsia="宋体" w:cs="宋体"/>
                <w:snapToGrid w:val="0"/>
                <w:color w:val="000000"/>
                <w:spacing w:val="-1"/>
                <w:kern w:val="0"/>
                <w:sz w:val="18"/>
                <w:szCs w:val="18"/>
                <w:lang w:val="en-US" w:eastAsia="en-US" w:bidi="ar-SA"/>
              </w:rPr>
              <w:t>储罐容积（</w:t>
            </w:r>
            <w:r>
              <w:rPr>
                <w:rFonts w:ascii="Times New Roman" w:hAnsi="Times New Roman" w:eastAsia="Times New Roman" w:cs="Times New Roman"/>
                <w:snapToGrid w:val="0"/>
                <w:color w:val="000000"/>
                <w:spacing w:val="-1"/>
                <w:kern w:val="0"/>
                <w:sz w:val="18"/>
                <w:szCs w:val="18"/>
                <w:lang w:val="en-US" w:eastAsia="en-US" w:bidi="ar-SA"/>
              </w:rPr>
              <w:t>m</w:t>
            </w:r>
            <w:r>
              <w:rPr>
                <w:rFonts w:ascii="Times New Roman" w:hAnsi="Times New Roman" w:eastAsia="Times New Roman" w:cs="Times New Roman"/>
                <w:snapToGrid w:val="0"/>
                <w:color w:val="000000"/>
                <w:spacing w:val="-1"/>
                <w:kern w:val="0"/>
                <w:position w:val="5"/>
                <w:sz w:val="11"/>
                <w:szCs w:val="11"/>
                <w:lang w:val="en-US" w:eastAsia="en-US" w:bidi="ar-SA"/>
              </w:rPr>
              <w:t>3</w:t>
            </w:r>
            <w:r>
              <w:rPr>
                <w:rFonts w:ascii="宋体" w:hAnsi="宋体" w:eastAsia="宋体" w:cs="宋体"/>
                <w:snapToGrid w:val="0"/>
                <w:color w:val="000000"/>
                <w:spacing w:val="-1"/>
                <w:kern w:val="0"/>
                <w:sz w:val="18"/>
                <w:szCs w:val="18"/>
                <w:lang w:val="en-US" w:eastAsia="en-US" w:bidi="ar-SA"/>
              </w:rPr>
              <w:t>）</w:t>
            </w:r>
          </w:p>
        </w:tc>
        <w:tc>
          <w:tcPr>
            <w:tcW w:w="1546" w:type="dxa"/>
            <w:vAlign w:val="top"/>
          </w:tcPr>
          <w:p w14:paraId="1D328E47">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0AA245C4">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0628B0EF">
            <w:pPr>
              <w:widowControl/>
              <w:kinsoku w:val="0"/>
              <w:autoSpaceDE w:val="0"/>
              <w:autoSpaceDN w:val="0"/>
              <w:adjustRightInd w:val="0"/>
              <w:snapToGrid w:val="0"/>
              <w:spacing w:line="255" w:lineRule="auto"/>
              <w:jc w:val="left"/>
              <w:textAlignment w:val="baseline"/>
              <w:rPr>
                <w:rFonts w:ascii="Arial" w:hAnsi="Arial" w:eastAsia="Arial" w:cs="Arial"/>
                <w:snapToGrid w:val="0"/>
                <w:color w:val="000000"/>
                <w:kern w:val="0"/>
                <w:sz w:val="21"/>
                <w:lang w:eastAsia="en-US"/>
              </w:rPr>
            </w:pPr>
          </w:p>
          <w:p w14:paraId="5CEFE3A3">
            <w:pPr>
              <w:widowControl/>
              <w:kinsoku w:val="0"/>
              <w:autoSpaceDE w:val="0"/>
              <w:autoSpaceDN w:val="0"/>
              <w:adjustRightInd w:val="0"/>
              <w:snapToGrid w:val="0"/>
              <w:spacing w:before="52" w:line="236" w:lineRule="exact"/>
              <w:ind w:left="75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c>
          <w:tcPr>
            <w:tcW w:w="586" w:type="dxa"/>
            <w:tcBorders>
              <w:right w:val="single" w:color="000000" w:sz="10" w:space="0"/>
            </w:tcBorders>
            <w:vAlign w:val="top"/>
          </w:tcPr>
          <w:p w14:paraId="22C65A97">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59E3E921">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4D1339D8">
            <w:pPr>
              <w:widowControl/>
              <w:kinsoku w:val="0"/>
              <w:autoSpaceDE w:val="0"/>
              <w:autoSpaceDN w:val="0"/>
              <w:adjustRightInd w:val="0"/>
              <w:snapToGrid w:val="0"/>
              <w:spacing w:line="255" w:lineRule="auto"/>
              <w:jc w:val="left"/>
              <w:textAlignment w:val="baseline"/>
              <w:rPr>
                <w:rFonts w:ascii="Arial" w:hAnsi="Arial" w:eastAsia="Arial" w:cs="Arial"/>
                <w:snapToGrid w:val="0"/>
                <w:color w:val="000000"/>
                <w:kern w:val="0"/>
                <w:sz w:val="21"/>
                <w:lang w:eastAsia="en-US"/>
              </w:rPr>
            </w:pPr>
          </w:p>
          <w:p w14:paraId="3B75D570">
            <w:pPr>
              <w:widowControl/>
              <w:kinsoku w:val="0"/>
              <w:autoSpaceDE w:val="0"/>
              <w:autoSpaceDN w:val="0"/>
              <w:adjustRightInd w:val="0"/>
              <w:snapToGrid w:val="0"/>
              <w:spacing w:before="52" w:line="236" w:lineRule="exact"/>
              <w:ind w:left="26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r>
      <w:tr w14:paraId="324373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72111DCF">
            <w:pPr>
              <w:widowControl/>
              <w:kinsoku w:val="0"/>
              <w:autoSpaceDE w:val="0"/>
              <w:autoSpaceDN w:val="0"/>
              <w:adjustRightInd w:val="0"/>
              <w:snapToGrid w:val="0"/>
              <w:spacing w:before="112" w:line="188" w:lineRule="auto"/>
              <w:ind w:left="22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8</w:t>
            </w:r>
          </w:p>
        </w:tc>
        <w:tc>
          <w:tcPr>
            <w:tcW w:w="6569" w:type="dxa"/>
            <w:vAlign w:val="top"/>
          </w:tcPr>
          <w:p w14:paraId="05B1BED9">
            <w:pPr>
              <w:kinsoku w:val="0"/>
              <w:autoSpaceDE w:val="0"/>
              <w:autoSpaceDN w:val="0"/>
              <w:adjustRightInd w:val="0"/>
              <w:snapToGrid w:val="0"/>
              <w:spacing w:before="81" w:line="201"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安装在罐内的静电消除物体应接地，接地电阻应符合本标准第</w:t>
            </w:r>
            <w:r>
              <w:rPr>
                <w:rFonts w:ascii="Times New Roman" w:hAnsi="Times New Roman" w:eastAsia="Times New Roman" w:cs="Times New Roman"/>
                <w:snapToGrid w:val="0"/>
                <w:color w:val="000000"/>
                <w:kern w:val="0"/>
                <w:sz w:val="18"/>
                <w:szCs w:val="18"/>
                <w:lang w:val="en-US" w:eastAsia="en-US" w:bidi="ar-SA"/>
              </w:rPr>
              <w:t>1</w:t>
            </w:r>
            <w:r>
              <w:rPr>
                <w:rFonts w:ascii="Times New Roman" w:hAnsi="Times New Roman" w:eastAsia="Times New Roman" w:cs="Times New Roman"/>
                <w:snapToGrid w:val="0"/>
                <w:color w:val="000000"/>
                <w:spacing w:val="-1"/>
                <w:kern w:val="0"/>
                <w:sz w:val="18"/>
                <w:szCs w:val="18"/>
                <w:lang w:val="en-US" w:eastAsia="en-US" w:bidi="ar-SA"/>
              </w:rPr>
              <w:t>1.2</w:t>
            </w:r>
            <w:r>
              <w:rPr>
                <w:rFonts w:ascii="宋体" w:hAnsi="宋体" w:eastAsia="宋体" w:cs="宋体"/>
                <w:snapToGrid w:val="0"/>
                <w:color w:val="000000"/>
                <w:spacing w:val="-1"/>
                <w:kern w:val="0"/>
                <w:sz w:val="18"/>
                <w:szCs w:val="18"/>
                <w:lang w:val="en-US" w:eastAsia="en-US" w:bidi="ar-SA"/>
              </w:rPr>
              <w:t>节的有关规定。</w:t>
            </w:r>
          </w:p>
        </w:tc>
        <w:tc>
          <w:tcPr>
            <w:tcW w:w="1546" w:type="dxa"/>
            <w:vAlign w:val="top"/>
          </w:tcPr>
          <w:p w14:paraId="4DD6EAC0">
            <w:pPr>
              <w:kinsoku w:val="0"/>
              <w:autoSpaceDE w:val="0"/>
              <w:autoSpaceDN w:val="0"/>
              <w:adjustRightInd w:val="0"/>
              <w:snapToGrid w:val="0"/>
              <w:spacing w:before="81" w:line="201" w:lineRule="auto"/>
              <w:ind w:left="42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符合要求</w:t>
            </w:r>
          </w:p>
        </w:tc>
        <w:tc>
          <w:tcPr>
            <w:tcW w:w="586" w:type="dxa"/>
            <w:tcBorders>
              <w:right w:val="single" w:color="000000" w:sz="10" w:space="0"/>
            </w:tcBorders>
            <w:vAlign w:val="top"/>
          </w:tcPr>
          <w:p w14:paraId="668E475E">
            <w:pPr>
              <w:kinsoku w:val="0"/>
              <w:autoSpaceDE w:val="0"/>
              <w:autoSpaceDN w:val="0"/>
              <w:adjustRightInd w:val="0"/>
              <w:snapToGrid w:val="0"/>
              <w:spacing w:before="81" w:line="201"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9ABBD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37D8F015">
            <w:pPr>
              <w:widowControl/>
              <w:kinsoku w:val="0"/>
              <w:autoSpaceDE w:val="0"/>
              <w:autoSpaceDN w:val="0"/>
              <w:adjustRightInd w:val="0"/>
              <w:snapToGrid w:val="0"/>
              <w:spacing w:before="230" w:line="188" w:lineRule="auto"/>
              <w:ind w:left="2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9</w:t>
            </w:r>
          </w:p>
        </w:tc>
        <w:tc>
          <w:tcPr>
            <w:tcW w:w="6569" w:type="dxa"/>
            <w:vAlign w:val="top"/>
          </w:tcPr>
          <w:p w14:paraId="6DFFEC41">
            <w:pPr>
              <w:kinsoku w:val="0"/>
              <w:autoSpaceDE w:val="0"/>
              <w:autoSpaceDN w:val="0"/>
              <w:adjustRightInd w:val="0"/>
              <w:snapToGrid w:val="0"/>
              <w:spacing w:before="201" w:line="220"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双层油罐内壁与外壁之间应有满足渗漏检测要求的贯通间隙。</w:t>
            </w:r>
          </w:p>
        </w:tc>
        <w:tc>
          <w:tcPr>
            <w:tcW w:w="1546" w:type="dxa"/>
            <w:vAlign w:val="top"/>
          </w:tcPr>
          <w:p w14:paraId="0BBB4B5C">
            <w:pPr>
              <w:kinsoku w:val="0"/>
              <w:autoSpaceDE w:val="0"/>
              <w:autoSpaceDN w:val="0"/>
              <w:adjustRightInd w:val="0"/>
              <w:snapToGrid w:val="0"/>
              <w:spacing w:before="71" w:line="227" w:lineRule="auto"/>
              <w:ind w:left="247" w:right="41" w:hanging="18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有满足渗漏检测要</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求的贯通间隙</w:t>
            </w:r>
          </w:p>
        </w:tc>
        <w:tc>
          <w:tcPr>
            <w:tcW w:w="586" w:type="dxa"/>
            <w:tcBorders>
              <w:right w:val="single" w:color="000000" w:sz="10" w:space="0"/>
            </w:tcBorders>
            <w:vAlign w:val="top"/>
          </w:tcPr>
          <w:p w14:paraId="691426FA">
            <w:pPr>
              <w:kinsoku w:val="0"/>
              <w:autoSpaceDE w:val="0"/>
              <w:autoSpaceDN w:val="0"/>
              <w:adjustRightInd w:val="0"/>
              <w:snapToGrid w:val="0"/>
              <w:spacing w:before="201"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C69F5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21" w:hRule="atLeast"/>
        </w:trPr>
        <w:tc>
          <w:tcPr>
            <w:tcW w:w="541" w:type="dxa"/>
            <w:tcBorders>
              <w:left w:val="single" w:color="000000" w:sz="10" w:space="0"/>
            </w:tcBorders>
            <w:vAlign w:val="top"/>
          </w:tcPr>
          <w:p w14:paraId="67720A69">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48C352F2">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46F992C0">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6EC3BB5B">
            <w:pPr>
              <w:widowControl/>
              <w:kinsoku w:val="0"/>
              <w:autoSpaceDE w:val="0"/>
              <w:autoSpaceDN w:val="0"/>
              <w:adjustRightInd w:val="0"/>
              <w:snapToGrid w:val="0"/>
              <w:spacing w:before="52"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10</w:t>
            </w:r>
          </w:p>
        </w:tc>
        <w:tc>
          <w:tcPr>
            <w:tcW w:w="6569" w:type="dxa"/>
            <w:vAlign w:val="top"/>
          </w:tcPr>
          <w:p w14:paraId="6F77EBF9">
            <w:pPr>
              <w:kinsoku w:val="0"/>
              <w:autoSpaceDE w:val="0"/>
              <w:autoSpaceDN w:val="0"/>
              <w:adjustRightInd w:val="0"/>
              <w:snapToGrid w:val="0"/>
              <w:spacing w:before="70" w:line="255"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双层钢制油罐、内钢外玻璃纤维增强塑料双层油罐和玻璃纤维增强塑料等非金属防渗</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衬里的双层油罐，应设渗漏检测立管，并应符合下列规定：</w:t>
            </w:r>
          </w:p>
          <w:p w14:paraId="6AAACBF3">
            <w:pPr>
              <w:kinsoku w:val="0"/>
              <w:autoSpaceDE w:val="0"/>
              <w:autoSpaceDN w:val="0"/>
              <w:adjustRightInd w:val="0"/>
              <w:snapToGrid w:val="0"/>
              <w:spacing w:before="24" w:line="219" w:lineRule="auto"/>
              <w:ind w:left="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1  </w:t>
            </w:r>
            <w:r>
              <w:rPr>
                <w:rFonts w:ascii="宋体" w:hAnsi="宋体" w:eastAsia="宋体" w:cs="宋体"/>
                <w:snapToGrid w:val="0"/>
                <w:color w:val="000000"/>
                <w:spacing w:val="-1"/>
                <w:kern w:val="0"/>
                <w:sz w:val="18"/>
                <w:szCs w:val="18"/>
                <w:lang w:val="en-US" w:eastAsia="en-US" w:bidi="ar-SA"/>
              </w:rPr>
              <w:t>检测立管应采用钢管，直径宜为</w:t>
            </w:r>
            <w:r>
              <w:rPr>
                <w:rFonts w:ascii="Times New Roman" w:hAnsi="Times New Roman" w:eastAsia="Times New Roman" w:cs="Times New Roman"/>
                <w:snapToGrid w:val="0"/>
                <w:color w:val="000000"/>
                <w:spacing w:val="-1"/>
                <w:kern w:val="0"/>
                <w:sz w:val="18"/>
                <w:szCs w:val="18"/>
                <w:lang w:val="en-US" w:eastAsia="en-US" w:bidi="ar-SA"/>
              </w:rPr>
              <w:t>80</w:t>
            </w:r>
            <w:r>
              <w:rPr>
                <w:rFonts w:ascii="Times New Roman" w:hAnsi="Times New Roman" w:eastAsia="Times New Roman" w:cs="Times New Roman"/>
                <w:snapToGrid w:val="0"/>
                <w:color w:val="000000"/>
                <w:spacing w:val="-2"/>
                <w:kern w:val="0"/>
                <w:sz w:val="18"/>
                <w:szCs w:val="18"/>
                <w:lang w:val="en-US" w:eastAsia="en-US" w:bidi="ar-SA"/>
              </w:rPr>
              <w:t>mm</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，壁厚不宜小于</w:t>
            </w:r>
            <w:r>
              <w:rPr>
                <w:rFonts w:ascii="Times New Roman" w:hAnsi="Times New Roman" w:eastAsia="Times New Roman" w:cs="Times New Roman"/>
                <w:snapToGrid w:val="0"/>
                <w:color w:val="000000"/>
                <w:spacing w:val="-2"/>
                <w:kern w:val="0"/>
                <w:sz w:val="18"/>
                <w:szCs w:val="18"/>
                <w:lang w:val="en-US" w:eastAsia="en-US" w:bidi="ar-SA"/>
              </w:rPr>
              <w:t>4mm</w:t>
            </w:r>
            <w:r>
              <w:rPr>
                <w:rFonts w:ascii="宋体" w:hAnsi="宋体" w:eastAsia="宋体" w:cs="宋体"/>
                <w:snapToGrid w:val="0"/>
                <w:color w:val="000000"/>
                <w:spacing w:val="-2"/>
                <w:kern w:val="0"/>
                <w:sz w:val="18"/>
                <w:szCs w:val="18"/>
                <w:lang w:val="en-US" w:eastAsia="en-US" w:bidi="ar-SA"/>
              </w:rPr>
              <w:t>；</w:t>
            </w:r>
          </w:p>
          <w:p w14:paraId="128C9D4D">
            <w:pPr>
              <w:kinsoku w:val="0"/>
              <w:autoSpaceDE w:val="0"/>
              <w:autoSpaceDN w:val="0"/>
              <w:adjustRightInd w:val="0"/>
              <w:snapToGrid w:val="0"/>
              <w:spacing w:before="45" w:line="220"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2  </w:t>
            </w:r>
            <w:r>
              <w:rPr>
                <w:rFonts w:ascii="宋体" w:hAnsi="宋体" w:eastAsia="宋体" w:cs="宋体"/>
                <w:snapToGrid w:val="0"/>
                <w:color w:val="000000"/>
                <w:spacing w:val="-1"/>
                <w:kern w:val="0"/>
                <w:sz w:val="18"/>
                <w:szCs w:val="18"/>
                <w:lang w:val="en-US" w:eastAsia="en-US" w:bidi="ar-SA"/>
              </w:rPr>
              <w:t>检测立管应位于油罐顶部的纵向中心线上；</w:t>
            </w:r>
          </w:p>
          <w:p w14:paraId="1E77C52B">
            <w:pPr>
              <w:kinsoku w:val="0"/>
              <w:autoSpaceDE w:val="0"/>
              <w:autoSpaceDN w:val="0"/>
              <w:adjustRightInd w:val="0"/>
              <w:snapToGrid w:val="0"/>
              <w:spacing w:before="47" w:line="220"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kern w:val="0"/>
                <w:sz w:val="18"/>
                <w:szCs w:val="18"/>
                <w:lang w:val="en-US" w:eastAsia="en-US" w:bidi="ar-SA"/>
              </w:rPr>
              <w:t xml:space="preserve">3  </w:t>
            </w:r>
            <w:r>
              <w:rPr>
                <w:rFonts w:ascii="宋体" w:hAnsi="宋体" w:eastAsia="宋体" w:cs="宋体"/>
                <w:snapToGrid w:val="0"/>
                <w:color w:val="000000"/>
                <w:kern w:val="0"/>
                <w:sz w:val="18"/>
                <w:szCs w:val="18"/>
                <w:lang w:val="en-US" w:eastAsia="en-US" w:bidi="ar-SA"/>
              </w:rPr>
              <w:t>检测立管的底部管口应与油罐内、外壁间隙相连通</w:t>
            </w:r>
            <w:r>
              <w:rPr>
                <w:rFonts w:ascii="宋体" w:hAnsi="宋体" w:eastAsia="宋体" w:cs="宋体"/>
                <w:snapToGrid w:val="0"/>
                <w:color w:val="000000"/>
                <w:spacing w:val="-1"/>
                <w:kern w:val="0"/>
                <w:sz w:val="18"/>
                <w:szCs w:val="18"/>
                <w:lang w:val="en-US" w:eastAsia="en-US" w:bidi="ar-SA"/>
              </w:rPr>
              <w:t>，顶部管口应装防尘盖；</w:t>
            </w:r>
          </w:p>
          <w:p w14:paraId="5B3A97B7">
            <w:pPr>
              <w:kinsoku w:val="0"/>
              <w:autoSpaceDE w:val="0"/>
              <w:autoSpaceDN w:val="0"/>
              <w:adjustRightInd w:val="0"/>
              <w:snapToGrid w:val="0"/>
              <w:spacing w:before="44" w:line="225" w:lineRule="auto"/>
              <w:ind w:left="4" w:hanging="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4  </w:t>
            </w:r>
            <w:r>
              <w:rPr>
                <w:rFonts w:ascii="宋体" w:hAnsi="宋体" w:eastAsia="宋体" w:cs="宋体"/>
                <w:snapToGrid w:val="0"/>
                <w:color w:val="000000"/>
                <w:spacing w:val="-2"/>
                <w:kern w:val="0"/>
                <w:sz w:val="18"/>
                <w:szCs w:val="18"/>
                <w:lang w:val="en-US" w:eastAsia="en-US" w:bidi="ar-SA"/>
              </w:rPr>
              <w:t>检测立管应满足人工检测和在线监测的</w:t>
            </w:r>
            <w:r>
              <w:rPr>
                <w:rFonts w:ascii="宋体" w:hAnsi="宋体" w:eastAsia="宋体" w:cs="宋体"/>
                <w:snapToGrid w:val="0"/>
                <w:color w:val="000000"/>
                <w:spacing w:val="-3"/>
                <w:kern w:val="0"/>
                <w:sz w:val="18"/>
                <w:szCs w:val="18"/>
                <w:lang w:val="en-US" w:eastAsia="en-US" w:bidi="ar-SA"/>
              </w:rPr>
              <w:t>要求，并应保证油罐内、外壁任何部位出现</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渗漏均能被发现。</w:t>
            </w:r>
          </w:p>
        </w:tc>
        <w:tc>
          <w:tcPr>
            <w:tcW w:w="1546" w:type="dxa"/>
            <w:vAlign w:val="top"/>
          </w:tcPr>
          <w:p w14:paraId="264EF50D">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21ABA1D7">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07CC5CAF">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4BD7EA1D">
            <w:pPr>
              <w:kinsoku w:val="0"/>
              <w:autoSpaceDE w:val="0"/>
              <w:autoSpaceDN w:val="0"/>
              <w:adjustRightInd w:val="0"/>
              <w:snapToGrid w:val="0"/>
              <w:spacing w:before="59" w:line="220" w:lineRule="auto"/>
              <w:ind w:left="42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符合要求</w:t>
            </w:r>
          </w:p>
        </w:tc>
        <w:tc>
          <w:tcPr>
            <w:tcW w:w="586" w:type="dxa"/>
            <w:tcBorders>
              <w:right w:val="single" w:color="000000" w:sz="10" w:space="0"/>
            </w:tcBorders>
            <w:vAlign w:val="top"/>
          </w:tcPr>
          <w:p w14:paraId="37773F96">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795D3B45">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250D95E9">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121A0EC7">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ABED0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6809EC1A">
            <w:pPr>
              <w:widowControl/>
              <w:kinsoku w:val="0"/>
              <w:autoSpaceDE w:val="0"/>
              <w:autoSpaceDN w:val="0"/>
              <w:adjustRightInd w:val="0"/>
              <w:snapToGrid w:val="0"/>
              <w:spacing w:before="117" w:line="185"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11</w:t>
            </w:r>
          </w:p>
        </w:tc>
        <w:tc>
          <w:tcPr>
            <w:tcW w:w="6569" w:type="dxa"/>
            <w:vAlign w:val="top"/>
          </w:tcPr>
          <w:p w14:paraId="2613ECFA">
            <w:pPr>
              <w:kinsoku w:val="0"/>
              <w:autoSpaceDE w:val="0"/>
              <w:autoSpaceDN w:val="0"/>
              <w:adjustRightInd w:val="0"/>
              <w:snapToGrid w:val="0"/>
              <w:spacing w:before="88" w:line="193"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油罐应采用钢制人孔盖。</w:t>
            </w:r>
          </w:p>
        </w:tc>
        <w:tc>
          <w:tcPr>
            <w:tcW w:w="1546" w:type="dxa"/>
            <w:vAlign w:val="top"/>
          </w:tcPr>
          <w:p w14:paraId="67584215">
            <w:pPr>
              <w:kinsoku w:val="0"/>
              <w:autoSpaceDE w:val="0"/>
              <w:autoSpaceDN w:val="0"/>
              <w:adjustRightInd w:val="0"/>
              <w:snapToGrid w:val="0"/>
              <w:spacing w:before="88" w:line="193" w:lineRule="auto"/>
              <w:ind w:left="33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钢制人孔盖</w:t>
            </w:r>
          </w:p>
        </w:tc>
        <w:tc>
          <w:tcPr>
            <w:tcW w:w="586" w:type="dxa"/>
            <w:tcBorders>
              <w:right w:val="single" w:color="000000" w:sz="10" w:space="0"/>
            </w:tcBorders>
            <w:vAlign w:val="top"/>
          </w:tcPr>
          <w:p w14:paraId="581E90D2">
            <w:pPr>
              <w:kinsoku w:val="0"/>
              <w:autoSpaceDE w:val="0"/>
              <w:autoSpaceDN w:val="0"/>
              <w:adjustRightInd w:val="0"/>
              <w:snapToGrid w:val="0"/>
              <w:spacing w:before="88" w:line="193"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5554E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 w:hRule="atLeast"/>
        </w:trPr>
        <w:tc>
          <w:tcPr>
            <w:tcW w:w="541" w:type="dxa"/>
            <w:tcBorders>
              <w:left w:val="single" w:color="000000" w:sz="10" w:space="0"/>
            </w:tcBorders>
            <w:vAlign w:val="top"/>
          </w:tcPr>
          <w:p w14:paraId="7ACEF8D1">
            <w:pPr>
              <w:widowControl/>
              <w:kinsoku w:val="0"/>
              <w:autoSpaceDE w:val="0"/>
              <w:autoSpaceDN w:val="0"/>
              <w:adjustRightInd w:val="0"/>
              <w:snapToGrid w:val="0"/>
              <w:spacing w:line="314" w:lineRule="auto"/>
              <w:jc w:val="left"/>
              <w:textAlignment w:val="baseline"/>
              <w:rPr>
                <w:rFonts w:ascii="Arial" w:hAnsi="Arial" w:eastAsia="Arial" w:cs="Arial"/>
                <w:snapToGrid w:val="0"/>
                <w:color w:val="000000"/>
                <w:kern w:val="0"/>
                <w:sz w:val="21"/>
                <w:lang w:eastAsia="en-US"/>
              </w:rPr>
            </w:pPr>
          </w:p>
          <w:p w14:paraId="39005BC5">
            <w:pPr>
              <w:widowControl/>
              <w:kinsoku w:val="0"/>
              <w:autoSpaceDE w:val="0"/>
              <w:autoSpaceDN w:val="0"/>
              <w:adjustRightInd w:val="0"/>
              <w:snapToGrid w:val="0"/>
              <w:spacing w:before="51"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12</w:t>
            </w:r>
          </w:p>
        </w:tc>
        <w:tc>
          <w:tcPr>
            <w:tcW w:w="6569" w:type="dxa"/>
            <w:vAlign w:val="top"/>
          </w:tcPr>
          <w:p w14:paraId="4E4C273F">
            <w:pPr>
              <w:kinsoku w:val="0"/>
              <w:autoSpaceDE w:val="0"/>
              <w:autoSpaceDN w:val="0"/>
              <w:adjustRightInd w:val="0"/>
              <w:snapToGrid w:val="0"/>
              <w:spacing w:before="76" w:line="238" w:lineRule="auto"/>
              <w:ind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油罐设在非行道下面时，罐顶的覆土厚度不应小于</w:t>
            </w:r>
            <w:r>
              <w:rPr>
                <w:rFonts w:ascii="Times New Roman" w:hAnsi="Times New Roman" w:eastAsia="Times New Roman" w:cs="Times New Roman"/>
                <w:snapToGrid w:val="0"/>
                <w:color w:val="000000"/>
                <w:spacing w:val="-3"/>
                <w:kern w:val="0"/>
                <w:sz w:val="18"/>
                <w:szCs w:val="18"/>
                <w:lang w:val="en-US" w:eastAsia="en-US" w:bidi="ar-SA"/>
              </w:rPr>
              <w:t>0.5m</w:t>
            </w:r>
            <w:r>
              <w:rPr>
                <w:rFonts w:ascii="宋体" w:hAnsi="宋体" w:eastAsia="宋体" w:cs="宋体"/>
                <w:snapToGrid w:val="0"/>
                <w:color w:val="000000"/>
                <w:spacing w:val="-3"/>
                <w:kern w:val="0"/>
                <w:sz w:val="18"/>
                <w:szCs w:val="18"/>
                <w:lang w:val="en-US" w:eastAsia="en-US" w:bidi="ar-SA"/>
              </w:rPr>
              <w:t>；设在行车道下面时，罐顶低</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于混凝土路面不宜小于</w:t>
            </w:r>
            <w:r>
              <w:rPr>
                <w:rFonts w:ascii="Times New Roman" w:hAnsi="Times New Roman" w:eastAsia="Times New Roman" w:cs="Times New Roman"/>
                <w:snapToGrid w:val="0"/>
                <w:color w:val="000000"/>
                <w:spacing w:val="-3"/>
                <w:kern w:val="0"/>
                <w:sz w:val="18"/>
                <w:szCs w:val="18"/>
                <w:lang w:val="en-US" w:eastAsia="en-US" w:bidi="ar-SA"/>
              </w:rPr>
              <w:t>0.9m</w:t>
            </w:r>
            <w:r>
              <w:rPr>
                <w:rFonts w:ascii="宋体" w:hAnsi="宋体" w:eastAsia="宋体" w:cs="宋体"/>
                <w:snapToGrid w:val="0"/>
                <w:color w:val="000000"/>
                <w:spacing w:val="-3"/>
                <w:kern w:val="0"/>
                <w:sz w:val="18"/>
                <w:szCs w:val="18"/>
                <w:lang w:val="en-US" w:eastAsia="en-US" w:bidi="ar-SA"/>
              </w:rPr>
              <w:t>。钢制油罐的周围应回填中性沙或细士，其厚度不耐小于</w:t>
            </w:r>
            <w:r>
              <w:rPr>
                <w:rFonts w:ascii="宋体" w:hAnsi="宋体" w:eastAsia="宋体" w:cs="宋体"/>
                <w:snapToGrid w:val="0"/>
                <w:color w:val="000000"/>
                <w:spacing w:val="14"/>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0.3m</w:t>
            </w:r>
            <w:r>
              <w:rPr>
                <w:rFonts w:ascii="宋体" w:hAnsi="宋体" w:eastAsia="宋体" w:cs="宋体"/>
                <w:snapToGrid w:val="0"/>
                <w:color w:val="000000"/>
                <w:kern w:val="0"/>
                <w:sz w:val="18"/>
                <w:szCs w:val="18"/>
                <w:lang w:val="en-US" w:eastAsia="en-US" w:bidi="ar-SA"/>
              </w:rPr>
              <w:t>；外层为玻璃纤维增强塑料材料的油罐，其回填</w:t>
            </w:r>
            <w:r>
              <w:rPr>
                <w:rFonts w:ascii="宋体" w:hAnsi="宋体" w:eastAsia="宋体" w:cs="宋体"/>
                <w:snapToGrid w:val="0"/>
                <w:color w:val="000000"/>
                <w:spacing w:val="-1"/>
                <w:kern w:val="0"/>
                <w:sz w:val="18"/>
                <w:szCs w:val="18"/>
                <w:lang w:val="en-US" w:eastAsia="en-US" w:bidi="ar-SA"/>
              </w:rPr>
              <w:t>料应符合产品说明书的要求。</w:t>
            </w:r>
          </w:p>
        </w:tc>
        <w:tc>
          <w:tcPr>
            <w:tcW w:w="1546" w:type="dxa"/>
            <w:vAlign w:val="top"/>
          </w:tcPr>
          <w:p w14:paraId="2E01DF20">
            <w:pPr>
              <w:kinsoku w:val="0"/>
              <w:autoSpaceDE w:val="0"/>
              <w:autoSpaceDN w:val="0"/>
              <w:adjustRightInd w:val="0"/>
              <w:snapToGrid w:val="0"/>
              <w:spacing w:before="206" w:line="269" w:lineRule="auto"/>
              <w:ind w:left="602" w:right="154" w:hanging="446"/>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罐顶覆土厚度＞</w:t>
            </w:r>
            <w:r>
              <w:rPr>
                <w:rFonts w:ascii="宋体" w:hAnsi="宋体" w:eastAsia="宋体" w:cs="宋体"/>
                <w:snapToGrid w:val="0"/>
                <w:color w:val="000000"/>
                <w:spacing w:val="3"/>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0.5m</w:t>
            </w:r>
          </w:p>
        </w:tc>
        <w:tc>
          <w:tcPr>
            <w:tcW w:w="586" w:type="dxa"/>
            <w:tcBorders>
              <w:right w:val="single" w:color="000000" w:sz="10" w:space="0"/>
            </w:tcBorders>
            <w:vAlign w:val="top"/>
          </w:tcPr>
          <w:p w14:paraId="5F444332">
            <w:pPr>
              <w:widowControl/>
              <w:kinsoku w:val="0"/>
              <w:autoSpaceDE w:val="0"/>
              <w:autoSpaceDN w:val="0"/>
              <w:adjustRightInd w:val="0"/>
              <w:snapToGrid w:val="0"/>
              <w:spacing w:line="276" w:lineRule="auto"/>
              <w:jc w:val="left"/>
              <w:textAlignment w:val="baseline"/>
              <w:rPr>
                <w:rFonts w:ascii="Arial" w:hAnsi="Arial" w:eastAsia="Arial" w:cs="Arial"/>
                <w:snapToGrid w:val="0"/>
                <w:color w:val="000000"/>
                <w:kern w:val="0"/>
                <w:sz w:val="21"/>
                <w:lang w:eastAsia="en-US"/>
              </w:rPr>
            </w:pPr>
          </w:p>
          <w:p w14:paraId="63B8523C">
            <w:pPr>
              <w:kinsoku w:val="0"/>
              <w:autoSpaceDE w:val="0"/>
              <w:autoSpaceDN w:val="0"/>
              <w:adjustRightInd w:val="0"/>
              <w:snapToGrid w:val="0"/>
              <w:spacing w:before="58"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CF74E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541" w:type="dxa"/>
            <w:tcBorders>
              <w:left w:val="single" w:color="000000" w:sz="10" w:space="0"/>
              <w:bottom w:val="single" w:color="000000" w:sz="10" w:space="0"/>
            </w:tcBorders>
            <w:vAlign w:val="top"/>
          </w:tcPr>
          <w:p w14:paraId="2B4686C0">
            <w:pPr>
              <w:widowControl/>
              <w:kinsoku w:val="0"/>
              <w:autoSpaceDE w:val="0"/>
              <w:autoSpaceDN w:val="0"/>
              <w:adjustRightInd w:val="0"/>
              <w:snapToGrid w:val="0"/>
              <w:spacing w:before="239"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13</w:t>
            </w:r>
          </w:p>
        </w:tc>
        <w:tc>
          <w:tcPr>
            <w:tcW w:w="6569" w:type="dxa"/>
            <w:tcBorders>
              <w:bottom w:val="single" w:color="000000" w:sz="10" w:space="0"/>
            </w:tcBorders>
            <w:vAlign w:val="top"/>
          </w:tcPr>
          <w:p w14:paraId="55D23170">
            <w:pPr>
              <w:kinsoku w:val="0"/>
              <w:autoSpaceDE w:val="0"/>
              <w:autoSpaceDN w:val="0"/>
              <w:adjustRightInd w:val="0"/>
              <w:snapToGrid w:val="0"/>
              <w:spacing w:before="208" w:line="219" w:lineRule="auto"/>
              <w:ind w:left="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当埋地油罐受地下水或雨水作用有上浮的可能时，应采取防止油罐上浮的措施。</w:t>
            </w:r>
          </w:p>
        </w:tc>
        <w:tc>
          <w:tcPr>
            <w:tcW w:w="1546" w:type="dxa"/>
            <w:tcBorders>
              <w:bottom w:val="single" w:color="000000" w:sz="10" w:space="0"/>
            </w:tcBorders>
            <w:vAlign w:val="top"/>
          </w:tcPr>
          <w:p w14:paraId="14EE15F6">
            <w:pPr>
              <w:kinsoku w:val="0"/>
              <w:autoSpaceDE w:val="0"/>
              <w:autoSpaceDN w:val="0"/>
              <w:adjustRightInd w:val="0"/>
              <w:snapToGrid w:val="0"/>
              <w:spacing w:before="79" w:line="234" w:lineRule="auto"/>
              <w:ind w:left="694" w:right="41" w:hanging="62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有防止油罐上浮措</w:t>
            </w:r>
            <w:r>
              <w:rPr>
                <w:rFonts w:ascii="宋体" w:hAnsi="宋体" w:eastAsia="宋体" w:cs="宋体"/>
                <w:snapToGrid w:val="0"/>
                <w:color w:val="000000"/>
                <w:kern w:val="0"/>
                <w:sz w:val="18"/>
                <w:szCs w:val="18"/>
                <w:lang w:val="en-US" w:eastAsia="en-US" w:bidi="ar-SA"/>
              </w:rPr>
              <w:t xml:space="preserve"> 施</w:t>
            </w:r>
          </w:p>
        </w:tc>
        <w:tc>
          <w:tcPr>
            <w:tcW w:w="586" w:type="dxa"/>
            <w:tcBorders>
              <w:bottom w:val="single" w:color="000000" w:sz="10" w:space="0"/>
              <w:right w:val="single" w:color="000000" w:sz="10" w:space="0"/>
            </w:tcBorders>
            <w:vAlign w:val="top"/>
          </w:tcPr>
          <w:p w14:paraId="7C46D2AD">
            <w:pPr>
              <w:kinsoku w:val="0"/>
              <w:autoSpaceDE w:val="0"/>
              <w:autoSpaceDN w:val="0"/>
              <w:adjustRightInd w:val="0"/>
              <w:snapToGrid w:val="0"/>
              <w:spacing w:before="208"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0AA07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9" w:hRule="atLeast"/>
        </w:trPr>
        <w:tc>
          <w:tcPr>
            <w:tcW w:w="541" w:type="dxa"/>
            <w:tcBorders>
              <w:top w:val="single" w:color="000000" w:sz="10" w:space="0"/>
              <w:left w:val="single" w:color="000000" w:sz="10" w:space="0"/>
            </w:tcBorders>
            <w:vAlign w:val="top"/>
          </w:tcPr>
          <w:p w14:paraId="5FADC3B0">
            <w:pPr>
              <w:widowControl/>
              <w:kinsoku w:val="0"/>
              <w:autoSpaceDE w:val="0"/>
              <w:autoSpaceDN w:val="0"/>
              <w:adjustRightInd w:val="0"/>
              <w:snapToGrid w:val="0"/>
              <w:spacing w:before="220"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14</w:t>
            </w:r>
          </w:p>
        </w:tc>
        <w:tc>
          <w:tcPr>
            <w:tcW w:w="6569" w:type="dxa"/>
            <w:tcBorders>
              <w:top w:val="single" w:color="000000" w:sz="10" w:space="0"/>
            </w:tcBorders>
            <w:vAlign w:val="top"/>
          </w:tcPr>
          <w:p w14:paraId="236E6584">
            <w:pPr>
              <w:kinsoku w:val="0"/>
              <w:autoSpaceDE w:val="0"/>
              <w:autoSpaceDN w:val="0"/>
              <w:adjustRightInd w:val="0"/>
              <w:snapToGrid w:val="0"/>
              <w:spacing w:before="58" w:line="236"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埋地油罐的人孔应设操作井。设在行车道下面的人孔井应采用加油站车行道下专用的</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密闭井盖和井座。</w:t>
            </w:r>
          </w:p>
        </w:tc>
        <w:tc>
          <w:tcPr>
            <w:tcW w:w="1546" w:type="dxa"/>
            <w:tcBorders>
              <w:top w:val="single" w:color="000000" w:sz="10" w:space="0"/>
            </w:tcBorders>
            <w:vAlign w:val="top"/>
          </w:tcPr>
          <w:p w14:paraId="20F4F4C8">
            <w:pPr>
              <w:kinsoku w:val="0"/>
              <w:autoSpaceDE w:val="0"/>
              <w:autoSpaceDN w:val="0"/>
              <w:adjustRightInd w:val="0"/>
              <w:snapToGrid w:val="0"/>
              <w:spacing w:before="58" w:line="236" w:lineRule="auto"/>
              <w:ind w:left="426" w:right="41" w:hanging="36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采用专用的密闭井</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盖和井座</w:t>
            </w:r>
          </w:p>
        </w:tc>
        <w:tc>
          <w:tcPr>
            <w:tcW w:w="586" w:type="dxa"/>
            <w:tcBorders>
              <w:top w:val="single" w:color="000000" w:sz="10" w:space="0"/>
              <w:right w:val="single" w:color="000000" w:sz="10" w:space="0"/>
            </w:tcBorders>
            <w:vAlign w:val="top"/>
          </w:tcPr>
          <w:p w14:paraId="7D38DD0D">
            <w:pPr>
              <w:kinsoku w:val="0"/>
              <w:autoSpaceDE w:val="0"/>
              <w:autoSpaceDN w:val="0"/>
              <w:adjustRightInd w:val="0"/>
              <w:snapToGrid w:val="0"/>
              <w:spacing w:before="18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A74DC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541" w:type="dxa"/>
            <w:tcBorders>
              <w:left w:val="single" w:color="000000" w:sz="10" w:space="0"/>
            </w:tcBorders>
            <w:vAlign w:val="top"/>
          </w:tcPr>
          <w:p w14:paraId="346642E1">
            <w:pPr>
              <w:widowControl/>
              <w:kinsoku w:val="0"/>
              <w:autoSpaceDE w:val="0"/>
              <w:autoSpaceDN w:val="0"/>
              <w:adjustRightInd w:val="0"/>
              <w:snapToGrid w:val="0"/>
              <w:spacing w:line="292" w:lineRule="auto"/>
              <w:jc w:val="left"/>
              <w:textAlignment w:val="baseline"/>
              <w:rPr>
                <w:rFonts w:ascii="Arial" w:hAnsi="Arial" w:eastAsia="Arial" w:cs="Arial"/>
                <w:snapToGrid w:val="0"/>
                <w:color w:val="000000"/>
                <w:kern w:val="0"/>
                <w:sz w:val="21"/>
                <w:lang w:eastAsia="en-US"/>
              </w:rPr>
            </w:pPr>
          </w:p>
          <w:p w14:paraId="7E98A85F">
            <w:pPr>
              <w:widowControl/>
              <w:kinsoku w:val="0"/>
              <w:autoSpaceDE w:val="0"/>
              <w:autoSpaceDN w:val="0"/>
              <w:adjustRightInd w:val="0"/>
              <w:snapToGrid w:val="0"/>
              <w:spacing w:before="52"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15</w:t>
            </w:r>
          </w:p>
        </w:tc>
        <w:tc>
          <w:tcPr>
            <w:tcW w:w="6569" w:type="dxa"/>
            <w:vAlign w:val="top"/>
          </w:tcPr>
          <w:p w14:paraId="09448BC3">
            <w:pPr>
              <w:kinsoku w:val="0"/>
              <w:autoSpaceDE w:val="0"/>
              <w:autoSpaceDN w:val="0"/>
              <w:adjustRightInd w:val="0"/>
              <w:snapToGrid w:val="0"/>
              <w:spacing w:before="28" w:line="255" w:lineRule="auto"/>
              <w:ind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油罐卸油应采取防满溢措施。油料达到油罐容量的</w:t>
            </w:r>
            <w:r>
              <w:rPr>
                <w:rFonts w:ascii="Times New Roman" w:hAnsi="Times New Roman" w:eastAsia="Times New Roman" w:cs="Times New Roman"/>
                <w:snapToGrid w:val="0"/>
                <w:color w:val="000000"/>
                <w:spacing w:val="-6"/>
                <w:kern w:val="0"/>
                <w:sz w:val="18"/>
                <w:szCs w:val="18"/>
                <w:lang w:val="en-US" w:eastAsia="en-US" w:bidi="ar-SA"/>
              </w:rPr>
              <w:t>9</w:t>
            </w:r>
            <w:r>
              <w:rPr>
                <w:rFonts w:ascii="Times New Roman" w:hAnsi="Times New Roman" w:eastAsia="Times New Roman" w:cs="Times New Roman"/>
                <w:snapToGrid w:val="0"/>
                <w:color w:val="000000"/>
                <w:spacing w:val="-7"/>
                <w:kern w:val="0"/>
                <w:sz w:val="18"/>
                <w:szCs w:val="18"/>
                <w:lang w:val="en-US" w:eastAsia="en-US" w:bidi="ar-SA"/>
              </w:rPr>
              <w:t>0%</w:t>
            </w:r>
            <w:r>
              <w:rPr>
                <w:rFonts w:ascii="宋体" w:hAnsi="宋体" w:eastAsia="宋体" w:cs="宋体"/>
                <w:snapToGrid w:val="0"/>
                <w:color w:val="000000"/>
                <w:spacing w:val="-7"/>
                <w:kern w:val="0"/>
                <w:sz w:val="18"/>
                <w:szCs w:val="18"/>
                <w:lang w:val="en-US" w:eastAsia="en-US" w:bidi="ar-SA"/>
              </w:rPr>
              <w:t>时，应能触动高液位报警装置，</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油料达到油罐容量的</w:t>
            </w:r>
            <w:r>
              <w:rPr>
                <w:rFonts w:ascii="Times New Roman" w:hAnsi="Times New Roman" w:eastAsia="Times New Roman" w:cs="Times New Roman"/>
                <w:snapToGrid w:val="0"/>
                <w:color w:val="000000"/>
                <w:spacing w:val="-3"/>
                <w:kern w:val="0"/>
                <w:sz w:val="18"/>
                <w:szCs w:val="18"/>
                <w:lang w:val="en-US" w:eastAsia="en-US" w:bidi="ar-SA"/>
              </w:rPr>
              <w:t>95%</w:t>
            </w:r>
            <w:r>
              <w:rPr>
                <w:rFonts w:ascii="宋体" w:hAnsi="宋体" w:eastAsia="宋体" w:cs="宋体"/>
                <w:snapToGrid w:val="0"/>
                <w:color w:val="000000"/>
                <w:spacing w:val="-3"/>
                <w:kern w:val="0"/>
                <w:sz w:val="18"/>
                <w:szCs w:val="18"/>
                <w:lang w:val="en-US" w:eastAsia="en-US" w:bidi="ar-SA"/>
              </w:rPr>
              <w:t>时，应能自动停止油料继续进罐。高液位报警装置应位于工</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作人员便于觉察的地点。</w:t>
            </w:r>
          </w:p>
        </w:tc>
        <w:tc>
          <w:tcPr>
            <w:tcW w:w="1546" w:type="dxa"/>
            <w:vAlign w:val="top"/>
          </w:tcPr>
          <w:p w14:paraId="443FB479">
            <w:pPr>
              <w:kinsoku w:val="0"/>
              <w:autoSpaceDE w:val="0"/>
              <w:autoSpaceDN w:val="0"/>
              <w:adjustRightInd w:val="0"/>
              <w:snapToGrid w:val="0"/>
              <w:spacing w:before="56" w:line="219" w:lineRule="auto"/>
              <w:ind w:left="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油罐卸油采取防满</w:t>
            </w:r>
          </w:p>
          <w:p w14:paraId="3CF1187C">
            <w:pPr>
              <w:kinsoku w:val="0"/>
              <w:autoSpaceDE w:val="0"/>
              <w:autoSpaceDN w:val="0"/>
              <w:adjustRightInd w:val="0"/>
              <w:snapToGrid w:val="0"/>
              <w:spacing w:before="46" w:line="235" w:lineRule="auto"/>
              <w:ind w:left="426" w:hanging="40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溢措</w:t>
            </w:r>
            <w:r>
              <w:rPr>
                <w:rFonts w:ascii="宋体" w:hAnsi="宋体" w:eastAsia="宋体" w:cs="宋体"/>
                <w:snapToGrid w:val="0"/>
                <w:color w:val="000000"/>
                <w:spacing w:val="-11"/>
                <w:kern w:val="0"/>
                <w:sz w:val="18"/>
                <w:szCs w:val="18"/>
                <w:lang w:val="en-US" w:eastAsia="en-US" w:bidi="ar-SA"/>
              </w:rPr>
              <w:t>施，有高液位</w:t>
            </w:r>
            <w:r>
              <w:rPr>
                <w:rFonts w:ascii="宋体" w:hAnsi="宋体" w:eastAsia="宋体" w:cs="宋体"/>
                <w:snapToGrid w:val="0"/>
                <w:color w:val="000000"/>
                <w:spacing w:val="-9"/>
                <w:kern w:val="0"/>
                <w:sz w:val="18"/>
                <w:szCs w:val="18"/>
                <w:lang w:val="en-US" w:eastAsia="en-US" w:bidi="ar-SA"/>
              </w:rPr>
              <w:t>报</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警装置。</w:t>
            </w:r>
          </w:p>
        </w:tc>
        <w:tc>
          <w:tcPr>
            <w:tcW w:w="586" w:type="dxa"/>
            <w:tcBorders>
              <w:right w:val="single" w:color="000000" w:sz="10" w:space="0"/>
            </w:tcBorders>
            <w:vAlign w:val="top"/>
          </w:tcPr>
          <w:p w14:paraId="084E4D6E">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0DACC6A5">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85D6B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541" w:type="dxa"/>
            <w:tcBorders>
              <w:left w:val="single" w:color="000000" w:sz="10" w:space="0"/>
            </w:tcBorders>
            <w:vAlign w:val="top"/>
          </w:tcPr>
          <w:p w14:paraId="0DAC6804">
            <w:pPr>
              <w:widowControl/>
              <w:kinsoku w:val="0"/>
              <w:autoSpaceDE w:val="0"/>
              <w:autoSpaceDN w:val="0"/>
              <w:adjustRightInd w:val="0"/>
              <w:snapToGrid w:val="0"/>
              <w:spacing w:line="293" w:lineRule="auto"/>
              <w:jc w:val="left"/>
              <w:textAlignment w:val="baseline"/>
              <w:rPr>
                <w:rFonts w:ascii="Arial" w:hAnsi="Arial" w:eastAsia="Arial" w:cs="Arial"/>
                <w:snapToGrid w:val="0"/>
                <w:color w:val="000000"/>
                <w:kern w:val="0"/>
                <w:sz w:val="21"/>
                <w:lang w:eastAsia="en-US"/>
              </w:rPr>
            </w:pPr>
          </w:p>
          <w:p w14:paraId="4EC90E67">
            <w:pPr>
              <w:widowControl/>
              <w:kinsoku w:val="0"/>
              <w:autoSpaceDE w:val="0"/>
              <w:autoSpaceDN w:val="0"/>
              <w:adjustRightInd w:val="0"/>
              <w:snapToGrid w:val="0"/>
              <w:spacing w:before="52"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16</w:t>
            </w:r>
          </w:p>
        </w:tc>
        <w:tc>
          <w:tcPr>
            <w:tcW w:w="6569" w:type="dxa"/>
            <w:vAlign w:val="top"/>
          </w:tcPr>
          <w:p w14:paraId="62C72251">
            <w:pPr>
              <w:kinsoku w:val="0"/>
              <w:autoSpaceDE w:val="0"/>
              <w:autoSpaceDN w:val="0"/>
              <w:adjustRightInd w:val="0"/>
              <w:snapToGrid w:val="0"/>
              <w:spacing w:before="185" w:line="258" w:lineRule="auto"/>
              <w:ind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设有油气回收系统的加油站，站内油罐应设带有高液位报警功能的液位监测系统。单</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层油罐的液位监测系统尚应具备渗漏检测功能，渗漏</w:t>
            </w:r>
            <w:r>
              <w:rPr>
                <w:rFonts w:ascii="宋体" w:hAnsi="宋体" w:eastAsia="宋体" w:cs="宋体"/>
                <w:snapToGrid w:val="0"/>
                <w:color w:val="000000"/>
                <w:spacing w:val="-1"/>
                <w:kern w:val="0"/>
                <w:sz w:val="18"/>
                <w:szCs w:val="18"/>
                <w:lang w:val="en-US" w:eastAsia="en-US" w:bidi="ar-SA"/>
              </w:rPr>
              <w:t>检测分辨率不宜大守</w:t>
            </w:r>
            <w:r>
              <w:rPr>
                <w:rFonts w:ascii="Times New Roman" w:hAnsi="Times New Roman" w:eastAsia="Times New Roman" w:cs="Times New Roman"/>
                <w:snapToGrid w:val="0"/>
                <w:color w:val="000000"/>
                <w:spacing w:val="-1"/>
                <w:kern w:val="0"/>
                <w:sz w:val="18"/>
                <w:szCs w:val="18"/>
                <w:lang w:val="en-US" w:eastAsia="en-US" w:bidi="ar-SA"/>
              </w:rPr>
              <w:t>0.8L/h</w:t>
            </w:r>
            <w:r>
              <w:rPr>
                <w:rFonts w:ascii="宋体" w:hAnsi="宋体" w:eastAsia="宋体" w:cs="宋体"/>
                <w:snapToGrid w:val="0"/>
                <w:color w:val="000000"/>
                <w:spacing w:val="-1"/>
                <w:kern w:val="0"/>
                <w:sz w:val="18"/>
                <w:szCs w:val="18"/>
                <w:lang w:val="en-US" w:eastAsia="en-US" w:bidi="ar-SA"/>
              </w:rPr>
              <w:t>。</w:t>
            </w:r>
          </w:p>
        </w:tc>
        <w:tc>
          <w:tcPr>
            <w:tcW w:w="1546" w:type="dxa"/>
            <w:vAlign w:val="top"/>
          </w:tcPr>
          <w:p w14:paraId="30E39BB8">
            <w:pPr>
              <w:kinsoku w:val="0"/>
              <w:autoSpaceDE w:val="0"/>
              <w:autoSpaceDN w:val="0"/>
              <w:adjustRightInd w:val="0"/>
              <w:snapToGrid w:val="0"/>
              <w:spacing w:before="56" w:line="220" w:lineRule="auto"/>
              <w:ind w:left="6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油罐有高液位报警</w:t>
            </w:r>
          </w:p>
          <w:p w14:paraId="6FFC8BB6">
            <w:pPr>
              <w:kinsoku w:val="0"/>
              <w:autoSpaceDE w:val="0"/>
              <w:autoSpaceDN w:val="0"/>
              <w:adjustRightInd w:val="0"/>
              <w:snapToGrid w:val="0"/>
              <w:spacing w:before="44" w:line="235" w:lineRule="auto"/>
              <w:ind w:left="610" w:right="41" w:hanging="54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功能的液位监测系</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统。</w:t>
            </w:r>
          </w:p>
        </w:tc>
        <w:tc>
          <w:tcPr>
            <w:tcW w:w="586" w:type="dxa"/>
            <w:tcBorders>
              <w:right w:val="single" w:color="000000" w:sz="10" w:space="0"/>
            </w:tcBorders>
            <w:vAlign w:val="top"/>
          </w:tcPr>
          <w:p w14:paraId="6F7CAF12">
            <w:pPr>
              <w:widowControl/>
              <w:kinsoku w:val="0"/>
              <w:autoSpaceDE w:val="0"/>
              <w:autoSpaceDN w:val="0"/>
              <w:adjustRightInd w:val="0"/>
              <w:snapToGrid w:val="0"/>
              <w:spacing w:line="255" w:lineRule="auto"/>
              <w:jc w:val="left"/>
              <w:textAlignment w:val="baseline"/>
              <w:rPr>
                <w:rFonts w:ascii="Arial" w:hAnsi="Arial" w:eastAsia="Arial" w:cs="Arial"/>
                <w:snapToGrid w:val="0"/>
                <w:color w:val="000000"/>
                <w:kern w:val="0"/>
                <w:sz w:val="21"/>
                <w:lang w:eastAsia="en-US"/>
              </w:rPr>
            </w:pPr>
          </w:p>
          <w:p w14:paraId="2CC0BFF7">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44D0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297D29CB">
            <w:pPr>
              <w:widowControl/>
              <w:kinsoku w:val="0"/>
              <w:autoSpaceDE w:val="0"/>
              <w:autoSpaceDN w:val="0"/>
              <w:adjustRightInd w:val="0"/>
              <w:snapToGrid w:val="0"/>
              <w:spacing w:before="217"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17</w:t>
            </w:r>
          </w:p>
        </w:tc>
        <w:tc>
          <w:tcPr>
            <w:tcW w:w="6569" w:type="dxa"/>
            <w:vAlign w:val="top"/>
          </w:tcPr>
          <w:p w14:paraId="5782BA7B">
            <w:pPr>
              <w:kinsoku w:val="0"/>
              <w:autoSpaceDE w:val="0"/>
              <w:autoSpaceDN w:val="0"/>
              <w:adjustRightInd w:val="0"/>
              <w:snapToGrid w:val="0"/>
              <w:spacing w:before="57" w:line="234" w:lineRule="auto"/>
              <w:ind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与土壤接触的钢制油罐外表面，防腐设计应符合现行行业标准《石油化工设备和管道</w:t>
            </w:r>
            <w:r>
              <w:rPr>
                <w:rFonts w:ascii="宋体" w:hAnsi="宋体" w:eastAsia="宋体" w:cs="宋体"/>
                <w:snapToGrid w:val="0"/>
                <w:color w:val="000000"/>
                <w:spacing w:val="12"/>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涂料防腐蚀设计标准》</w:t>
            </w:r>
            <w:r>
              <w:rPr>
                <w:rFonts w:ascii="Times New Roman" w:hAnsi="Times New Roman" w:eastAsia="Times New Roman" w:cs="Times New Roman"/>
                <w:snapToGrid w:val="0"/>
                <w:color w:val="000000"/>
                <w:kern w:val="0"/>
                <w:sz w:val="18"/>
                <w:szCs w:val="18"/>
                <w:lang w:val="en-US" w:eastAsia="en-US" w:bidi="ar-SA"/>
              </w:rPr>
              <w:t>SH/T 3022</w:t>
            </w:r>
            <w:r>
              <w:rPr>
                <w:rFonts w:ascii="宋体" w:hAnsi="宋体" w:eastAsia="宋体" w:cs="宋体"/>
                <w:snapToGrid w:val="0"/>
                <w:color w:val="000000"/>
                <w:kern w:val="0"/>
                <w:sz w:val="18"/>
                <w:szCs w:val="18"/>
                <w:lang w:val="en-US" w:eastAsia="en-US" w:bidi="ar-SA"/>
              </w:rPr>
              <w:t>的有关规定</w:t>
            </w:r>
            <w:r>
              <w:rPr>
                <w:rFonts w:ascii="宋体" w:hAnsi="宋体" w:eastAsia="宋体" w:cs="宋体"/>
                <w:snapToGrid w:val="0"/>
                <w:color w:val="000000"/>
                <w:spacing w:val="-1"/>
                <w:kern w:val="0"/>
                <w:sz w:val="18"/>
                <w:szCs w:val="18"/>
                <w:lang w:val="en-US" w:eastAsia="en-US" w:bidi="ar-SA"/>
              </w:rPr>
              <w:t>，且防腐等级不应低于加强级。</w:t>
            </w:r>
          </w:p>
        </w:tc>
        <w:tc>
          <w:tcPr>
            <w:tcW w:w="1546" w:type="dxa"/>
            <w:vAlign w:val="top"/>
          </w:tcPr>
          <w:p w14:paraId="422C56CC">
            <w:pPr>
              <w:kinsoku w:val="0"/>
              <w:autoSpaceDE w:val="0"/>
              <w:autoSpaceDN w:val="0"/>
              <w:adjustRightInd w:val="0"/>
              <w:snapToGrid w:val="0"/>
              <w:spacing w:before="186" w:line="220" w:lineRule="auto"/>
              <w:ind w:left="24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符合规定要求</w:t>
            </w:r>
          </w:p>
        </w:tc>
        <w:tc>
          <w:tcPr>
            <w:tcW w:w="586" w:type="dxa"/>
            <w:tcBorders>
              <w:right w:val="single" w:color="000000" w:sz="10" w:space="0"/>
            </w:tcBorders>
            <w:vAlign w:val="top"/>
          </w:tcPr>
          <w:p w14:paraId="2EC0EA0B">
            <w:pPr>
              <w:kinsoku w:val="0"/>
              <w:autoSpaceDE w:val="0"/>
              <w:autoSpaceDN w:val="0"/>
              <w:adjustRightInd w:val="0"/>
              <w:snapToGrid w:val="0"/>
              <w:spacing w:before="186"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00439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39534AA3">
            <w:pPr>
              <w:widowControl/>
              <w:kinsoku w:val="0"/>
              <w:autoSpaceDE w:val="0"/>
              <w:autoSpaceDN w:val="0"/>
              <w:adjustRightInd w:val="0"/>
              <w:snapToGrid w:val="0"/>
              <w:spacing w:before="99" w:line="188" w:lineRule="auto"/>
              <w:ind w:left="18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18</w:t>
            </w:r>
          </w:p>
        </w:tc>
        <w:tc>
          <w:tcPr>
            <w:tcW w:w="6569" w:type="dxa"/>
            <w:vAlign w:val="top"/>
          </w:tcPr>
          <w:p w14:paraId="03A55AE4">
            <w:pPr>
              <w:kinsoku w:val="0"/>
              <w:autoSpaceDE w:val="0"/>
              <w:autoSpaceDN w:val="0"/>
              <w:adjustRightInd w:val="0"/>
              <w:snapToGrid w:val="0"/>
              <w:spacing w:before="70" w:line="212"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油罐静态计量时，与该罐连接的给油设备应停止使用。</w:t>
            </w:r>
          </w:p>
        </w:tc>
        <w:tc>
          <w:tcPr>
            <w:tcW w:w="1546" w:type="dxa"/>
            <w:vAlign w:val="top"/>
          </w:tcPr>
          <w:p w14:paraId="7F0E5D70">
            <w:pPr>
              <w:kinsoku w:val="0"/>
              <w:autoSpaceDE w:val="0"/>
              <w:autoSpaceDN w:val="0"/>
              <w:adjustRightInd w:val="0"/>
              <w:snapToGrid w:val="0"/>
              <w:spacing w:before="70" w:line="212" w:lineRule="auto"/>
              <w:ind w:left="42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符合要求</w:t>
            </w:r>
          </w:p>
        </w:tc>
        <w:tc>
          <w:tcPr>
            <w:tcW w:w="586" w:type="dxa"/>
            <w:tcBorders>
              <w:right w:val="single" w:color="000000" w:sz="10" w:space="0"/>
            </w:tcBorders>
            <w:vAlign w:val="top"/>
          </w:tcPr>
          <w:p w14:paraId="022BB0EF">
            <w:pPr>
              <w:kinsoku w:val="0"/>
              <w:autoSpaceDE w:val="0"/>
              <w:autoSpaceDN w:val="0"/>
              <w:adjustRightInd w:val="0"/>
              <w:snapToGrid w:val="0"/>
              <w:spacing w:before="70" w:line="212"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ED986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9242" w:type="dxa"/>
            <w:gridSpan w:val="4"/>
            <w:tcBorders>
              <w:left w:val="single" w:color="000000" w:sz="10" w:space="0"/>
              <w:right w:val="single" w:color="000000" w:sz="10" w:space="0"/>
            </w:tcBorders>
            <w:vAlign w:val="top"/>
          </w:tcPr>
          <w:p w14:paraId="15F1B65C">
            <w:pPr>
              <w:kinsoku w:val="0"/>
              <w:autoSpaceDE w:val="0"/>
              <w:autoSpaceDN w:val="0"/>
              <w:adjustRightInd w:val="0"/>
              <w:snapToGrid w:val="0"/>
              <w:spacing w:before="62" w:line="228" w:lineRule="auto"/>
              <w:ind w:left="399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5"/>
                <w:kern w:val="0"/>
                <w:sz w:val="20"/>
                <w:szCs w:val="20"/>
                <w:lang w:val="en-US" w:eastAsia="en-US" w:bidi="ar-SA"/>
              </w:rPr>
              <w:t>（二）加油机</w:t>
            </w:r>
          </w:p>
        </w:tc>
      </w:tr>
      <w:tr w14:paraId="0FC330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541" w:type="dxa"/>
            <w:tcBorders>
              <w:left w:val="single" w:color="000000" w:sz="10" w:space="0"/>
            </w:tcBorders>
            <w:vAlign w:val="top"/>
          </w:tcPr>
          <w:p w14:paraId="30FE510D">
            <w:pPr>
              <w:kinsoku w:val="0"/>
              <w:autoSpaceDE w:val="0"/>
              <w:autoSpaceDN w:val="0"/>
              <w:adjustRightInd w:val="0"/>
              <w:snapToGrid w:val="0"/>
              <w:spacing w:before="76" w:line="186" w:lineRule="auto"/>
              <w:ind w:left="22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sz w:val="20"/>
                <w:szCs w:val="20"/>
                <w:lang w:val="en-US" w:eastAsia="en-US" w:bidi="ar-SA"/>
              </w:rPr>
              <w:t>1</w:t>
            </w:r>
          </w:p>
        </w:tc>
        <w:tc>
          <w:tcPr>
            <w:tcW w:w="6569" w:type="dxa"/>
            <w:vAlign w:val="top"/>
          </w:tcPr>
          <w:p w14:paraId="09013DD0">
            <w:pPr>
              <w:kinsoku w:val="0"/>
              <w:autoSpaceDE w:val="0"/>
              <w:autoSpaceDN w:val="0"/>
              <w:adjustRightInd w:val="0"/>
              <w:snapToGrid w:val="0"/>
              <w:spacing w:before="72" w:line="211"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加油机不得设置在室内。</w:t>
            </w:r>
          </w:p>
        </w:tc>
        <w:tc>
          <w:tcPr>
            <w:tcW w:w="1546" w:type="dxa"/>
            <w:vAlign w:val="top"/>
          </w:tcPr>
          <w:p w14:paraId="5510D395">
            <w:pPr>
              <w:kinsoku w:val="0"/>
              <w:autoSpaceDE w:val="0"/>
              <w:autoSpaceDN w:val="0"/>
              <w:adjustRightInd w:val="0"/>
              <w:snapToGrid w:val="0"/>
              <w:spacing w:before="72" w:line="211" w:lineRule="auto"/>
              <w:ind w:left="3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设置在室外</w:t>
            </w:r>
          </w:p>
        </w:tc>
        <w:tc>
          <w:tcPr>
            <w:tcW w:w="586" w:type="dxa"/>
            <w:tcBorders>
              <w:right w:val="single" w:color="000000" w:sz="10" w:space="0"/>
            </w:tcBorders>
            <w:vAlign w:val="top"/>
          </w:tcPr>
          <w:p w14:paraId="559692B7">
            <w:pPr>
              <w:kinsoku w:val="0"/>
              <w:autoSpaceDE w:val="0"/>
              <w:autoSpaceDN w:val="0"/>
              <w:adjustRightInd w:val="0"/>
              <w:snapToGrid w:val="0"/>
              <w:spacing w:before="72" w:line="211"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ADBE9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541" w:type="dxa"/>
            <w:tcBorders>
              <w:left w:val="single" w:color="000000" w:sz="10" w:space="0"/>
            </w:tcBorders>
            <w:vAlign w:val="top"/>
          </w:tcPr>
          <w:p w14:paraId="51DB338A">
            <w:pPr>
              <w:kinsoku w:val="0"/>
              <w:autoSpaceDE w:val="0"/>
              <w:autoSpaceDN w:val="0"/>
              <w:adjustRightInd w:val="0"/>
              <w:snapToGrid w:val="0"/>
              <w:spacing w:before="77" w:line="185" w:lineRule="auto"/>
              <w:ind w:left="21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sz w:val="20"/>
                <w:szCs w:val="20"/>
                <w:lang w:val="en-US" w:eastAsia="en-US" w:bidi="ar-SA"/>
              </w:rPr>
              <w:t>2</w:t>
            </w:r>
          </w:p>
        </w:tc>
        <w:tc>
          <w:tcPr>
            <w:tcW w:w="6569" w:type="dxa"/>
            <w:vAlign w:val="top"/>
          </w:tcPr>
          <w:p w14:paraId="6303ED56">
            <w:pPr>
              <w:kinsoku w:val="0"/>
              <w:autoSpaceDE w:val="0"/>
              <w:autoSpaceDN w:val="0"/>
              <w:adjustRightInd w:val="0"/>
              <w:snapToGrid w:val="0"/>
              <w:spacing w:before="43" w:line="241"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加油枪应采用自封式加油枪，汽油加油枪的流</w:t>
            </w:r>
            <w:r>
              <w:rPr>
                <w:rFonts w:ascii="宋体" w:hAnsi="宋体" w:eastAsia="宋体" w:cs="宋体"/>
                <w:snapToGrid w:val="0"/>
                <w:color w:val="000000"/>
                <w:spacing w:val="-1"/>
                <w:kern w:val="0"/>
                <w:sz w:val="18"/>
                <w:szCs w:val="18"/>
                <w:lang w:val="en-US" w:eastAsia="en-US" w:bidi="ar-SA"/>
              </w:rPr>
              <w:t>量不应大于</w:t>
            </w:r>
            <w:r>
              <w:rPr>
                <w:rFonts w:ascii="Times New Roman" w:hAnsi="Times New Roman" w:eastAsia="Times New Roman" w:cs="Times New Roman"/>
                <w:snapToGrid w:val="0"/>
                <w:color w:val="000000"/>
                <w:spacing w:val="-1"/>
                <w:kern w:val="0"/>
                <w:sz w:val="18"/>
                <w:szCs w:val="18"/>
                <w:lang w:val="en-US" w:eastAsia="en-US" w:bidi="ar-SA"/>
              </w:rPr>
              <w:t>50L/min</w:t>
            </w:r>
            <w:r>
              <w:rPr>
                <w:rFonts w:ascii="宋体" w:hAnsi="宋体" w:eastAsia="宋体" w:cs="宋体"/>
                <w:snapToGrid w:val="0"/>
                <w:color w:val="000000"/>
                <w:spacing w:val="-1"/>
                <w:kern w:val="0"/>
                <w:sz w:val="18"/>
                <w:szCs w:val="18"/>
                <w:lang w:val="en-US" w:eastAsia="en-US" w:bidi="ar-SA"/>
              </w:rPr>
              <w:t>。</w:t>
            </w:r>
          </w:p>
        </w:tc>
        <w:tc>
          <w:tcPr>
            <w:tcW w:w="1546" w:type="dxa"/>
            <w:vAlign w:val="top"/>
          </w:tcPr>
          <w:p w14:paraId="10ADE522">
            <w:pPr>
              <w:widowControl/>
              <w:kinsoku w:val="0"/>
              <w:autoSpaceDE w:val="0"/>
              <w:autoSpaceDN w:val="0"/>
              <w:adjustRightInd w:val="0"/>
              <w:snapToGrid w:val="0"/>
              <w:spacing w:before="42" w:line="236" w:lineRule="exact"/>
              <w:ind w:left="40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position w:val="1"/>
                <w:sz w:val="18"/>
                <w:szCs w:val="18"/>
                <w:lang w:eastAsia="en-US"/>
              </w:rPr>
              <w:t>5-50L/min</w:t>
            </w:r>
          </w:p>
        </w:tc>
        <w:tc>
          <w:tcPr>
            <w:tcW w:w="586" w:type="dxa"/>
            <w:tcBorders>
              <w:right w:val="single" w:color="000000" w:sz="10" w:space="0"/>
            </w:tcBorders>
            <w:vAlign w:val="top"/>
          </w:tcPr>
          <w:p w14:paraId="473CB6BE">
            <w:pPr>
              <w:kinsoku w:val="0"/>
              <w:autoSpaceDE w:val="0"/>
              <w:autoSpaceDN w:val="0"/>
              <w:adjustRightInd w:val="0"/>
              <w:snapToGrid w:val="0"/>
              <w:spacing w:before="71" w:line="212"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822DA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19A3D0BC">
            <w:pPr>
              <w:kinsoku w:val="0"/>
              <w:autoSpaceDE w:val="0"/>
              <w:autoSpaceDN w:val="0"/>
              <w:adjustRightInd w:val="0"/>
              <w:snapToGrid w:val="0"/>
              <w:spacing w:before="77" w:line="184" w:lineRule="auto"/>
              <w:ind w:left="21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sz w:val="20"/>
                <w:szCs w:val="20"/>
                <w:lang w:val="en-US" w:eastAsia="en-US" w:bidi="ar-SA"/>
              </w:rPr>
              <w:t>3</w:t>
            </w:r>
          </w:p>
        </w:tc>
        <w:tc>
          <w:tcPr>
            <w:tcW w:w="6569" w:type="dxa"/>
            <w:vAlign w:val="top"/>
          </w:tcPr>
          <w:p w14:paraId="3789D847">
            <w:pPr>
              <w:kinsoku w:val="0"/>
              <w:autoSpaceDE w:val="0"/>
              <w:autoSpaceDN w:val="0"/>
              <w:adjustRightInd w:val="0"/>
              <w:snapToGrid w:val="0"/>
              <w:spacing w:before="71" w:line="211"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加油软管上宜设安全拉断阀。</w:t>
            </w:r>
          </w:p>
        </w:tc>
        <w:tc>
          <w:tcPr>
            <w:tcW w:w="1546" w:type="dxa"/>
            <w:vAlign w:val="top"/>
          </w:tcPr>
          <w:p w14:paraId="72201386">
            <w:pPr>
              <w:kinsoku w:val="0"/>
              <w:autoSpaceDE w:val="0"/>
              <w:autoSpaceDN w:val="0"/>
              <w:adjustRightInd w:val="0"/>
              <w:snapToGrid w:val="0"/>
              <w:spacing w:before="71" w:line="211" w:lineRule="auto"/>
              <w:ind w:left="24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有安全拉断阀</w:t>
            </w:r>
          </w:p>
        </w:tc>
        <w:tc>
          <w:tcPr>
            <w:tcW w:w="586" w:type="dxa"/>
            <w:tcBorders>
              <w:right w:val="single" w:color="000000" w:sz="10" w:space="0"/>
            </w:tcBorders>
            <w:vAlign w:val="top"/>
          </w:tcPr>
          <w:p w14:paraId="5A8B0817">
            <w:pPr>
              <w:kinsoku w:val="0"/>
              <w:autoSpaceDE w:val="0"/>
              <w:autoSpaceDN w:val="0"/>
              <w:adjustRightInd w:val="0"/>
              <w:snapToGrid w:val="0"/>
              <w:spacing w:before="71" w:line="211"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21B58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0AB3ADDA">
            <w:pPr>
              <w:kinsoku w:val="0"/>
              <w:autoSpaceDE w:val="0"/>
              <w:autoSpaceDN w:val="0"/>
              <w:adjustRightInd w:val="0"/>
              <w:snapToGrid w:val="0"/>
              <w:spacing w:before="197" w:line="189" w:lineRule="auto"/>
              <w:ind w:left="21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kern w:val="0"/>
                <w:sz w:val="20"/>
                <w:szCs w:val="20"/>
                <w:lang w:val="en-US" w:eastAsia="en-US" w:bidi="ar-SA"/>
              </w:rPr>
              <w:t>4</w:t>
            </w:r>
          </w:p>
        </w:tc>
        <w:tc>
          <w:tcPr>
            <w:tcW w:w="6569" w:type="dxa"/>
            <w:vAlign w:val="top"/>
          </w:tcPr>
          <w:p w14:paraId="37F14451">
            <w:pPr>
              <w:kinsoku w:val="0"/>
              <w:autoSpaceDE w:val="0"/>
              <w:autoSpaceDN w:val="0"/>
              <w:adjustRightInd w:val="0"/>
              <w:snapToGrid w:val="0"/>
              <w:spacing w:before="59" w:line="233" w:lineRule="auto"/>
              <w:ind w:firstLine="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以正压（潜油泵）供油的加油机，底部的供油管道上应设剪切阀，当加油</w:t>
            </w:r>
            <w:r>
              <w:rPr>
                <w:rFonts w:ascii="宋体" w:hAnsi="宋体" w:eastAsia="宋体" w:cs="宋体"/>
                <w:snapToGrid w:val="0"/>
                <w:color w:val="000000"/>
                <w:spacing w:val="-4"/>
                <w:kern w:val="0"/>
                <w:sz w:val="18"/>
                <w:szCs w:val="18"/>
                <w:lang w:val="en-US" w:eastAsia="en-US" w:bidi="ar-SA"/>
              </w:rPr>
              <w:t>机被撞或起</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火时，剪切阀应能自动关闭。</w:t>
            </w:r>
          </w:p>
        </w:tc>
        <w:tc>
          <w:tcPr>
            <w:tcW w:w="1546" w:type="dxa"/>
            <w:vAlign w:val="top"/>
          </w:tcPr>
          <w:p w14:paraId="687FBBCE">
            <w:pPr>
              <w:kinsoku w:val="0"/>
              <w:autoSpaceDE w:val="0"/>
              <w:autoSpaceDN w:val="0"/>
              <w:adjustRightInd w:val="0"/>
              <w:snapToGrid w:val="0"/>
              <w:spacing w:before="192" w:line="220" w:lineRule="auto"/>
              <w:ind w:left="33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设有剪切阀</w:t>
            </w:r>
          </w:p>
        </w:tc>
        <w:tc>
          <w:tcPr>
            <w:tcW w:w="586" w:type="dxa"/>
            <w:tcBorders>
              <w:right w:val="single" w:color="000000" w:sz="10" w:space="0"/>
            </w:tcBorders>
            <w:vAlign w:val="top"/>
          </w:tcPr>
          <w:p w14:paraId="6B95E133">
            <w:pPr>
              <w:kinsoku w:val="0"/>
              <w:autoSpaceDE w:val="0"/>
              <w:autoSpaceDN w:val="0"/>
              <w:adjustRightInd w:val="0"/>
              <w:snapToGrid w:val="0"/>
              <w:spacing w:before="192"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9D097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4CA34AC3">
            <w:pPr>
              <w:widowControl/>
              <w:kinsoku w:val="0"/>
              <w:autoSpaceDE w:val="0"/>
              <w:autoSpaceDN w:val="0"/>
              <w:adjustRightInd w:val="0"/>
              <w:snapToGrid w:val="0"/>
              <w:spacing w:before="205" w:line="192" w:lineRule="auto"/>
              <w:ind w:left="214"/>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5</w:t>
            </w:r>
          </w:p>
        </w:tc>
        <w:tc>
          <w:tcPr>
            <w:tcW w:w="6569" w:type="dxa"/>
            <w:vAlign w:val="top"/>
          </w:tcPr>
          <w:p w14:paraId="7CE73E90">
            <w:pPr>
              <w:kinsoku w:val="0"/>
              <w:autoSpaceDE w:val="0"/>
              <w:autoSpaceDN w:val="0"/>
              <w:adjustRightInd w:val="0"/>
              <w:snapToGrid w:val="0"/>
              <w:spacing w:before="61" w:line="232"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采用一机多油品的加油机时，加油机上的放枪位应有各油品的文字标识，加油枪应有</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颜色标识。</w:t>
            </w:r>
          </w:p>
        </w:tc>
        <w:tc>
          <w:tcPr>
            <w:tcW w:w="1546" w:type="dxa"/>
            <w:vAlign w:val="top"/>
          </w:tcPr>
          <w:p w14:paraId="449347B4">
            <w:pPr>
              <w:kinsoku w:val="0"/>
              <w:autoSpaceDE w:val="0"/>
              <w:autoSpaceDN w:val="0"/>
              <w:adjustRightInd w:val="0"/>
              <w:snapToGrid w:val="0"/>
              <w:spacing w:before="61" w:line="232" w:lineRule="auto"/>
              <w:ind w:left="607" w:right="41" w:hanging="54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有文字标识有颜色</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标识</w:t>
            </w:r>
          </w:p>
        </w:tc>
        <w:tc>
          <w:tcPr>
            <w:tcW w:w="586" w:type="dxa"/>
            <w:tcBorders>
              <w:right w:val="single" w:color="000000" w:sz="10" w:space="0"/>
            </w:tcBorders>
            <w:vAlign w:val="top"/>
          </w:tcPr>
          <w:p w14:paraId="21C0EB21">
            <w:pPr>
              <w:kinsoku w:val="0"/>
              <w:autoSpaceDE w:val="0"/>
              <w:autoSpaceDN w:val="0"/>
              <w:adjustRightInd w:val="0"/>
              <w:snapToGrid w:val="0"/>
              <w:spacing w:before="191"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1361B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trPr>
        <w:tc>
          <w:tcPr>
            <w:tcW w:w="9242" w:type="dxa"/>
            <w:gridSpan w:val="4"/>
            <w:tcBorders>
              <w:left w:val="single" w:color="000000" w:sz="10" w:space="0"/>
              <w:right w:val="single" w:color="000000" w:sz="10" w:space="0"/>
            </w:tcBorders>
            <w:vAlign w:val="top"/>
          </w:tcPr>
          <w:p w14:paraId="6181202F">
            <w:pPr>
              <w:kinsoku w:val="0"/>
              <w:autoSpaceDE w:val="0"/>
              <w:autoSpaceDN w:val="0"/>
              <w:adjustRightInd w:val="0"/>
              <w:snapToGrid w:val="0"/>
              <w:spacing w:before="101" w:line="228" w:lineRule="auto"/>
              <w:ind w:left="36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（三）工艺管道系统</w:t>
            </w:r>
          </w:p>
        </w:tc>
      </w:tr>
      <w:tr w14:paraId="0674D0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1270BE68">
            <w:pPr>
              <w:kinsoku w:val="0"/>
              <w:autoSpaceDE w:val="0"/>
              <w:autoSpaceDN w:val="0"/>
              <w:adjustRightInd w:val="0"/>
              <w:snapToGrid w:val="0"/>
              <w:spacing w:before="75" w:line="207" w:lineRule="auto"/>
              <w:ind w:left="8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6569" w:type="dxa"/>
            <w:vAlign w:val="top"/>
          </w:tcPr>
          <w:p w14:paraId="72F29770">
            <w:pPr>
              <w:kinsoku w:val="0"/>
              <w:autoSpaceDE w:val="0"/>
              <w:autoSpaceDN w:val="0"/>
              <w:adjustRightInd w:val="0"/>
              <w:snapToGrid w:val="0"/>
              <w:spacing w:before="75" w:line="207" w:lineRule="auto"/>
              <w:ind w:left="292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546" w:type="dxa"/>
            <w:vAlign w:val="top"/>
          </w:tcPr>
          <w:p w14:paraId="157B2EAC">
            <w:pPr>
              <w:kinsoku w:val="0"/>
              <w:autoSpaceDE w:val="0"/>
              <w:autoSpaceDN w:val="0"/>
              <w:adjustRightInd w:val="0"/>
              <w:snapToGrid w:val="0"/>
              <w:spacing w:before="75" w:line="207" w:lineRule="auto"/>
              <w:ind w:left="4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586" w:type="dxa"/>
            <w:tcBorders>
              <w:right w:val="single" w:color="000000" w:sz="10" w:space="0"/>
            </w:tcBorders>
            <w:vAlign w:val="top"/>
          </w:tcPr>
          <w:p w14:paraId="4520AABA">
            <w:pPr>
              <w:kinsoku w:val="0"/>
              <w:autoSpaceDE w:val="0"/>
              <w:autoSpaceDN w:val="0"/>
              <w:adjustRightInd w:val="0"/>
              <w:snapToGrid w:val="0"/>
              <w:spacing w:before="75" w:line="207" w:lineRule="auto"/>
              <w:ind w:left="1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021798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541" w:type="dxa"/>
            <w:tcBorders>
              <w:left w:val="single" w:color="000000" w:sz="10" w:space="0"/>
            </w:tcBorders>
            <w:vAlign w:val="top"/>
          </w:tcPr>
          <w:p w14:paraId="5C00CFA1">
            <w:pPr>
              <w:kinsoku w:val="0"/>
              <w:autoSpaceDE w:val="0"/>
              <w:autoSpaceDN w:val="0"/>
              <w:adjustRightInd w:val="0"/>
              <w:snapToGrid w:val="0"/>
              <w:spacing w:before="120" w:line="184" w:lineRule="auto"/>
              <w:ind w:left="23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1</w:t>
            </w:r>
          </w:p>
        </w:tc>
        <w:tc>
          <w:tcPr>
            <w:tcW w:w="6569" w:type="dxa"/>
            <w:vAlign w:val="top"/>
          </w:tcPr>
          <w:p w14:paraId="4B53DC82">
            <w:pPr>
              <w:kinsoku w:val="0"/>
              <w:autoSpaceDE w:val="0"/>
              <w:autoSpaceDN w:val="0"/>
              <w:adjustRightInd w:val="0"/>
              <w:snapToGrid w:val="0"/>
              <w:spacing w:before="93" w:line="219"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汽油和柴油油罐车卸油必须采用密闭卸油方式。汽油油罐车应具有卸油油气回收系统。</w:t>
            </w:r>
          </w:p>
        </w:tc>
        <w:tc>
          <w:tcPr>
            <w:tcW w:w="1546" w:type="dxa"/>
            <w:vAlign w:val="top"/>
          </w:tcPr>
          <w:p w14:paraId="1FE93ABB">
            <w:pPr>
              <w:kinsoku w:val="0"/>
              <w:autoSpaceDE w:val="0"/>
              <w:autoSpaceDN w:val="0"/>
              <w:adjustRightInd w:val="0"/>
              <w:snapToGrid w:val="0"/>
              <w:spacing w:before="93" w:line="219" w:lineRule="auto"/>
              <w:ind w:left="6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采用密闭卸油方式</w:t>
            </w:r>
          </w:p>
        </w:tc>
        <w:tc>
          <w:tcPr>
            <w:tcW w:w="586" w:type="dxa"/>
            <w:tcBorders>
              <w:right w:val="single" w:color="000000" w:sz="10" w:space="0"/>
            </w:tcBorders>
            <w:vAlign w:val="top"/>
          </w:tcPr>
          <w:p w14:paraId="00B9ECDD">
            <w:pPr>
              <w:kinsoku w:val="0"/>
              <w:autoSpaceDE w:val="0"/>
              <w:autoSpaceDN w:val="0"/>
              <w:adjustRightInd w:val="0"/>
              <w:snapToGrid w:val="0"/>
              <w:spacing w:before="93"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524929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541" w:type="dxa"/>
            <w:tcBorders>
              <w:left w:val="single" w:color="000000" w:sz="10" w:space="0"/>
            </w:tcBorders>
            <w:vAlign w:val="top"/>
          </w:tcPr>
          <w:p w14:paraId="21A48441">
            <w:pPr>
              <w:widowControl/>
              <w:kinsoku w:val="0"/>
              <w:autoSpaceDE w:val="0"/>
              <w:autoSpaceDN w:val="0"/>
              <w:adjustRightInd w:val="0"/>
              <w:snapToGrid w:val="0"/>
              <w:spacing w:line="424" w:lineRule="auto"/>
              <w:jc w:val="left"/>
              <w:textAlignment w:val="baseline"/>
              <w:rPr>
                <w:rFonts w:ascii="Arial" w:hAnsi="Arial" w:eastAsia="Arial" w:cs="Arial"/>
                <w:snapToGrid w:val="0"/>
                <w:color w:val="000000"/>
                <w:kern w:val="0"/>
                <w:sz w:val="21"/>
                <w:lang w:eastAsia="en-US"/>
              </w:rPr>
            </w:pPr>
          </w:p>
          <w:p w14:paraId="35B5020B">
            <w:pPr>
              <w:kinsoku w:val="0"/>
              <w:autoSpaceDE w:val="0"/>
              <w:autoSpaceDN w:val="0"/>
              <w:adjustRightInd w:val="0"/>
              <w:snapToGrid w:val="0"/>
              <w:spacing w:before="59" w:line="183" w:lineRule="auto"/>
              <w:ind w:left="22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2</w:t>
            </w:r>
          </w:p>
        </w:tc>
        <w:tc>
          <w:tcPr>
            <w:tcW w:w="6569" w:type="dxa"/>
            <w:vAlign w:val="top"/>
          </w:tcPr>
          <w:p w14:paraId="048D5148">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33ED2407">
            <w:pPr>
              <w:kinsoku w:val="0"/>
              <w:autoSpaceDE w:val="0"/>
              <w:autoSpaceDN w:val="0"/>
              <w:adjustRightInd w:val="0"/>
              <w:snapToGrid w:val="0"/>
              <w:spacing w:before="58" w:line="257" w:lineRule="auto"/>
              <w:ind w:left="1" w:hanging="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每个油罐应各自设置卸油管道和卸油接口。各卸油接口及油气回收接口应有明显的标</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识。</w:t>
            </w:r>
          </w:p>
        </w:tc>
        <w:tc>
          <w:tcPr>
            <w:tcW w:w="1546" w:type="dxa"/>
            <w:vAlign w:val="top"/>
          </w:tcPr>
          <w:p w14:paraId="705D1ED9">
            <w:pPr>
              <w:kinsoku w:val="0"/>
              <w:autoSpaceDE w:val="0"/>
              <w:autoSpaceDN w:val="0"/>
              <w:adjustRightInd w:val="0"/>
              <w:snapToGrid w:val="0"/>
              <w:spacing w:before="66" w:line="258" w:lineRule="auto"/>
              <w:ind w:left="43" w:firstLine="2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每个油罐各自设置</w:t>
            </w:r>
            <w:r>
              <w:rPr>
                <w:rFonts w:ascii="宋体" w:hAnsi="宋体" w:eastAsia="宋体" w:cs="宋体"/>
                <w:snapToGrid w:val="0"/>
                <w:color w:val="000000"/>
                <w:kern w:val="0"/>
                <w:sz w:val="18"/>
                <w:szCs w:val="18"/>
                <w:lang w:val="en-US" w:eastAsia="en-US" w:bidi="ar-SA"/>
              </w:rPr>
              <w:t xml:space="preserve"> 卸油管道和卸油接</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口，各接口有明显的</w:t>
            </w:r>
          </w:p>
          <w:p w14:paraId="5CD3F3A3">
            <w:pPr>
              <w:kinsoku w:val="0"/>
              <w:autoSpaceDE w:val="0"/>
              <w:autoSpaceDN w:val="0"/>
              <w:adjustRightInd w:val="0"/>
              <w:snapToGrid w:val="0"/>
              <w:spacing w:before="24" w:line="192" w:lineRule="auto"/>
              <w:ind w:left="51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标识。</w:t>
            </w:r>
          </w:p>
        </w:tc>
        <w:tc>
          <w:tcPr>
            <w:tcW w:w="586" w:type="dxa"/>
            <w:tcBorders>
              <w:right w:val="single" w:color="000000" w:sz="10" w:space="0"/>
            </w:tcBorders>
            <w:vAlign w:val="top"/>
          </w:tcPr>
          <w:p w14:paraId="6FAC0760">
            <w:pPr>
              <w:widowControl/>
              <w:kinsoku w:val="0"/>
              <w:autoSpaceDE w:val="0"/>
              <w:autoSpaceDN w:val="0"/>
              <w:adjustRightInd w:val="0"/>
              <w:snapToGrid w:val="0"/>
              <w:spacing w:line="396" w:lineRule="auto"/>
              <w:jc w:val="left"/>
              <w:textAlignment w:val="baseline"/>
              <w:rPr>
                <w:rFonts w:ascii="Arial" w:hAnsi="Arial" w:eastAsia="Arial" w:cs="Arial"/>
                <w:snapToGrid w:val="0"/>
                <w:color w:val="000000"/>
                <w:kern w:val="0"/>
                <w:sz w:val="21"/>
                <w:lang w:eastAsia="en-US"/>
              </w:rPr>
            </w:pPr>
          </w:p>
          <w:p w14:paraId="139A7968">
            <w:pPr>
              <w:kinsoku w:val="0"/>
              <w:autoSpaceDE w:val="0"/>
              <w:autoSpaceDN w:val="0"/>
              <w:adjustRightInd w:val="0"/>
              <w:snapToGrid w:val="0"/>
              <w:spacing w:before="5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98C0F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7EAE845F">
            <w:pPr>
              <w:kinsoku w:val="0"/>
              <w:autoSpaceDE w:val="0"/>
              <w:autoSpaceDN w:val="0"/>
              <w:adjustRightInd w:val="0"/>
              <w:snapToGrid w:val="0"/>
              <w:spacing w:before="227" w:line="183" w:lineRule="auto"/>
              <w:ind w:left="2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3</w:t>
            </w:r>
          </w:p>
        </w:tc>
        <w:tc>
          <w:tcPr>
            <w:tcW w:w="6569" w:type="dxa"/>
            <w:vAlign w:val="top"/>
          </w:tcPr>
          <w:p w14:paraId="759CD30D">
            <w:pPr>
              <w:kinsoku w:val="0"/>
              <w:autoSpaceDE w:val="0"/>
              <w:autoSpaceDN w:val="0"/>
              <w:adjustRightInd w:val="0"/>
              <w:snapToGrid w:val="0"/>
              <w:spacing w:before="199" w:line="220" w:lineRule="auto"/>
              <w:ind w:left="9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卸油接口应装设快速接头及密封盖。</w:t>
            </w:r>
          </w:p>
        </w:tc>
        <w:tc>
          <w:tcPr>
            <w:tcW w:w="1546" w:type="dxa"/>
            <w:vAlign w:val="top"/>
          </w:tcPr>
          <w:p w14:paraId="7A742D05">
            <w:pPr>
              <w:kinsoku w:val="0"/>
              <w:autoSpaceDE w:val="0"/>
              <w:autoSpaceDN w:val="0"/>
              <w:adjustRightInd w:val="0"/>
              <w:snapToGrid w:val="0"/>
              <w:spacing w:before="69" w:line="228" w:lineRule="auto"/>
              <w:ind w:left="605" w:right="41" w:hanging="53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设有快速接头及密</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封盖</w:t>
            </w:r>
          </w:p>
        </w:tc>
        <w:tc>
          <w:tcPr>
            <w:tcW w:w="586" w:type="dxa"/>
            <w:tcBorders>
              <w:right w:val="single" w:color="000000" w:sz="10" w:space="0"/>
            </w:tcBorders>
            <w:vAlign w:val="top"/>
          </w:tcPr>
          <w:p w14:paraId="74E6FF60">
            <w:pPr>
              <w:kinsoku w:val="0"/>
              <w:autoSpaceDE w:val="0"/>
              <w:autoSpaceDN w:val="0"/>
              <w:adjustRightInd w:val="0"/>
              <w:snapToGrid w:val="0"/>
              <w:spacing w:before="199"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FF3B3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3" w:hRule="atLeast"/>
        </w:trPr>
        <w:tc>
          <w:tcPr>
            <w:tcW w:w="541" w:type="dxa"/>
            <w:tcBorders>
              <w:left w:val="single" w:color="000000" w:sz="10" w:space="0"/>
            </w:tcBorders>
            <w:vAlign w:val="top"/>
          </w:tcPr>
          <w:p w14:paraId="706D8E38">
            <w:pPr>
              <w:widowControl/>
              <w:kinsoku w:val="0"/>
              <w:autoSpaceDE w:val="0"/>
              <w:autoSpaceDN w:val="0"/>
              <w:adjustRightInd w:val="0"/>
              <w:snapToGrid w:val="0"/>
              <w:spacing w:line="277" w:lineRule="auto"/>
              <w:jc w:val="left"/>
              <w:textAlignment w:val="baseline"/>
              <w:rPr>
                <w:rFonts w:ascii="Arial" w:hAnsi="Arial" w:eastAsia="Arial" w:cs="Arial"/>
                <w:snapToGrid w:val="0"/>
                <w:color w:val="000000"/>
                <w:kern w:val="0"/>
                <w:sz w:val="21"/>
                <w:lang w:eastAsia="en-US"/>
              </w:rPr>
            </w:pPr>
          </w:p>
          <w:p w14:paraId="4BFB72A1">
            <w:pPr>
              <w:widowControl/>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lang w:eastAsia="en-US"/>
              </w:rPr>
            </w:pPr>
          </w:p>
          <w:p w14:paraId="5345B855">
            <w:pPr>
              <w:kinsoku w:val="0"/>
              <w:autoSpaceDE w:val="0"/>
              <w:autoSpaceDN w:val="0"/>
              <w:adjustRightInd w:val="0"/>
              <w:snapToGrid w:val="0"/>
              <w:spacing w:before="59" w:line="183" w:lineRule="auto"/>
              <w:ind w:left="2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4</w:t>
            </w:r>
          </w:p>
        </w:tc>
        <w:tc>
          <w:tcPr>
            <w:tcW w:w="6569" w:type="dxa"/>
            <w:vAlign w:val="top"/>
          </w:tcPr>
          <w:p w14:paraId="5BB119B2">
            <w:pPr>
              <w:kinsoku w:val="0"/>
              <w:autoSpaceDE w:val="0"/>
              <w:autoSpaceDN w:val="0"/>
              <w:adjustRightInd w:val="0"/>
              <w:snapToGrid w:val="0"/>
              <w:spacing w:before="68" w:line="220"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加油站卸油油气回收系统的设计应符合下列规定：</w:t>
            </w:r>
          </w:p>
          <w:p w14:paraId="2F6B4537">
            <w:pPr>
              <w:kinsoku w:val="0"/>
              <w:autoSpaceDE w:val="0"/>
              <w:autoSpaceDN w:val="0"/>
              <w:adjustRightInd w:val="0"/>
              <w:snapToGrid w:val="0"/>
              <w:spacing w:before="47" w:line="219" w:lineRule="auto"/>
              <w:ind w:left="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1  </w:t>
            </w:r>
            <w:r>
              <w:rPr>
                <w:rFonts w:ascii="宋体" w:hAnsi="宋体" w:eastAsia="宋体" w:cs="宋体"/>
                <w:snapToGrid w:val="0"/>
                <w:color w:val="000000"/>
                <w:spacing w:val="-1"/>
                <w:kern w:val="0"/>
                <w:sz w:val="18"/>
                <w:szCs w:val="18"/>
                <w:lang w:val="en-US" w:eastAsia="en-US" w:bidi="ar-SA"/>
              </w:rPr>
              <w:t>汽油罐车向站内油罐卸油应采用平衡式密闭油气回收系统；</w:t>
            </w:r>
          </w:p>
          <w:p w14:paraId="0301905C">
            <w:pPr>
              <w:kinsoku w:val="0"/>
              <w:autoSpaceDE w:val="0"/>
              <w:autoSpaceDN w:val="0"/>
              <w:adjustRightInd w:val="0"/>
              <w:snapToGrid w:val="0"/>
              <w:spacing w:before="45" w:line="220"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kern w:val="0"/>
                <w:sz w:val="18"/>
                <w:szCs w:val="18"/>
                <w:lang w:val="en-US" w:eastAsia="en-US" w:bidi="ar-SA"/>
              </w:rPr>
              <w:t xml:space="preserve">2  </w:t>
            </w:r>
            <w:r>
              <w:rPr>
                <w:rFonts w:ascii="宋体" w:hAnsi="宋体" w:eastAsia="宋体" w:cs="宋体"/>
                <w:snapToGrid w:val="0"/>
                <w:color w:val="000000"/>
                <w:kern w:val="0"/>
                <w:sz w:val="18"/>
                <w:szCs w:val="18"/>
                <w:lang w:val="en-US" w:eastAsia="en-US" w:bidi="ar-SA"/>
              </w:rPr>
              <w:t>各汽油罐可共用一根卸油油气回收主管，回收主管的公</w:t>
            </w:r>
            <w:r>
              <w:rPr>
                <w:rFonts w:ascii="宋体" w:hAnsi="宋体" w:eastAsia="宋体" w:cs="宋体"/>
                <w:snapToGrid w:val="0"/>
                <w:color w:val="000000"/>
                <w:spacing w:val="-1"/>
                <w:kern w:val="0"/>
                <w:sz w:val="18"/>
                <w:szCs w:val="18"/>
                <w:lang w:val="en-US" w:eastAsia="en-US" w:bidi="ar-SA"/>
              </w:rPr>
              <w:t>称直径不宜小于</w:t>
            </w:r>
            <w:r>
              <w:rPr>
                <w:rFonts w:ascii="Times New Roman" w:hAnsi="Times New Roman" w:eastAsia="Times New Roman" w:cs="Times New Roman"/>
                <w:snapToGrid w:val="0"/>
                <w:color w:val="000000"/>
                <w:spacing w:val="-1"/>
                <w:kern w:val="0"/>
                <w:sz w:val="18"/>
                <w:szCs w:val="18"/>
                <w:lang w:val="en-US" w:eastAsia="en-US" w:bidi="ar-SA"/>
              </w:rPr>
              <w:t>100mm</w:t>
            </w:r>
            <w:r>
              <w:rPr>
                <w:rFonts w:ascii="宋体" w:hAnsi="宋体" w:eastAsia="宋体" w:cs="宋体"/>
                <w:snapToGrid w:val="0"/>
                <w:color w:val="000000"/>
                <w:spacing w:val="-1"/>
                <w:kern w:val="0"/>
                <w:sz w:val="18"/>
                <w:szCs w:val="18"/>
                <w:lang w:val="en-US" w:eastAsia="en-US" w:bidi="ar-SA"/>
              </w:rPr>
              <w:t>；</w:t>
            </w:r>
          </w:p>
          <w:p w14:paraId="2D76A8CA">
            <w:pPr>
              <w:kinsoku w:val="0"/>
              <w:autoSpaceDE w:val="0"/>
              <w:autoSpaceDN w:val="0"/>
              <w:adjustRightInd w:val="0"/>
              <w:snapToGrid w:val="0"/>
              <w:spacing w:before="44" w:line="228" w:lineRule="auto"/>
              <w:ind w:left="8" w:hanging="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3  </w:t>
            </w:r>
            <w:r>
              <w:rPr>
                <w:rFonts w:ascii="宋体" w:hAnsi="宋体" w:eastAsia="宋体" w:cs="宋体"/>
                <w:snapToGrid w:val="0"/>
                <w:color w:val="000000"/>
                <w:spacing w:val="2"/>
                <w:kern w:val="0"/>
                <w:sz w:val="18"/>
                <w:szCs w:val="18"/>
                <w:lang w:val="en-US" w:eastAsia="en-US" w:bidi="ar-SA"/>
              </w:rPr>
              <w:t>卸油油气回收管道的接口宜采用自闭式快速接头和盖帽，采用非自闭式快速接头</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时，应在靠近快速接头的连接管道上装设阀门和盖帽。</w:t>
            </w:r>
          </w:p>
        </w:tc>
        <w:tc>
          <w:tcPr>
            <w:tcW w:w="1546" w:type="dxa"/>
            <w:vAlign w:val="top"/>
          </w:tcPr>
          <w:p w14:paraId="217CDD2C">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345E9846">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75A2CC26">
            <w:pPr>
              <w:kinsoku w:val="0"/>
              <w:autoSpaceDE w:val="0"/>
              <w:autoSpaceDN w:val="0"/>
              <w:adjustRightInd w:val="0"/>
              <w:snapToGrid w:val="0"/>
              <w:spacing w:before="58" w:line="220" w:lineRule="auto"/>
              <w:ind w:left="24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符合规定要求</w:t>
            </w:r>
          </w:p>
        </w:tc>
        <w:tc>
          <w:tcPr>
            <w:tcW w:w="586" w:type="dxa"/>
            <w:tcBorders>
              <w:right w:val="single" w:color="000000" w:sz="10" w:space="0"/>
            </w:tcBorders>
            <w:vAlign w:val="top"/>
          </w:tcPr>
          <w:p w14:paraId="171AF17A">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10CAEB0A">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37FBA00C">
            <w:pPr>
              <w:kinsoku w:val="0"/>
              <w:autoSpaceDE w:val="0"/>
              <w:autoSpaceDN w:val="0"/>
              <w:adjustRightInd w:val="0"/>
              <w:snapToGrid w:val="0"/>
              <w:spacing w:before="58"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5D804C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7EED266A">
            <w:pPr>
              <w:kinsoku w:val="0"/>
              <w:autoSpaceDE w:val="0"/>
              <w:autoSpaceDN w:val="0"/>
              <w:adjustRightInd w:val="0"/>
              <w:snapToGrid w:val="0"/>
              <w:spacing w:before="229" w:line="182" w:lineRule="auto"/>
              <w:ind w:left="22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5</w:t>
            </w:r>
          </w:p>
        </w:tc>
        <w:tc>
          <w:tcPr>
            <w:tcW w:w="6569" w:type="dxa"/>
            <w:vAlign w:val="top"/>
          </w:tcPr>
          <w:p w14:paraId="6B4B4E87">
            <w:pPr>
              <w:kinsoku w:val="0"/>
              <w:autoSpaceDE w:val="0"/>
              <w:autoSpaceDN w:val="0"/>
              <w:adjustRightInd w:val="0"/>
              <w:snapToGrid w:val="0"/>
              <w:spacing w:before="71" w:line="227"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加油站宜采用油罐装设潜油泵的一泵供多机（枪）的加油工</w:t>
            </w:r>
            <w:r>
              <w:rPr>
                <w:rFonts w:ascii="宋体" w:hAnsi="宋体" w:eastAsia="宋体" w:cs="宋体"/>
                <w:snapToGrid w:val="0"/>
                <w:color w:val="000000"/>
                <w:spacing w:val="-8"/>
                <w:kern w:val="0"/>
                <w:sz w:val="18"/>
                <w:szCs w:val="18"/>
                <w:lang w:val="en-US" w:eastAsia="en-US" w:bidi="ar-SA"/>
              </w:rPr>
              <w:t>艺。采用自吸式加油机时，</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每台加油机应按加油品种单独设置进油管和罐内底阀。</w:t>
            </w:r>
          </w:p>
        </w:tc>
        <w:tc>
          <w:tcPr>
            <w:tcW w:w="1546" w:type="dxa"/>
            <w:vAlign w:val="top"/>
          </w:tcPr>
          <w:p w14:paraId="73920414">
            <w:pPr>
              <w:kinsoku w:val="0"/>
              <w:autoSpaceDE w:val="0"/>
              <w:autoSpaceDN w:val="0"/>
              <w:adjustRightInd w:val="0"/>
              <w:snapToGrid w:val="0"/>
              <w:spacing w:before="71" w:line="227" w:lineRule="auto"/>
              <w:ind w:left="155" w:hanging="13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油</w:t>
            </w:r>
            <w:r>
              <w:rPr>
                <w:rFonts w:ascii="宋体" w:hAnsi="宋体" w:eastAsia="宋体" w:cs="宋体"/>
                <w:snapToGrid w:val="0"/>
                <w:color w:val="000000"/>
                <w:spacing w:val="-11"/>
                <w:kern w:val="0"/>
                <w:sz w:val="18"/>
                <w:szCs w:val="18"/>
                <w:lang w:val="en-US" w:eastAsia="en-US" w:bidi="ar-SA"/>
              </w:rPr>
              <w:t>罐装设潜油泵，</w:t>
            </w:r>
            <w:r>
              <w:rPr>
                <w:rFonts w:ascii="宋体" w:hAnsi="宋体" w:eastAsia="宋体" w:cs="宋体"/>
                <w:snapToGrid w:val="0"/>
                <w:color w:val="000000"/>
                <w:spacing w:val="-10"/>
                <w:kern w:val="0"/>
                <w:sz w:val="18"/>
                <w:szCs w:val="18"/>
                <w:lang w:val="en-US" w:eastAsia="en-US" w:bidi="ar-SA"/>
              </w:rPr>
              <w:t>一</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泵供多机（枪）</w:t>
            </w:r>
          </w:p>
        </w:tc>
        <w:tc>
          <w:tcPr>
            <w:tcW w:w="586" w:type="dxa"/>
            <w:tcBorders>
              <w:right w:val="single" w:color="000000" w:sz="10" w:space="0"/>
            </w:tcBorders>
            <w:vAlign w:val="top"/>
          </w:tcPr>
          <w:p w14:paraId="07F1113F">
            <w:pPr>
              <w:kinsoku w:val="0"/>
              <w:autoSpaceDE w:val="0"/>
              <w:autoSpaceDN w:val="0"/>
              <w:adjustRightInd w:val="0"/>
              <w:snapToGrid w:val="0"/>
              <w:spacing w:before="200"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6A110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7E2D4F15">
            <w:pPr>
              <w:kinsoku w:val="0"/>
              <w:autoSpaceDE w:val="0"/>
              <w:autoSpaceDN w:val="0"/>
              <w:adjustRightInd w:val="0"/>
              <w:snapToGrid w:val="0"/>
              <w:spacing w:before="230" w:line="183" w:lineRule="auto"/>
              <w:ind w:left="22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6</w:t>
            </w:r>
          </w:p>
        </w:tc>
        <w:tc>
          <w:tcPr>
            <w:tcW w:w="6569" w:type="dxa"/>
            <w:vAlign w:val="top"/>
          </w:tcPr>
          <w:p w14:paraId="7D686740">
            <w:pPr>
              <w:kinsoku w:val="0"/>
              <w:autoSpaceDE w:val="0"/>
              <w:autoSpaceDN w:val="0"/>
              <w:adjustRightInd w:val="0"/>
              <w:snapToGrid w:val="0"/>
              <w:spacing w:before="202" w:line="219"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加油站应采用加油油气回收系统。</w:t>
            </w:r>
          </w:p>
        </w:tc>
        <w:tc>
          <w:tcPr>
            <w:tcW w:w="1546" w:type="dxa"/>
            <w:vAlign w:val="top"/>
          </w:tcPr>
          <w:p w14:paraId="45C8BF76">
            <w:pPr>
              <w:kinsoku w:val="0"/>
              <w:autoSpaceDE w:val="0"/>
              <w:autoSpaceDN w:val="0"/>
              <w:adjustRightInd w:val="0"/>
              <w:snapToGrid w:val="0"/>
              <w:spacing w:before="71" w:line="227" w:lineRule="auto"/>
              <w:ind w:left="609" w:right="41" w:hanging="54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采用加油油气回收</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系统</w:t>
            </w:r>
          </w:p>
        </w:tc>
        <w:tc>
          <w:tcPr>
            <w:tcW w:w="586" w:type="dxa"/>
            <w:tcBorders>
              <w:right w:val="single" w:color="000000" w:sz="10" w:space="0"/>
            </w:tcBorders>
            <w:vAlign w:val="top"/>
          </w:tcPr>
          <w:p w14:paraId="02AC89A5">
            <w:pPr>
              <w:kinsoku w:val="0"/>
              <w:autoSpaceDE w:val="0"/>
              <w:autoSpaceDN w:val="0"/>
              <w:adjustRightInd w:val="0"/>
              <w:snapToGrid w:val="0"/>
              <w:spacing w:before="201"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52C0A0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81" w:hRule="atLeast"/>
        </w:trPr>
        <w:tc>
          <w:tcPr>
            <w:tcW w:w="541" w:type="dxa"/>
            <w:tcBorders>
              <w:left w:val="single" w:color="000000" w:sz="10" w:space="0"/>
            </w:tcBorders>
            <w:vAlign w:val="top"/>
          </w:tcPr>
          <w:p w14:paraId="34EE6249">
            <w:pPr>
              <w:widowControl/>
              <w:kinsoku w:val="0"/>
              <w:autoSpaceDE w:val="0"/>
              <w:autoSpaceDN w:val="0"/>
              <w:adjustRightInd w:val="0"/>
              <w:snapToGrid w:val="0"/>
              <w:spacing w:line="316" w:lineRule="auto"/>
              <w:jc w:val="left"/>
              <w:textAlignment w:val="baseline"/>
              <w:rPr>
                <w:rFonts w:ascii="Arial" w:hAnsi="Arial" w:eastAsia="Arial" w:cs="Arial"/>
                <w:snapToGrid w:val="0"/>
                <w:color w:val="000000"/>
                <w:kern w:val="0"/>
                <w:sz w:val="21"/>
                <w:lang w:eastAsia="en-US"/>
              </w:rPr>
            </w:pPr>
          </w:p>
          <w:p w14:paraId="4DDCD5A6">
            <w:pPr>
              <w:widowControl/>
              <w:kinsoku w:val="0"/>
              <w:autoSpaceDE w:val="0"/>
              <w:autoSpaceDN w:val="0"/>
              <w:adjustRightInd w:val="0"/>
              <w:snapToGrid w:val="0"/>
              <w:spacing w:line="316" w:lineRule="auto"/>
              <w:jc w:val="left"/>
              <w:textAlignment w:val="baseline"/>
              <w:rPr>
                <w:rFonts w:ascii="Arial" w:hAnsi="Arial" w:eastAsia="Arial" w:cs="Arial"/>
                <w:snapToGrid w:val="0"/>
                <w:color w:val="000000"/>
                <w:kern w:val="0"/>
                <w:sz w:val="21"/>
                <w:lang w:eastAsia="en-US"/>
              </w:rPr>
            </w:pPr>
          </w:p>
          <w:p w14:paraId="0277475F">
            <w:pPr>
              <w:widowControl/>
              <w:kinsoku w:val="0"/>
              <w:autoSpaceDE w:val="0"/>
              <w:autoSpaceDN w:val="0"/>
              <w:adjustRightInd w:val="0"/>
              <w:snapToGrid w:val="0"/>
              <w:spacing w:line="316" w:lineRule="auto"/>
              <w:jc w:val="left"/>
              <w:textAlignment w:val="baseline"/>
              <w:rPr>
                <w:rFonts w:ascii="Arial" w:hAnsi="Arial" w:eastAsia="Arial" w:cs="Arial"/>
                <w:snapToGrid w:val="0"/>
                <w:color w:val="000000"/>
                <w:kern w:val="0"/>
                <w:sz w:val="21"/>
                <w:lang w:eastAsia="en-US"/>
              </w:rPr>
            </w:pPr>
          </w:p>
          <w:p w14:paraId="66528F6F">
            <w:pPr>
              <w:kinsoku w:val="0"/>
              <w:autoSpaceDE w:val="0"/>
              <w:autoSpaceDN w:val="0"/>
              <w:adjustRightInd w:val="0"/>
              <w:snapToGrid w:val="0"/>
              <w:spacing w:before="58" w:line="182" w:lineRule="auto"/>
              <w:ind w:left="22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7</w:t>
            </w:r>
          </w:p>
        </w:tc>
        <w:tc>
          <w:tcPr>
            <w:tcW w:w="6569" w:type="dxa"/>
            <w:vAlign w:val="top"/>
          </w:tcPr>
          <w:p w14:paraId="389D815A">
            <w:pPr>
              <w:kinsoku w:val="0"/>
              <w:autoSpaceDE w:val="0"/>
              <w:autoSpaceDN w:val="0"/>
              <w:adjustRightInd w:val="0"/>
              <w:snapToGrid w:val="0"/>
              <w:spacing w:before="73" w:line="220"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加油油气回收系统的设计应符合下列规定：</w:t>
            </w:r>
          </w:p>
          <w:p w14:paraId="4D3D1F84">
            <w:pPr>
              <w:kinsoku w:val="0"/>
              <w:autoSpaceDE w:val="0"/>
              <w:autoSpaceDN w:val="0"/>
              <w:adjustRightInd w:val="0"/>
              <w:snapToGrid w:val="0"/>
              <w:spacing w:before="44" w:line="219" w:lineRule="auto"/>
              <w:ind w:left="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1  </w:t>
            </w:r>
            <w:r>
              <w:rPr>
                <w:rFonts w:ascii="宋体" w:hAnsi="宋体" w:eastAsia="宋体" w:cs="宋体"/>
                <w:snapToGrid w:val="0"/>
                <w:color w:val="000000"/>
                <w:spacing w:val="-2"/>
                <w:kern w:val="0"/>
                <w:sz w:val="18"/>
                <w:szCs w:val="18"/>
                <w:lang w:val="en-US" w:eastAsia="en-US" w:bidi="ar-SA"/>
              </w:rPr>
              <w:t>应采用真空辅助式油气回收系统；</w:t>
            </w:r>
          </w:p>
          <w:p w14:paraId="6D62AACB">
            <w:pPr>
              <w:kinsoku w:val="0"/>
              <w:autoSpaceDE w:val="0"/>
              <w:autoSpaceDN w:val="0"/>
              <w:adjustRightInd w:val="0"/>
              <w:snapToGrid w:val="0"/>
              <w:spacing w:before="47" w:line="243" w:lineRule="auto"/>
              <w:ind w:left="6" w:hanging="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汽油加油机与油罐之间应设油气回收管</w:t>
            </w:r>
            <w:r>
              <w:rPr>
                <w:rFonts w:ascii="宋体" w:hAnsi="宋体" w:eastAsia="宋体" w:cs="宋体"/>
                <w:snapToGrid w:val="0"/>
                <w:color w:val="000000"/>
                <w:spacing w:val="-3"/>
                <w:kern w:val="0"/>
                <w:sz w:val="18"/>
                <w:szCs w:val="18"/>
                <w:lang w:val="en-US" w:eastAsia="en-US" w:bidi="ar-SA"/>
              </w:rPr>
              <w:t>道，多台汽油加油机可共用一根油气回收主</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管，油气回收主管的公称直径不应小于</w:t>
            </w:r>
            <w:r>
              <w:rPr>
                <w:rFonts w:ascii="Times New Roman" w:hAnsi="Times New Roman" w:eastAsia="Times New Roman" w:cs="Times New Roman"/>
                <w:snapToGrid w:val="0"/>
                <w:color w:val="000000"/>
                <w:spacing w:val="-1"/>
                <w:kern w:val="0"/>
                <w:sz w:val="18"/>
                <w:szCs w:val="18"/>
                <w:lang w:val="en-US" w:eastAsia="en-US" w:bidi="ar-SA"/>
              </w:rPr>
              <w:t>50mm</w:t>
            </w:r>
            <w:r>
              <w:rPr>
                <w:rFonts w:ascii="宋体" w:hAnsi="宋体" w:eastAsia="宋体" w:cs="宋体"/>
                <w:snapToGrid w:val="0"/>
                <w:color w:val="000000"/>
                <w:spacing w:val="-1"/>
                <w:kern w:val="0"/>
                <w:sz w:val="18"/>
                <w:szCs w:val="18"/>
                <w:lang w:val="en-US" w:eastAsia="en-US" w:bidi="ar-SA"/>
              </w:rPr>
              <w:t>；</w:t>
            </w:r>
          </w:p>
          <w:p w14:paraId="481678B3">
            <w:pPr>
              <w:kinsoku w:val="0"/>
              <w:autoSpaceDE w:val="0"/>
              <w:autoSpaceDN w:val="0"/>
              <w:adjustRightInd w:val="0"/>
              <w:snapToGrid w:val="0"/>
              <w:spacing w:before="45" w:line="219"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3  </w:t>
            </w:r>
            <w:r>
              <w:rPr>
                <w:rFonts w:ascii="宋体" w:hAnsi="宋体" w:eastAsia="宋体" w:cs="宋体"/>
                <w:snapToGrid w:val="0"/>
                <w:color w:val="000000"/>
                <w:spacing w:val="-1"/>
                <w:kern w:val="0"/>
                <w:sz w:val="18"/>
                <w:szCs w:val="18"/>
                <w:lang w:val="en-US" w:eastAsia="en-US" w:bidi="ar-SA"/>
              </w:rPr>
              <w:t>加油油气回收系统应采取防止油气反向流至加油枪的措施；</w:t>
            </w:r>
          </w:p>
          <w:p w14:paraId="7E0B968D">
            <w:pPr>
              <w:kinsoku w:val="0"/>
              <w:autoSpaceDE w:val="0"/>
              <w:autoSpaceDN w:val="0"/>
              <w:adjustRightInd w:val="0"/>
              <w:snapToGrid w:val="0"/>
              <w:spacing w:before="48" w:line="219"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4  </w:t>
            </w:r>
            <w:r>
              <w:rPr>
                <w:rFonts w:ascii="宋体" w:hAnsi="宋体" w:eastAsia="宋体" w:cs="宋体"/>
                <w:snapToGrid w:val="0"/>
                <w:color w:val="000000"/>
                <w:spacing w:val="-1"/>
                <w:kern w:val="0"/>
                <w:sz w:val="18"/>
                <w:szCs w:val="18"/>
                <w:lang w:val="en-US" w:eastAsia="en-US" w:bidi="ar-SA"/>
              </w:rPr>
              <w:t>加油机应具备回收油气功能，其气液比宜设定为</w:t>
            </w:r>
            <w:r>
              <w:rPr>
                <w:rFonts w:ascii="Times New Roman" w:hAnsi="Times New Roman" w:eastAsia="Times New Roman" w:cs="Times New Roman"/>
                <w:snapToGrid w:val="0"/>
                <w:color w:val="000000"/>
                <w:spacing w:val="-1"/>
                <w:kern w:val="0"/>
                <w:sz w:val="18"/>
                <w:szCs w:val="18"/>
                <w:lang w:val="en-US" w:eastAsia="en-US" w:bidi="ar-SA"/>
              </w:rPr>
              <w:t>1.0~</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1.2</w:t>
            </w:r>
            <w:r>
              <w:rPr>
                <w:rFonts w:ascii="宋体" w:hAnsi="宋体" w:eastAsia="宋体" w:cs="宋体"/>
                <w:snapToGrid w:val="0"/>
                <w:color w:val="000000"/>
                <w:spacing w:val="-1"/>
                <w:kern w:val="0"/>
                <w:sz w:val="18"/>
                <w:szCs w:val="18"/>
                <w:lang w:val="en-US" w:eastAsia="en-US" w:bidi="ar-SA"/>
              </w:rPr>
              <w:t>；</w:t>
            </w:r>
          </w:p>
          <w:p w14:paraId="16E2BE90">
            <w:pPr>
              <w:kinsoku w:val="0"/>
              <w:autoSpaceDE w:val="0"/>
              <w:autoSpaceDN w:val="0"/>
              <w:adjustRightInd w:val="0"/>
              <w:snapToGrid w:val="0"/>
              <w:spacing w:before="46" w:line="224"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5  </w:t>
            </w:r>
            <w:r>
              <w:rPr>
                <w:rFonts w:ascii="宋体" w:hAnsi="宋体" w:eastAsia="宋体" w:cs="宋体"/>
                <w:snapToGrid w:val="0"/>
                <w:color w:val="000000"/>
                <w:spacing w:val="-2"/>
                <w:kern w:val="0"/>
                <w:sz w:val="18"/>
                <w:szCs w:val="18"/>
                <w:lang w:val="en-US" w:eastAsia="en-US" w:bidi="ar-SA"/>
              </w:rPr>
              <w:t>在加油机底部与油气回收立管的连接</w:t>
            </w:r>
            <w:r>
              <w:rPr>
                <w:rFonts w:ascii="宋体" w:hAnsi="宋体" w:eastAsia="宋体" w:cs="宋体"/>
                <w:snapToGrid w:val="0"/>
                <w:color w:val="000000"/>
                <w:spacing w:val="-3"/>
                <w:kern w:val="0"/>
                <w:sz w:val="18"/>
                <w:szCs w:val="18"/>
                <w:lang w:val="en-US" w:eastAsia="en-US" w:bidi="ar-SA"/>
              </w:rPr>
              <w:t>处，应安装一个用于检测液阻和系统密闭性的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丝接三通，其旁通短管上应设公称直径为</w:t>
            </w:r>
            <w:r>
              <w:rPr>
                <w:rFonts w:ascii="Times New Roman" w:hAnsi="Times New Roman" w:eastAsia="Times New Roman" w:cs="Times New Roman"/>
                <w:snapToGrid w:val="0"/>
                <w:color w:val="000000"/>
                <w:spacing w:val="-1"/>
                <w:kern w:val="0"/>
                <w:sz w:val="18"/>
                <w:szCs w:val="18"/>
                <w:lang w:val="en-US" w:eastAsia="en-US" w:bidi="ar-SA"/>
              </w:rPr>
              <w:t>25mm</w:t>
            </w:r>
            <w:r>
              <w:rPr>
                <w:rFonts w:ascii="宋体" w:hAnsi="宋体" w:eastAsia="宋体" w:cs="宋体"/>
                <w:snapToGrid w:val="0"/>
                <w:color w:val="000000"/>
                <w:spacing w:val="-1"/>
                <w:kern w:val="0"/>
                <w:sz w:val="18"/>
                <w:szCs w:val="18"/>
                <w:lang w:val="en-US" w:eastAsia="en-US" w:bidi="ar-SA"/>
              </w:rPr>
              <w:t>的球阀及丝堵。</w:t>
            </w:r>
          </w:p>
        </w:tc>
        <w:tc>
          <w:tcPr>
            <w:tcW w:w="1546" w:type="dxa"/>
            <w:vAlign w:val="top"/>
          </w:tcPr>
          <w:p w14:paraId="55706CBC">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295FA1F4">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064DAC7E">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4F2370A7">
            <w:pPr>
              <w:kinsoku w:val="0"/>
              <w:autoSpaceDE w:val="0"/>
              <w:autoSpaceDN w:val="0"/>
              <w:adjustRightInd w:val="0"/>
              <w:snapToGrid w:val="0"/>
              <w:spacing w:before="58" w:line="252" w:lineRule="auto"/>
              <w:ind w:left="247" w:right="41" w:hanging="18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加油油气回收系统</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符合规定要求</w:t>
            </w:r>
          </w:p>
        </w:tc>
        <w:tc>
          <w:tcPr>
            <w:tcW w:w="586" w:type="dxa"/>
            <w:tcBorders>
              <w:right w:val="single" w:color="000000" w:sz="10" w:space="0"/>
            </w:tcBorders>
            <w:vAlign w:val="top"/>
          </w:tcPr>
          <w:p w14:paraId="2F97028D">
            <w:pPr>
              <w:widowControl/>
              <w:kinsoku w:val="0"/>
              <w:autoSpaceDE w:val="0"/>
              <w:autoSpaceDN w:val="0"/>
              <w:adjustRightInd w:val="0"/>
              <w:snapToGrid w:val="0"/>
              <w:spacing w:line="306" w:lineRule="auto"/>
              <w:jc w:val="left"/>
              <w:textAlignment w:val="baseline"/>
              <w:rPr>
                <w:rFonts w:ascii="Arial" w:hAnsi="Arial" w:eastAsia="Arial" w:cs="Arial"/>
                <w:snapToGrid w:val="0"/>
                <w:color w:val="000000"/>
                <w:kern w:val="0"/>
                <w:sz w:val="21"/>
                <w:lang w:eastAsia="en-US"/>
              </w:rPr>
            </w:pPr>
          </w:p>
          <w:p w14:paraId="0709DE2C">
            <w:pPr>
              <w:widowControl/>
              <w:kinsoku w:val="0"/>
              <w:autoSpaceDE w:val="0"/>
              <w:autoSpaceDN w:val="0"/>
              <w:adjustRightInd w:val="0"/>
              <w:snapToGrid w:val="0"/>
              <w:spacing w:line="306" w:lineRule="auto"/>
              <w:jc w:val="left"/>
              <w:textAlignment w:val="baseline"/>
              <w:rPr>
                <w:rFonts w:ascii="Arial" w:hAnsi="Arial" w:eastAsia="Arial" w:cs="Arial"/>
                <w:snapToGrid w:val="0"/>
                <w:color w:val="000000"/>
                <w:kern w:val="0"/>
                <w:sz w:val="21"/>
                <w:lang w:eastAsia="en-US"/>
              </w:rPr>
            </w:pPr>
          </w:p>
          <w:p w14:paraId="4E1A96A2">
            <w:pPr>
              <w:widowControl/>
              <w:kinsoku w:val="0"/>
              <w:autoSpaceDE w:val="0"/>
              <w:autoSpaceDN w:val="0"/>
              <w:adjustRightInd w:val="0"/>
              <w:snapToGrid w:val="0"/>
              <w:spacing w:line="307" w:lineRule="auto"/>
              <w:jc w:val="left"/>
              <w:textAlignment w:val="baseline"/>
              <w:rPr>
                <w:rFonts w:ascii="Arial" w:hAnsi="Arial" w:eastAsia="Arial" w:cs="Arial"/>
                <w:snapToGrid w:val="0"/>
                <w:color w:val="000000"/>
                <w:kern w:val="0"/>
                <w:sz w:val="21"/>
                <w:lang w:eastAsia="en-US"/>
              </w:rPr>
            </w:pPr>
          </w:p>
          <w:p w14:paraId="218F4EA3">
            <w:pPr>
              <w:kinsoku w:val="0"/>
              <w:autoSpaceDE w:val="0"/>
              <w:autoSpaceDN w:val="0"/>
              <w:adjustRightInd w:val="0"/>
              <w:snapToGrid w:val="0"/>
              <w:spacing w:before="58" w:line="220"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73BEA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84" w:hRule="atLeast"/>
        </w:trPr>
        <w:tc>
          <w:tcPr>
            <w:tcW w:w="541" w:type="dxa"/>
            <w:tcBorders>
              <w:left w:val="single" w:color="000000" w:sz="10" w:space="0"/>
              <w:bottom w:val="single" w:color="000000" w:sz="10" w:space="0"/>
            </w:tcBorders>
            <w:vAlign w:val="top"/>
          </w:tcPr>
          <w:p w14:paraId="0E611785">
            <w:pPr>
              <w:widowControl/>
              <w:kinsoku w:val="0"/>
              <w:autoSpaceDE w:val="0"/>
              <w:autoSpaceDN w:val="0"/>
              <w:adjustRightInd w:val="0"/>
              <w:snapToGrid w:val="0"/>
              <w:spacing w:line="347" w:lineRule="auto"/>
              <w:jc w:val="left"/>
              <w:textAlignment w:val="baseline"/>
              <w:rPr>
                <w:rFonts w:ascii="Arial" w:hAnsi="Arial" w:eastAsia="Arial" w:cs="Arial"/>
                <w:snapToGrid w:val="0"/>
                <w:color w:val="000000"/>
                <w:kern w:val="0"/>
                <w:sz w:val="21"/>
                <w:lang w:eastAsia="en-US"/>
              </w:rPr>
            </w:pPr>
          </w:p>
          <w:p w14:paraId="6A9EC025">
            <w:pPr>
              <w:widowControl/>
              <w:kinsoku w:val="0"/>
              <w:autoSpaceDE w:val="0"/>
              <w:autoSpaceDN w:val="0"/>
              <w:adjustRightInd w:val="0"/>
              <w:snapToGrid w:val="0"/>
              <w:spacing w:line="347" w:lineRule="auto"/>
              <w:jc w:val="left"/>
              <w:textAlignment w:val="baseline"/>
              <w:rPr>
                <w:rFonts w:ascii="Arial" w:hAnsi="Arial" w:eastAsia="Arial" w:cs="Arial"/>
                <w:snapToGrid w:val="0"/>
                <w:color w:val="000000"/>
                <w:kern w:val="0"/>
                <w:sz w:val="21"/>
                <w:lang w:eastAsia="en-US"/>
              </w:rPr>
            </w:pPr>
          </w:p>
          <w:p w14:paraId="7D40651B">
            <w:pPr>
              <w:kinsoku w:val="0"/>
              <w:autoSpaceDE w:val="0"/>
              <w:autoSpaceDN w:val="0"/>
              <w:adjustRightInd w:val="0"/>
              <w:snapToGrid w:val="0"/>
              <w:spacing w:before="58" w:line="183" w:lineRule="auto"/>
              <w:ind w:left="22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8</w:t>
            </w:r>
          </w:p>
        </w:tc>
        <w:tc>
          <w:tcPr>
            <w:tcW w:w="6569" w:type="dxa"/>
            <w:tcBorders>
              <w:bottom w:val="single" w:color="000000" w:sz="10" w:space="0"/>
            </w:tcBorders>
            <w:vAlign w:val="top"/>
          </w:tcPr>
          <w:p w14:paraId="364B68D6">
            <w:pPr>
              <w:keepNext w:val="0"/>
              <w:keepLines w:val="0"/>
              <w:pageBreakBefore w:val="0"/>
              <w:kinsoku w:val="0"/>
              <w:wordWrap/>
              <w:overflowPunct/>
              <w:topLinePunct w:val="0"/>
              <w:autoSpaceDE w:val="0"/>
              <w:autoSpaceDN w:val="0"/>
              <w:bidi w:val="0"/>
              <w:adjustRightInd w:val="0"/>
              <w:snapToGrid w:val="0"/>
              <w:spacing w:before="78" w:line="280" w:lineRule="exact"/>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油罐的接合管设置应符合下列规定：</w:t>
            </w:r>
          </w:p>
          <w:p w14:paraId="18E20F5E">
            <w:pPr>
              <w:keepNext w:val="0"/>
              <w:keepLines w:val="0"/>
              <w:pageBreakBefore w:val="0"/>
              <w:kinsoku w:val="0"/>
              <w:wordWrap/>
              <w:overflowPunct/>
              <w:topLinePunct w:val="0"/>
              <w:autoSpaceDE w:val="0"/>
              <w:autoSpaceDN w:val="0"/>
              <w:bidi w:val="0"/>
              <w:adjustRightInd w:val="0"/>
              <w:snapToGrid w:val="0"/>
              <w:spacing w:before="44" w:line="280" w:lineRule="exact"/>
              <w:ind w:left="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1  </w:t>
            </w:r>
            <w:r>
              <w:rPr>
                <w:rFonts w:ascii="宋体" w:hAnsi="宋体" w:eastAsia="宋体" w:cs="宋体"/>
                <w:snapToGrid w:val="0"/>
                <w:color w:val="000000"/>
                <w:spacing w:val="-2"/>
                <w:kern w:val="0"/>
                <w:sz w:val="18"/>
                <w:szCs w:val="18"/>
                <w:lang w:val="en-US" w:eastAsia="en-US" w:bidi="ar-SA"/>
              </w:rPr>
              <w:t>接合管应为金属材质。</w:t>
            </w:r>
          </w:p>
          <w:p w14:paraId="156D9608">
            <w:pPr>
              <w:keepNext w:val="0"/>
              <w:keepLines w:val="0"/>
              <w:pageBreakBefore w:val="0"/>
              <w:kinsoku w:val="0"/>
              <w:wordWrap/>
              <w:overflowPunct/>
              <w:topLinePunct w:val="0"/>
              <w:autoSpaceDE w:val="0"/>
              <w:autoSpaceDN w:val="0"/>
              <w:bidi w:val="0"/>
              <w:adjustRightInd w:val="0"/>
              <w:snapToGrid w:val="0"/>
              <w:spacing w:before="45" w:line="280" w:lineRule="exact"/>
              <w:ind w:left="3" w:hanging="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接合管应设在油罐的顶部，其中进油接</w:t>
            </w:r>
            <w:r>
              <w:rPr>
                <w:rFonts w:ascii="宋体" w:hAnsi="宋体" w:eastAsia="宋体" w:cs="宋体"/>
                <w:snapToGrid w:val="0"/>
                <w:color w:val="000000"/>
                <w:spacing w:val="-3"/>
                <w:kern w:val="0"/>
                <w:sz w:val="18"/>
                <w:szCs w:val="18"/>
                <w:lang w:val="en-US" w:eastAsia="en-US" w:bidi="ar-SA"/>
              </w:rPr>
              <w:t>合管、出油接合管或潜油泵安装口应设在人</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孔盖上。</w:t>
            </w:r>
          </w:p>
          <w:p w14:paraId="7CC357F7">
            <w:pPr>
              <w:keepNext w:val="0"/>
              <w:keepLines w:val="0"/>
              <w:pageBreakBefore w:val="0"/>
              <w:kinsoku w:val="0"/>
              <w:wordWrap/>
              <w:overflowPunct/>
              <w:topLinePunct w:val="0"/>
              <w:autoSpaceDE w:val="0"/>
              <w:autoSpaceDN w:val="0"/>
              <w:bidi w:val="0"/>
              <w:adjustRightInd w:val="0"/>
              <w:snapToGrid w:val="0"/>
              <w:spacing w:before="43" w:line="280" w:lineRule="exact"/>
              <w:ind w:left="3" w:hanging="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3  </w:t>
            </w:r>
            <w:r>
              <w:rPr>
                <w:rFonts w:ascii="宋体" w:hAnsi="宋体" w:eastAsia="宋体" w:cs="宋体"/>
                <w:snapToGrid w:val="0"/>
                <w:color w:val="000000"/>
                <w:spacing w:val="-1"/>
                <w:kern w:val="0"/>
                <w:sz w:val="18"/>
                <w:szCs w:val="18"/>
                <w:lang w:val="en-US" w:eastAsia="en-US" w:bidi="ar-SA"/>
              </w:rPr>
              <w:t>进油管应伸至罐内距罐底</w:t>
            </w:r>
            <w:r>
              <w:rPr>
                <w:rFonts w:ascii="Times New Roman" w:hAnsi="Times New Roman" w:eastAsia="Times New Roman" w:cs="Times New Roman"/>
                <w:snapToGrid w:val="0"/>
                <w:color w:val="000000"/>
                <w:spacing w:val="-1"/>
                <w:kern w:val="0"/>
                <w:sz w:val="18"/>
                <w:szCs w:val="18"/>
                <w:lang w:val="en-US" w:eastAsia="en-US" w:bidi="ar-SA"/>
              </w:rPr>
              <w:t>50mm</w:t>
            </w:r>
            <w:r>
              <w:rPr>
                <w:rFonts w:ascii="宋体" w:hAnsi="宋体" w:eastAsia="宋体" w:cs="宋体"/>
                <w:snapToGrid w:val="0"/>
                <w:color w:val="000000"/>
                <w:spacing w:val="-1"/>
                <w:kern w:val="0"/>
                <w:sz w:val="18"/>
                <w:szCs w:val="18"/>
                <w:lang w:val="en-US" w:eastAsia="en-US" w:bidi="ar-SA"/>
              </w:rPr>
              <w:t>～</w:t>
            </w:r>
            <w:r>
              <w:rPr>
                <w:rFonts w:ascii="Times New Roman" w:hAnsi="Times New Roman" w:eastAsia="Times New Roman" w:cs="Times New Roman"/>
                <w:snapToGrid w:val="0"/>
                <w:color w:val="000000"/>
                <w:spacing w:val="-1"/>
                <w:kern w:val="0"/>
                <w:sz w:val="18"/>
                <w:szCs w:val="18"/>
                <w:lang w:val="en-US" w:eastAsia="en-US" w:bidi="ar-SA"/>
              </w:rPr>
              <w:t>100mm</w:t>
            </w:r>
            <w:r>
              <w:rPr>
                <w:rFonts w:ascii="宋体" w:hAnsi="宋体" w:eastAsia="宋体" w:cs="宋体"/>
                <w:snapToGrid w:val="0"/>
                <w:color w:val="000000"/>
                <w:spacing w:val="-1"/>
                <w:kern w:val="0"/>
                <w:sz w:val="18"/>
                <w:szCs w:val="18"/>
                <w:lang w:val="en-US" w:eastAsia="en-US" w:bidi="ar-SA"/>
              </w:rPr>
              <w:t>处。进油立管的底端应为</w:t>
            </w:r>
            <w:r>
              <w:rPr>
                <w:rFonts w:ascii="Times New Roman" w:hAnsi="Times New Roman" w:eastAsia="Times New Roman" w:cs="Times New Roman"/>
                <w:snapToGrid w:val="0"/>
                <w:color w:val="000000"/>
                <w:spacing w:val="-1"/>
                <w:kern w:val="0"/>
                <w:sz w:val="18"/>
                <w:szCs w:val="18"/>
                <w:lang w:val="en-US" w:eastAsia="en-US" w:bidi="ar-SA"/>
              </w:rPr>
              <w:t>45°</w:t>
            </w:r>
            <w:r>
              <w:rPr>
                <w:rFonts w:ascii="宋体" w:hAnsi="宋体" w:eastAsia="宋体" w:cs="宋体"/>
                <w:snapToGrid w:val="0"/>
                <w:color w:val="000000"/>
                <w:spacing w:val="-1"/>
                <w:kern w:val="0"/>
                <w:sz w:val="18"/>
                <w:szCs w:val="18"/>
                <w:lang w:val="en-US" w:eastAsia="en-US" w:bidi="ar-SA"/>
              </w:rPr>
              <w:t>斜管口或</w:t>
            </w:r>
            <w:r>
              <w:rPr>
                <w:rFonts w:ascii="Times New Roman" w:hAnsi="Times New Roman" w:eastAsia="Times New Roman" w:cs="Times New Roman"/>
                <w:snapToGrid w:val="0"/>
                <w:color w:val="000000"/>
                <w:spacing w:val="-1"/>
                <w:kern w:val="0"/>
                <w:sz w:val="18"/>
                <w:szCs w:val="18"/>
                <w:lang w:val="en-US" w:eastAsia="en-US" w:bidi="ar-SA"/>
              </w:rPr>
              <w:t>T</w:t>
            </w:r>
            <w:r>
              <w:rPr>
                <w:rFonts w:ascii="宋体" w:hAnsi="宋体" w:eastAsia="宋体" w:cs="宋体"/>
                <w:snapToGrid w:val="0"/>
                <w:color w:val="000000"/>
                <w:spacing w:val="-1"/>
                <w:kern w:val="0"/>
                <w:sz w:val="18"/>
                <w:szCs w:val="18"/>
                <w:lang w:val="en-US" w:eastAsia="en-US" w:bidi="ar-SA"/>
              </w:rPr>
              <w:t>形</w:t>
            </w:r>
            <w:r>
              <w:rPr>
                <w:rFonts w:ascii="宋体" w:hAnsi="宋体" w:eastAsia="宋体" w:cs="宋体"/>
                <w:snapToGrid w:val="0"/>
                <w:color w:val="000000"/>
                <w:spacing w:val="1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管口，进油管管壁上不得有与油罐气相空间相通的开口。</w:t>
            </w:r>
          </w:p>
        </w:tc>
        <w:tc>
          <w:tcPr>
            <w:tcW w:w="1546" w:type="dxa"/>
            <w:tcBorders>
              <w:bottom w:val="single" w:color="000000" w:sz="10" w:space="0"/>
            </w:tcBorders>
            <w:vAlign w:val="top"/>
          </w:tcPr>
          <w:p w14:paraId="63DE3110">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79BBA47C">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3E609D7">
            <w:pPr>
              <w:keepNext w:val="0"/>
              <w:keepLines w:val="0"/>
              <w:pageBreakBefore w:val="0"/>
              <w:kinsoku w:val="0"/>
              <w:wordWrap/>
              <w:overflowPunct/>
              <w:topLinePunct w:val="0"/>
              <w:autoSpaceDE w:val="0"/>
              <w:autoSpaceDN w:val="0"/>
              <w:bidi w:val="0"/>
              <w:adjustRightInd w:val="0"/>
              <w:snapToGrid w:val="0"/>
              <w:spacing w:before="58" w:line="280" w:lineRule="exact"/>
              <w:ind w:left="427" w:right="41" w:hanging="35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油罐的接合管设置</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符合要求</w:t>
            </w:r>
          </w:p>
        </w:tc>
        <w:tc>
          <w:tcPr>
            <w:tcW w:w="586" w:type="dxa"/>
            <w:tcBorders>
              <w:bottom w:val="single" w:color="000000" w:sz="10" w:space="0"/>
              <w:right w:val="single" w:color="000000" w:sz="10" w:space="0"/>
            </w:tcBorders>
            <w:vAlign w:val="top"/>
          </w:tcPr>
          <w:p w14:paraId="1D22AF0F">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A73DF86">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40AEDD0">
            <w:pPr>
              <w:keepNext w:val="0"/>
              <w:keepLines w:val="0"/>
              <w:pageBreakBefore w:val="0"/>
              <w:kinsoku w:val="0"/>
              <w:wordWrap/>
              <w:overflowPunct/>
              <w:topLinePunct w:val="0"/>
              <w:autoSpaceDE w:val="0"/>
              <w:autoSpaceDN w:val="0"/>
              <w:bidi w:val="0"/>
              <w:adjustRightInd w:val="0"/>
              <w:snapToGrid w:val="0"/>
              <w:spacing w:before="59"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1613E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7" w:hRule="atLeast"/>
        </w:trPr>
        <w:tc>
          <w:tcPr>
            <w:tcW w:w="541" w:type="dxa"/>
            <w:tcBorders>
              <w:top w:val="single" w:color="000000" w:sz="10" w:space="0"/>
              <w:left w:val="single" w:color="000000" w:sz="10" w:space="0"/>
            </w:tcBorders>
            <w:vAlign w:val="top"/>
          </w:tcPr>
          <w:p w14:paraId="7639BA5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569" w:type="dxa"/>
            <w:tcBorders>
              <w:top w:val="single" w:color="000000" w:sz="10" w:space="0"/>
            </w:tcBorders>
            <w:vAlign w:val="top"/>
          </w:tcPr>
          <w:p w14:paraId="6019EC9F">
            <w:pPr>
              <w:keepNext w:val="0"/>
              <w:keepLines w:val="0"/>
              <w:pageBreakBefore w:val="0"/>
              <w:kinsoku w:val="0"/>
              <w:wordWrap/>
              <w:overflowPunct/>
              <w:topLinePunct w:val="0"/>
              <w:autoSpaceDE w:val="0"/>
              <w:autoSpaceDN w:val="0"/>
              <w:bidi w:val="0"/>
              <w:adjustRightInd w:val="0"/>
              <w:snapToGrid w:val="0"/>
              <w:spacing w:before="40" w:line="280" w:lineRule="exact"/>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9"/>
                <w:kern w:val="0"/>
                <w:sz w:val="18"/>
                <w:szCs w:val="18"/>
                <w:lang w:val="en-US" w:eastAsia="en-US" w:bidi="ar-SA"/>
              </w:rPr>
              <w:t>4</w:t>
            </w:r>
            <w:r>
              <w:rPr>
                <w:rFonts w:ascii="Times New Roman" w:hAnsi="Times New Roman" w:eastAsia="Times New Roman" w:cs="Times New Roman"/>
                <w:snapToGrid w:val="0"/>
                <w:color w:val="000000"/>
                <w:spacing w:val="39"/>
                <w:w w:val="101"/>
                <w:kern w:val="0"/>
                <w:sz w:val="18"/>
                <w:szCs w:val="18"/>
                <w:lang w:val="en-US" w:eastAsia="en-US" w:bidi="ar-SA"/>
              </w:rPr>
              <w:t xml:space="preserve"> </w:t>
            </w:r>
            <w:r>
              <w:rPr>
                <w:rFonts w:ascii="宋体" w:hAnsi="宋体" w:eastAsia="宋体" w:cs="宋体"/>
                <w:snapToGrid w:val="0"/>
                <w:color w:val="000000"/>
                <w:spacing w:val="-19"/>
                <w:kern w:val="0"/>
                <w:sz w:val="18"/>
                <w:szCs w:val="18"/>
                <w:lang w:val="en-US" w:eastAsia="en-US" w:bidi="ar-SA"/>
              </w:rPr>
              <w:t>罐内潜油泵的入油口或通往自吸式加油机管道的罐内底阀，应高于罐底</w:t>
            </w:r>
            <w:r>
              <w:rPr>
                <w:rFonts w:ascii="Times New Roman" w:hAnsi="Times New Roman" w:eastAsia="Times New Roman" w:cs="Times New Roman"/>
                <w:snapToGrid w:val="0"/>
                <w:color w:val="000000"/>
                <w:spacing w:val="-19"/>
                <w:kern w:val="0"/>
                <w:sz w:val="18"/>
                <w:szCs w:val="18"/>
                <w:lang w:val="en-US" w:eastAsia="en-US" w:bidi="ar-SA"/>
              </w:rPr>
              <w:t>150mm</w:t>
            </w:r>
            <w:r>
              <w:rPr>
                <w:rFonts w:ascii="宋体" w:hAnsi="宋体" w:eastAsia="宋体" w:cs="宋体"/>
                <w:snapToGrid w:val="0"/>
                <w:color w:val="000000"/>
                <w:spacing w:val="-19"/>
                <w:kern w:val="0"/>
                <w:sz w:val="18"/>
                <w:szCs w:val="18"/>
                <w:lang w:val="en-US" w:eastAsia="en-US" w:bidi="ar-SA"/>
              </w:rPr>
              <w:t>～</w:t>
            </w:r>
            <w:r>
              <w:rPr>
                <w:rFonts w:ascii="Times New Roman" w:hAnsi="Times New Roman" w:eastAsia="Times New Roman" w:cs="Times New Roman"/>
                <w:snapToGrid w:val="0"/>
                <w:color w:val="000000"/>
                <w:spacing w:val="-19"/>
                <w:kern w:val="0"/>
                <w:sz w:val="18"/>
                <w:szCs w:val="18"/>
                <w:lang w:val="en-US" w:eastAsia="en-US" w:bidi="ar-SA"/>
              </w:rPr>
              <w:t>200mm</w:t>
            </w:r>
            <w:r>
              <w:rPr>
                <w:rFonts w:ascii="宋体" w:hAnsi="宋体" w:eastAsia="宋体" w:cs="宋体"/>
                <w:snapToGrid w:val="0"/>
                <w:color w:val="000000"/>
                <w:spacing w:val="-19"/>
                <w:kern w:val="0"/>
                <w:sz w:val="18"/>
                <w:szCs w:val="18"/>
                <w:lang w:val="en-US" w:eastAsia="en-US" w:bidi="ar-SA"/>
              </w:rPr>
              <w:t>。</w:t>
            </w:r>
          </w:p>
          <w:p w14:paraId="605C3072">
            <w:pPr>
              <w:keepNext w:val="0"/>
              <w:keepLines w:val="0"/>
              <w:pageBreakBefore w:val="0"/>
              <w:kinsoku w:val="0"/>
              <w:wordWrap/>
              <w:overflowPunct/>
              <w:topLinePunct w:val="0"/>
              <w:autoSpaceDE w:val="0"/>
              <w:autoSpaceDN w:val="0"/>
              <w:bidi w:val="0"/>
              <w:adjustRightInd w:val="0"/>
              <w:snapToGrid w:val="0"/>
              <w:spacing w:before="44" w:line="280" w:lineRule="exact"/>
              <w:ind w:firstLine="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 xml:space="preserve">5  </w:t>
            </w:r>
            <w:r>
              <w:rPr>
                <w:rFonts w:ascii="宋体" w:hAnsi="宋体" w:eastAsia="宋体" w:cs="宋体"/>
                <w:snapToGrid w:val="0"/>
                <w:color w:val="000000"/>
                <w:spacing w:val="7"/>
                <w:kern w:val="0"/>
                <w:sz w:val="18"/>
                <w:szCs w:val="18"/>
                <w:lang w:val="en-US" w:eastAsia="en-US" w:bidi="ar-SA"/>
              </w:rPr>
              <w:t>油罐的量油孔应设带锁的量油帽，量油孔下部的接合管宜向下伸至罐内距罐底</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200mm</w:t>
            </w:r>
            <w:r>
              <w:rPr>
                <w:rFonts w:ascii="宋体" w:hAnsi="宋体" w:eastAsia="宋体" w:cs="宋体"/>
                <w:snapToGrid w:val="0"/>
                <w:color w:val="000000"/>
                <w:kern w:val="0"/>
                <w:sz w:val="18"/>
                <w:szCs w:val="18"/>
                <w:lang w:val="en-US" w:eastAsia="en-US" w:bidi="ar-SA"/>
              </w:rPr>
              <w:t>处，并应有检尺时使接合管内液位与罐</w:t>
            </w:r>
            <w:r>
              <w:rPr>
                <w:rFonts w:ascii="宋体" w:hAnsi="宋体" w:eastAsia="宋体" w:cs="宋体"/>
                <w:snapToGrid w:val="0"/>
                <w:color w:val="000000"/>
                <w:spacing w:val="-1"/>
                <w:kern w:val="0"/>
                <w:sz w:val="18"/>
                <w:szCs w:val="18"/>
                <w:lang w:val="en-US" w:eastAsia="en-US" w:bidi="ar-SA"/>
              </w:rPr>
              <w:t>内液位相一致的技术措施。</w:t>
            </w:r>
          </w:p>
          <w:p w14:paraId="52E1FEA2">
            <w:pPr>
              <w:keepNext w:val="0"/>
              <w:keepLines w:val="0"/>
              <w:pageBreakBefore w:val="0"/>
              <w:kinsoku w:val="0"/>
              <w:wordWrap/>
              <w:overflowPunct/>
              <w:topLinePunct w:val="0"/>
              <w:autoSpaceDE w:val="0"/>
              <w:autoSpaceDN w:val="0"/>
              <w:bidi w:val="0"/>
              <w:adjustRightInd w:val="0"/>
              <w:snapToGrid w:val="0"/>
              <w:spacing w:before="47" w:line="280" w:lineRule="exact"/>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6  </w:t>
            </w:r>
            <w:r>
              <w:rPr>
                <w:rFonts w:ascii="宋体" w:hAnsi="宋体" w:eastAsia="宋体" w:cs="宋体"/>
                <w:snapToGrid w:val="0"/>
                <w:color w:val="000000"/>
                <w:spacing w:val="-1"/>
                <w:kern w:val="0"/>
                <w:sz w:val="18"/>
                <w:szCs w:val="18"/>
                <w:lang w:val="en-US" w:eastAsia="en-US" w:bidi="ar-SA"/>
              </w:rPr>
              <w:t>油罐人孔井内的管道及设备应保证油罐人孔盖的可拆装性。</w:t>
            </w:r>
          </w:p>
          <w:p w14:paraId="74EAA878">
            <w:pPr>
              <w:keepNext w:val="0"/>
              <w:keepLines w:val="0"/>
              <w:pageBreakBefore w:val="0"/>
              <w:kinsoku w:val="0"/>
              <w:wordWrap/>
              <w:overflowPunct/>
              <w:topLinePunct w:val="0"/>
              <w:autoSpaceDE w:val="0"/>
              <w:autoSpaceDN w:val="0"/>
              <w:bidi w:val="0"/>
              <w:adjustRightInd w:val="0"/>
              <w:snapToGrid w:val="0"/>
              <w:spacing w:before="44" w:line="280" w:lineRule="exact"/>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kern w:val="0"/>
                <w:sz w:val="18"/>
                <w:szCs w:val="18"/>
                <w:lang w:val="en-US" w:eastAsia="en-US" w:bidi="ar-SA"/>
              </w:rPr>
              <w:t xml:space="preserve">7  </w:t>
            </w:r>
            <w:r>
              <w:rPr>
                <w:rFonts w:ascii="宋体" w:hAnsi="宋体" w:eastAsia="宋体" w:cs="宋体"/>
                <w:snapToGrid w:val="0"/>
                <w:color w:val="000000"/>
                <w:kern w:val="0"/>
                <w:sz w:val="18"/>
                <w:szCs w:val="18"/>
                <w:lang w:val="en-US" w:eastAsia="en-US" w:bidi="ar-SA"/>
              </w:rPr>
              <w:t>人孔盖上的接合管与引出井外管道的连接，宜</w:t>
            </w:r>
            <w:r>
              <w:rPr>
                <w:rFonts w:ascii="宋体" w:hAnsi="宋体" w:eastAsia="宋体" w:cs="宋体"/>
                <w:snapToGrid w:val="0"/>
                <w:color w:val="000000"/>
                <w:spacing w:val="-1"/>
                <w:kern w:val="0"/>
                <w:sz w:val="18"/>
                <w:szCs w:val="18"/>
                <w:lang w:val="en-US" w:eastAsia="en-US" w:bidi="ar-SA"/>
              </w:rPr>
              <w:t>采用金属软管过渡连接。</w:t>
            </w:r>
          </w:p>
        </w:tc>
        <w:tc>
          <w:tcPr>
            <w:tcW w:w="1546" w:type="dxa"/>
            <w:tcBorders>
              <w:top w:val="single" w:color="000000" w:sz="10" w:space="0"/>
            </w:tcBorders>
            <w:vAlign w:val="top"/>
          </w:tcPr>
          <w:p w14:paraId="3B249363">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tc>
        <w:tc>
          <w:tcPr>
            <w:tcW w:w="586" w:type="dxa"/>
            <w:tcBorders>
              <w:top w:val="single" w:color="000000" w:sz="10" w:space="0"/>
              <w:right w:val="single" w:color="000000" w:sz="10" w:space="0"/>
            </w:tcBorders>
            <w:vAlign w:val="top"/>
          </w:tcPr>
          <w:p w14:paraId="47A120E9">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tc>
      </w:tr>
      <w:tr w14:paraId="2141BF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 w:hRule="atLeast"/>
        </w:trPr>
        <w:tc>
          <w:tcPr>
            <w:tcW w:w="541" w:type="dxa"/>
            <w:tcBorders>
              <w:left w:val="single" w:color="000000" w:sz="10" w:space="0"/>
            </w:tcBorders>
            <w:vAlign w:val="top"/>
          </w:tcPr>
          <w:p w14:paraId="045EFA7E">
            <w:pPr>
              <w:widowControl/>
              <w:kinsoku w:val="0"/>
              <w:autoSpaceDE w:val="0"/>
              <w:autoSpaceDN w:val="0"/>
              <w:adjustRightInd w:val="0"/>
              <w:snapToGrid w:val="0"/>
              <w:spacing w:line="285" w:lineRule="auto"/>
              <w:jc w:val="left"/>
              <w:textAlignment w:val="baseline"/>
              <w:rPr>
                <w:rFonts w:ascii="Arial" w:hAnsi="Arial" w:eastAsia="Arial" w:cs="Arial"/>
                <w:snapToGrid w:val="0"/>
                <w:color w:val="000000"/>
                <w:kern w:val="0"/>
                <w:sz w:val="21"/>
                <w:lang w:eastAsia="en-US"/>
              </w:rPr>
            </w:pPr>
          </w:p>
          <w:p w14:paraId="14352DAE">
            <w:pPr>
              <w:kinsoku w:val="0"/>
              <w:autoSpaceDE w:val="0"/>
              <w:autoSpaceDN w:val="0"/>
              <w:adjustRightInd w:val="0"/>
              <w:snapToGrid w:val="0"/>
              <w:spacing w:before="59" w:line="183" w:lineRule="auto"/>
              <w:ind w:left="22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9</w:t>
            </w:r>
          </w:p>
        </w:tc>
        <w:tc>
          <w:tcPr>
            <w:tcW w:w="6569" w:type="dxa"/>
            <w:vAlign w:val="top"/>
          </w:tcPr>
          <w:p w14:paraId="4177EFE3">
            <w:pPr>
              <w:keepNext w:val="0"/>
              <w:keepLines w:val="0"/>
              <w:pageBreakBefore w:val="0"/>
              <w:kinsoku w:val="0"/>
              <w:wordWrap/>
              <w:overflowPunct/>
              <w:topLinePunct w:val="0"/>
              <w:autoSpaceDE w:val="0"/>
              <w:autoSpaceDN w:val="0"/>
              <w:bidi w:val="0"/>
              <w:adjustRightInd w:val="0"/>
              <w:snapToGrid w:val="0"/>
              <w:spacing w:before="56" w:line="280" w:lineRule="exact"/>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汽油罐与柴油罐的通气管应分开设置。通气管管口高出地面的高度不应小于</w:t>
            </w:r>
            <w:r>
              <w:rPr>
                <w:rFonts w:ascii="Times New Roman" w:hAnsi="Times New Roman" w:eastAsia="Times New Roman" w:cs="Times New Roman"/>
                <w:snapToGrid w:val="0"/>
                <w:color w:val="000000"/>
                <w:kern w:val="0"/>
                <w:sz w:val="18"/>
                <w:szCs w:val="18"/>
                <w:lang w:val="en-US" w:eastAsia="en-US" w:bidi="ar-SA"/>
              </w:rPr>
              <w:t>4m</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。沿 </w:t>
            </w:r>
            <w:r>
              <w:rPr>
                <w:rFonts w:ascii="宋体" w:hAnsi="宋体" w:eastAsia="宋体" w:cs="宋体"/>
                <w:snapToGrid w:val="0"/>
                <w:color w:val="000000"/>
                <w:spacing w:val="1"/>
                <w:kern w:val="0"/>
                <w:sz w:val="18"/>
                <w:szCs w:val="18"/>
                <w:lang w:val="en-US" w:eastAsia="en-US" w:bidi="ar-SA"/>
              </w:rPr>
              <w:t>建（构）筑物的墙（柱）向上敷设的通气管，管口应高出建筑物的顶面</w:t>
            </w:r>
            <w:r>
              <w:rPr>
                <w:rFonts w:ascii="Times New Roman" w:hAnsi="Times New Roman" w:eastAsia="Times New Roman" w:cs="Times New Roman"/>
                <w:snapToGrid w:val="0"/>
                <w:color w:val="000000"/>
                <w:spacing w:val="1"/>
                <w:kern w:val="0"/>
                <w:sz w:val="18"/>
                <w:szCs w:val="18"/>
                <w:lang w:val="en-US" w:eastAsia="en-US" w:bidi="ar-SA"/>
              </w:rPr>
              <w:t>2</w:t>
            </w:r>
            <w:r>
              <w:rPr>
                <w:rFonts w:ascii="Times New Roman" w:hAnsi="Times New Roman" w:eastAsia="Times New Roman" w:cs="Times New Roman"/>
                <w:snapToGrid w:val="0"/>
                <w:color w:val="000000"/>
                <w:kern w:val="0"/>
                <w:sz w:val="18"/>
                <w:szCs w:val="18"/>
                <w:lang w:val="en-US" w:eastAsia="en-US" w:bidi="ar-SA"/>
              </w:rPr>
              <w:t>m</w:t>
            </w:r>
            <w:r>
              <w:rPr>
                <w:rFonts w:ascii="宋体" w:hAnsi="宋体" w:eastAsia="宋体" w:cs="宋体"/>
                <w:snapToGrid w:val="0"/>
                <w:color w:val="000000"/>
                <w:kern w:val="0"/>
                <w:sz w:val="18"/>
                <w:szCs w:val="18"/>
                <w:lang w:val="en-US" w:eastAsia="en-US" w:bidi="ar-SA"/>
              </w:rPr>
              <w:t xml:space="preserve">及以上。 </w:t>
            </w:r>
            <w:r>
              <w:rPr>
                <w:rFonts w:ascii="宋体" w:hAnsi="宋体" w:eastAsia="宋体" w:cs="宋体"/>
                <w:snapToGrid w:val="0"/>
                <w:color w:val="000000"/>
                <w:spacing w:val="-1"/>
                <w:kern w:val="0"/>
                <w:sz w:val="18"/>
                <w:szCs w:val="18"/>
                <w:lang w:val="en-US" w:eastAsia="en-US" w:bidi="ar-SA"/>
              </w:rPr>
              <w:t>通气管管口应设置阻火器。</w:t>
            </w:r>
          </w:p>
        </w:tc>
        <w:tc>
          <w:tcPr>
            <w:tcW w:w="1546" w:type="dxa"/>
            <w:vAlign w:val="top"/>
          </w:tcPr>
          <w:p w14:paraId="0EDA6FF8">
            <w:pPr>
              <w:keepNext w:val="0"/>
              <w:keepLines w:val="0"/>
              <w:pageBreakBefore w:val="0"/>
              <w:kinsoku w:val="0"/>
              <w:wordWrap/>
              <w:overflowPunct/>
              <w:topLinePunct w:val="0"/>
              <w:autoSpaceDE w:val="0"/>
              <w:autoSpaceDN w:val="0"/>
              <w:bidi w:val="0"/>
              <w:adjustRightInd w:val="0"/>
              <w:snapToGrid w:val="0"/>
              <w:spacing w:before="56" w:line="280" w:lineRule="exact"/>
              <w:ind w:left="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汽油柴油的通气管</w:t>
            </w:r>
          </w:p>
          <w:p w14:paraId="7147B215">
            <w:pPr>
              <w:keepNext w:val="0"/>
              <w:keepLines w:val="0"/>
              <w:pageBreakBefore w:val="0"/>
              <w:kinsoku w:val="0"/>
              <w:wordWrap/>
              <w:overflowPunct/>
              <w:topLinePunct w:val="0"/>
              <w:autoSpaceDE w:val="0"/>
              <w:autoSpaceDN w:val="0"/>
              <w:bidi w:val="0"/>
              <w:adjustRightInd w:val="0"/>
              <w:snapToGrid w:val="0"/>
              <w:spacing w:before="47" w:line="280" w:lineRule="exact"/>
              <w:ind w:left="403" w:hanging="3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分</w:t>
            </w:r>
            <w:r>
              <w:rPr>
                <w:rFonts w:ascii="宋体" w:hAnsi="宋体" w:eastAsia="宋体" w:cs="宋体"/>
                <w:snapToGrid w:val="0"/>
                <w:color w:val="000000"/>
                <w:spacing w:val="-11"/>
                <w:kern w:val="0"/>
                <w:sz w:val="18"/>
                <w:szCs w:val="18"/>
                <w:lang w:val="en-US" w:eastAsia="en-US" w:bidi="ar-SA"/>
              </w:rPr>
              <w:t>开设置，通气管</w:t>
            </w:r>
            <w:r>
              <w:rPr>
                <w:rFonts w:ascii="宋体" w:hAnsi="宋体" w:eastAsia="宋体" w:cs="宋体"/>
                <w:snapToGrid w:val="0"/>
                <w:color w:val="000000"/>
                <w:spacing w:val="-10"/>
                <w:kern w:val="0"/>
                <w:sz w:val="18"/>
                <w:szCs w:val="18"/>
                <w:lang w:val="en-US" w:eastAsia="en-US" w:bidi="ar-SA"/>
              </w:rPr>
              <w:t>管</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口高</w:t>
            </w:r>
            <w:r>
              <w:rPr>
                <w:rFonts w:ascii="宋体" w:hAnsi="宋体" w:eastAsia="宋体" w:cs="宋体"/>
                <w:snapToGrid w:val="0"/>
                <w:color w:val="000000"/>
                <w:spacing w:val="-40"/>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4m</w:t>
            </w:r>
            <w:r>
              <w:rPr>
                <w:rFonts w:ascii="宋体" w:hAnsi="宋体" w:eastAsia="宋体" w:cs="宋体"/>
                <w:snapToGrid w:val="0"/>
                <w:color w:val="000000"/>
                <w:spacing w:val="-9"/>
                <w:kern w:val="0"/>
                <w:sz w:val="18"/>
                <w:szCs w:val="18"/>
                <w:lang w:val="en-US" w:eastAsia="en-US" w:bidi="ar-SA"/>
              </w:rPr>
              <w:t>。</w:t>
            </w:r>
          </w:p>
        </w:tc>
        <w:tc>
          <w:tcPr>
            <w:tcW w:w="586" w:type="dxa"/>
            <w:tcBorders>
              <w:right w:val="single" w:color="000000" w:sz="10" w:space="0"/>
            </w:tcBorders>
            <w:vAlign w:val="top"/>
          </w:tcPr>
          <w:p w14:paraId="6F3B3F64">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99DAF93">
            <w:pPr>
              <w:keepNext w:val="0"/>
              <w:keepLines w:val="0"/>
              <w:pageBreakBefore w:val="0"/>
              <w:kinsoku w:val="0"/>
              <w:wordWrap/>
              <w:overflowPunct/>
              <w:topLinePunct w:val="0"/>
              <w:autoSpaceDE w:val="0"/>
              <w:autoSpaceDN w:val="0"/>
              <w:bidi w:val="0"/>
              <w:adjustRightInd w:val="0"/>
              <w:snapToGrid w:val="0"/>
              <w:spacing w:before="59"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36196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41" w:type="dxa"/>
            <w:tcBorders>
              <w:left w:val="single" w:color="000000" w:sz="10" w:space="0"/>
            </w:tcBorders>
            <w:vAlign w:val="top"/>
          </w:tcPr>
          <w:p w14:paraId="5121E227">
            <w:pPr>
              <w:kinsoku w:val="0"/>
              <w:autoSpaceDE w:val="0"/>
              <w:autoSpaceDN w:val="0"/>
              <w:adjustRightInd w:val="0"/>
              <w:snapToGrid w:val="0"/>
              <w:spacing w:before="97"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10</w:t>
            </w:r>
          </w:p>
        </w:tc>
        <w:tc>
          <w:tcPr>
            <w:tcW w:w="6569" w:type="dxa"/>
            <w:vAlign w:val="top"/>
          </w:tcPr>
          <w:p w14:paraId="151839F6">
            <w:pPr>
              <w:keepNext w:val="0"/>
              <w:keepLines w:val="0"/>
              <w:pageBreakBefore w:val="0"/>
              <w:kinsoku w:val="0"/>
              <w:wordWrap/>
              <w:overflowPunct/>
              <w:topLinePunct w:val="0"/>
              <w:autoSpaceDE w:val="0"/>
              <w:autoSpaceDN w:val="0"/>
              <w:bidi w:val="0"/>
              <w:adjustRightInd w:val="0"/>
              <w:snapToGrid w:val="0"/>
              <w:spacing w:before="69" w:line="280" w:lineRule="exact"/>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通气管的公称直径不应小于</w:t>
            </w:r>
            <w:r>
              <w:rPr>
                <w:rFonts w:ascii="Times New Roman" w:hAnsi="Times New Roman" w:eastAsia="Times New Roman" w:cs="Times New Roman"/>
                <w:snapToGrid w:val="0"/>
                <w:color w:val="000000"/>
                <w:spacing w:val="-1"/>
                <w:kern w:val="0"/>
                <w:sz w:val="18"/>
                <w:szCs w:val="18"/>
                <w:lang w:val="en-US" w:eastAsia="en-US" w:bidi="ar-SA"/>
              </w:rPr>
              <w:t>50mm</w:t>
            </w:r>
            <w:r>
              <w:rPr>
                <w:rFonts w:ascii="宋体" w:hAnsi="宋体" w:eastAsia="宋体" w:cs="宋体"/>
                <w:snapToGrid w:val="0"/>
                <w:color w:val="000000"/>
                <w:spacing w:val="-1"/>
                <w:kern w:val="0"/>
                <w:sz w:val="18"/>
                <w:szCs w:val="18"/>
                <w:lang w:val="en-US" w:eastAsia="en-US" w:bidi="ar-SA"/>
              </w:rPr>
              <w:t>。</w:t>
            </w:r>
          </w:p>
        </w:tc>
        <w:tc>
          <w:tcPr>
            <w:tcW w:w="1546" w:type="dxa"/>
            <w:vAlign w:val="top"/>
          </w:tcPr>
          <w:p w14:paraId="70BE1C63">
            <w:pPr>
              <w:keepNext w:val="0"/>
              <w:keepLines w:val="0"/>
              <w:pageBreakBefore w:val="0"/>
              <w:kinsoku w:val="0"/>
              <w:wordWrap/>
              <w:overflowPunct/>
              <w:topLinePunct w:val="0"/>
              <w:autoSpaceDE w:val="0"/>
              <w:autoSpaceDN w:val="0"/>
              <w:bidi w:val="0"/>
              <w:adjustRightInd w:val="0"/>
              <w:snapToGrid w:val="0"/>
              <w:spacing w:before="69" w:line="280" w:lineRule="exact"/>
              <w:ind w:left="266"/>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不小于</w:t>
            </w:r>
            <w:r>
              <w:rPr>
                <w:rFonts w:ascii="宋体" w:hAnsi="宋体" w:eastAsia="宋体" w:cs="宋体"/>
                <w:snapToGrid w:val="0"/>
                <w:color w:val="000000"/>
                <w:spacing w:val="-35"/>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50mm</w:t>
            </w:r>
          </w:p>
        </w:tc>
        <w:tc>
          <w:tcPr>
            <w:tcW w:w="586" w:type="dxa"/>
            <w:tcBorders>
              <w:right w:val="single" w:color="000000" w:sz="10" w:space="0"/>
            </w:tcBorders>
            <w:vAlign w:val="top"/>
          </w:tcPr>
          <w:p w14:paraId="3B5ED63D">
            <w:pPr>
              <w:keepNext w:val="0"/>
              <w:keepLines w:val="0"/>
              <w:pageBreakBefore w:val="0"/>
              <w:kinsoku w:val="0"/>
              <w:wordWrap/>
              <w:overflowPunct/>
              <w:topLinePunct w:val="0"/>
              <w:autoSpaceDE w:val="0"/>
              <w:autoSpaceDN w:val="0"/>
              <w:bidi w:val="0"/>
              <w:adjustRightInd w:val="0"/>
              <w:snapToGrid w:val="0"/>
              <w:spacing w:before="69"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1FC73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1925A4BF">
            <w:pPr>
              <w:kinsoku w:val="0"/>
              <w:autoSpaceDE w:val="0"/>
              <w:autoSpaceDN w:val="0"/>
              <w:adjustRightInd w:val="0"/>
              <w:snapToGrid w:val="0"/>
              <w:spacing w:before="218"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11</w:t>
            </w:r>
          </w:p>
        </w:tc>
        <w:tc>
          <w:tcPr>
            <w:tcW w:w="6569" w:type="dxa"/>
            <w:vAlign w:val="top"/>
          </w:tcPr>
          <w:p w14:paraId="5F22BB84">
            <w:pPr>
              <w:keepNext w:val="0"/>
              <w:keepLines w:val="0"/>
              <w:pageBreakBefore w:val="0"/>
              <w:kinsoku w:val="0"/>
              <w:wordWrap/>
              <w:overflowPunct/>
              <w:topLinePunct w:val="0"/>
              <w:autoSpaceDE w:val="0"/>
              <w:autoSpaceDN w:val="0"/>
              <w:bidi w:val="0"/>
              <w:adjustRightInd w:val="0"/>
              <w:snapToGrid w:val="0"/>
              <w:spacing w:before="61" w:line="280" w:lineRule="exact"/>
              <w:ind w:left="7"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当加油站采用油气回收收系统时，汽油罐的通气管管口除应装设阻火器外，尚应装设</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呼吸阀。呼吸阀的工作正压宜为</w:t>
            </w:r>
            <w:r>
              <w:rPr>
                <w:rFonts w:ascii="Times New Roman" w:hAnsi="Times New Roman" w:eastAsia="Times New Roman" w:cs="Times New Roman"/>
                <w:snapToGrid w:val="0"/>
                <w:color w:val="000000"/>
                <w:spacing w:val="-1"/>
                <w:kern w:val="0"/>
                <w:sz w:val="18"/>
                <w:szCs w:val="18"/>
                <w:lang w:val="en-US" w:eastAsia="en-US" w:bidi="ar-SA"/>
              </w:rPr>
              <w:t>2kPa~3kPa</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，工作负压宜为</w:t>
            </w:r>
            <w:r>
              <w:rPr>
                <w:rFonts w:ascii="Times New Roman" w:hAnsi="Times New Roman" w:eastAsia="Times New Roman" w:cs="Times New Roman"/>
                <w:snapToGrid w:val="0"/>
                <w:color w:val="000000"/>
                <w:spacing w:val="-1"/>
                <w:kern w:val="0"/>
                <w:sz w:val="18"/>
                <w:szCs w:val="18"/>
                <w:lang w:val="en-US" w:eastAsia="en-US" w:bidi="ar-SA"/>
              </w:rPr>
              <w:t>1.5kPa~2kPa</w:t>
            </w:r>
            <w:r>
              <w:rPr>
                <w:rFonts w:ascii="宋体" w:hAnsi="宋体" w:eastAsia="宋体" w:cs="宋体"/>
                <w:snapToGrid w:val="0"/>
                <w:color w:val="000000"/>
                <w:spacing w:val="-1"/>
                <w:kern w:val="0"/>
                <w:sz w:val="18"/>
                <w:szCs w:val="18"/>
                <w:lang w:val="en-US" w:eastAsia="en-US" w:bidi="ar-SA"/>
              </w:rPr>
              <w:t>。</w:t>
            </w:r>
          </w:p>
        </w:tc>
        <w:tc>
          <w:tcPr>
            <w:tcW w:w="1546" w:type="dxa"/>
            <w:vAlign w:val="top"/>
          </w:tcPr>
          <w:p w14:paraId="73851ACA">
            <w:pPr>
              <w:keepNext w:val="0"/>
              <w:keepLines w:val="0"/>
              <w:pageBreakBefore w:val="0"/>
              <w:kinsoku w:val="0"/>
              <w:wordWrap/>
              <w:overflowPunct/>
              <w:topLinePunct w:val="0"/>
              <w:autoSpaceDE w:val="0"/>
              <w:autoSpaceDN w:val="0"/>
              <w:bidi w:val="0"/>
              <w:adjustRightInd w:val="0"/>
              <w:snapToGrid w:val="0"/>
              <w:spacing w:before="61" w:line="280" w:lineRule="exact"/>
              <w:ind w:left="154" w:right="41" w:hanging="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汽油通气管管口安</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装阻火型呼吸阀</w:t>
            </w:r>
          </w:p>
        </w:tc>
        <w:tc>
          <w:tcPr>
            <w:tcW w:w="586" w:type="dxa"/>
            <w:tcBorders>
              <w:right w:val="single" w:color="000000" w:sz="10" w:space="0"/>
            </w:tcBorders>
            <w:vAlign w:val="top"/>
          </w:tcPr>
          <w:p w14:paraId="4EC00E58">
            <w:pPr>
              <w:keepNext w:val="0"/>
              <w:keepLines w:val="0"/>
              <w:pageBreakBefore w:val="0"/>
              <w:kinsoku w:val="0"/>
              <w:wordWrap/>
              <w:overflowPunct/>
              <w:topLinePunct w:val="0"/>
              <w:autoSpaceDE w:val="0"/>
              <w:autoSpaceDN w:val="0"/>
              <w:bidi w:val="0"/>
              <w:adjustRightInd w:val="0"/>
              <w:snapToGrid w:val="0"/>
              <w:spacing w:before="190"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7CC10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8" w:hRule="atLeast"/>
        </w:trPr>
        <w:tc>
          <w:tcPr>
            <w:tcW w:w="541" w:type="dxa"/>
            <w:tcBorders>
              <w:left w:val="single" w:color="000000" w:sz="10" w:space="0"/>
            </w:tcBorders>
            <w:vAlign w:val="top"/>
          </w:tcPr>
          <w:p w14:paraId="7158BF3D">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E8F66D2">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152C6859">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C708F51">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6E606BD5">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52CA1AD">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38BDFBAD">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C7543D7">
            <w:pPr>
              <w:kinsoku w:val="0"/>
              <w:autoSpaceDE w:val="0"/>
              <w:autoSpaceDN w:val="0"/>
              <w:adjustRightInd w:val="0"/>
              <w:snapToGrid w:val="0"/>
              <w:spacing w:before="58"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12</w:t>
            </w:r>
          </w:p>
        </w:tc>
        <w:tc>
          <w:tcPr>
            <w:tcW w:w="6569" w:type="dxa"/>
            <w:vAlign w:val="top"/>
          </w:tcPr>
          <w:p w14:paraId="24BA806D">
            <w:pPr>
              <w:keepNext w:val="0"/>
              <w:keepLines w:val="0"/>
              <w:pageBreakBefore w:val="0"/>
              <w:kinsoku w:val="0"/>
              <w:wordWrap/>
              <w:overflowPunct/>
              <w:topLinePunct w:val="0"/>
              <w:autoSpaceDE w:val="0"/>
              <w:autoSpaceDN w:val="0"/>
              <w:bidi w:val="0"/>
              <w:adjustRightInd w:val="0"/>
              <w:snapToGrid w:val="0"/>
              <w:spacing w:before="62" w:line="280" w:lineRule="exact"/>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加油站工艺管道的选用，应符合下列规定：</w:t>
            </w:r>
          </w:p>
          <w:p w14:paraId="42A85101">
            <w:pPr>
              <w:keepNext w:val="0"/>
              <w:keepLines w:val="0"/>
              <w:pageBreakBefore w:val="0"/>
              <w:kinsoku w:val="0"/>
              <w:wordWrap/>
              <w:overflowPunct/>
              <w:topLinePunct w:val="0"/>
              <w:autoSpaceDE w:val="0"/>
              <w:autoSpaceDN w:val="0"/>
              <w:bidi w:val="0"/>
              <w:adjustRightInd w:val="0"/>
              <w:snapToGrid w:val="0"/>
              <w:spacing w:before="15" w:line="280" w:lineRule="exact"/>
              <w:ind w:left="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1  </w:t>
            </w:r>
            <w:r>
              <w:rPr>
                <w:rFonts w:ascii="宋体" w:hAnsi="宋体" w:eastAsia="宋体" w:cs="宋体"/>
                <w:snapToGrid w:val="0"/>
                <w:color w:val="000000"/>
                <w:spacing w:val="-1"/>
                <w:kern w:val="0"/>
                <w:sz w:val="18"/>
                <w:szCs w:val="18"/>
                <w:lang w:val="en-US" w:eastAsia="en-US" w:bidi="ar-SA"/>
              </w:rPr>
              <w:t>地面敷设的工艺管道应采用符合现行国家标准《输送流体用无缝钢管》</w:t>
            </w:r>
            <w:r>
              <w:rPr>
                <w:rFonts w:ascii="Times New Roman" w:hAnsi="Times New Roman" w:eastAsia="Times New Roman" w:cs="Times New Roman"/>
                <w:snapToGrid w:val="0"/>
                <w:color w:val="000000"/>
                <w:spacing w:val="-1"/>
                <w:kern w:val="0"/>
                <w:sz w:val="18"/>
                <w:szCs w:val="18"/>
                <w:lang w:val="en-US" w:eastAsia="en-US" w:bidi="ar-SA"/>
              </w:rPr>
              <w:t>GB/T</w:t>
            </w:r>
            <w:r>
              <w:rPr>
                <w:rFonts w:ascii="Times New Roman" w:hAnsi="Times New Roman" w:eastAsia="Times New Roman" w:cs="Times New Roman"/>
                <w:snapToGrid w:val="0"/>
                <w:color w:val="000000"/>
                <w:spacing w:val="18"/>
                <w:w w:val="101"/>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8163</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的无缝钢管；。</w:t>
            </w:r>
          </w:p>
          <w:p w14:paraId="624F7267">
            <w:pPr>
              <w:keepNext w:val="0"/>
              <w:keepLines w:val="0"/>
              <w:pageBreakBefore w:val="0"/>
              <w:kinsoku w:val="0"/>
              <w:wordWrap/>
              <w:overflowPunct/>
              <w:topLinePunct w:val="0"/>
              <w:autoSpaceDE w:val="0"/>
              <w:autoSpaceDN w:val="0"/>
              <w:bidi w:val="0"/>
              <w:adjustRightInd w:val="0"/>
              <w:snapToGrid w:val="0"/>
              <w:spacing w:before="45" w:line="280" w:lineRule="exact"/>
              <w:ind w:left="6" w:hanging="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其他管道应采用输送流体用无缝钢管或</w:t>
            </w:r>
            <w:r>
              <w:rPr>
                <w:rFonts w:ascii="宋体" w:hAnsi="宋体" w:eastAsia="宋体" w:cs="宋体"/>
                <w:snapToGrid w:val="0"/>
                <w:color w:val="000000"/>
                <w:spacing w:val="-3"/>
                <w:kern w:val="0"/>
                <w:sz w:val="18"/>
                <w:szCs w:val="18"/>
                <w:lang w:val="en-US" w:eastAsia="en-US" w:bidi="ar-SA"/>
              </w:rPr>
              <w:t>适于输送油品的热塑性塑料管道，所采用的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热塑性塑料管道应有质量证明文件，非烃类车用燃料不得采用不导静电的热塑性塑料</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管道；</w:t>
            </w:r>
          </w:p>
          <w:p w14:paraId="2100B561">
            <w:pPr>
              <w:keepNext w:val="0"/>
              <w:keepLines w:val="0"/>
              <w:pageBreakBefore w:val="0"/>
              <w:kinsoku w:val="0"/>
              <w:wordWrap/>
              <w:overflowPunct/>
              <w:topLinePunct w:val="0"/>
              <w:autoSpaceDE w:val="0"/>
              <w:autoSpaceDN w:val="0"/>
              <w:bidi w:val="0"/>
              <w:adjustRightInd w:val="0"/>
              <w:snapToGrid w:val="0"/>
              <w:spacing w:before="47" w:line="280" w:lineRule="exact"/>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3  </w:t>
            </w:r>
            <w:r>
              <w:rPr>
                <w:rFonts w:ascii="宋体" w:hAnsi="宋体" w:eastAsia="宋体" w:cs="宋体"/>
                <w:snapToGrid w:val="0"/>
                <w:color w:val="000000"/>
                <w:spacing w:val="-1"/>
                <w:kern w:val="0"/>
                <w:sz w:val="18"/>
                <w:szCs w:val="18"/>
                <w:lang w:val="en-US" w:eastAsia="en-US" w:bidi="ar-SA"/>
              </w:rPr>
              <w:t>无缝钢管的公称壁厚不应小于</w:t>
            </w:r>
            <w:r>
              <w:rPr>
                <w:rFonts w:ascii="Times New Roman" w:hAnsi="Times New Roman" w:eastAsia="Times New Roman" w:cs="Times New Roman"/>
                <w:snapToGrid w:val="0"/>
                <w:color w:val="000000"/>
                <w:spacing w:val="-1"/>
                <w:kern w:val="0"/>
                <w:sz w:val="18"/>
                <w:szCs w:val="18"/>
                <w:lang w:val="en-US" w:eastAsia="en-US" w:bidi="ar-SA"/>
              </w:rPr>
              <w:t>4mm</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，埋地钢管的连接应采用焊接；</w:t>
            </w:r>
          </w:p>
          <w:p w14:paraId="29A03DE7">
            <w:pPr>
              <w:keepNext w:val="0"/>
              <w:keepLines w:val="0"/>
              <w:pageBreakBefore w:val="0"/>
              <w:kinsoku w:val="0"/>
              <w:wordWrap/>
              <w:overflowPunct/>
              <w:topLinePunct w:val="0"/>
              <w:autoSpaceDE w:val="0"/>
              <w:autoSpaceDN w:val="0"/>
              <w:bidi w:val="0"/>
              <w:adjustRightInd w:val="0"/>
              <w:snapToGrid w:val="0"/>
              <w:spacing w:before="45" w:line="280" w:lineRule="exact"/>
              <w:ind w:left="6" w:hanging="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4  </w:t>
            </w:r>
            <w:r>
              <w:rPr>
                <w:rFonts w:ascii="宋体" w:hAnsi="宋体" w:eastAsia="宋体" w:cs="宋体"/>
                <w:snapToGrid w:val="0"/>
                <w:color w:val="000000"/>
                <w:spacing w:val="1"/>
                <w:kern w:val="0"/>
                <w:sz w:val="18"/>
                <w:szCs w:val="18"/>
                <w:lang w:val="en-US" w:eastAsia="en-US" w:bidi="ar-SA"/>
              </w:rPr>
              <w:t>热塑性塑料管道的主体结构层应为无孔隙聚乙烯材料，壁厚不应小于</w:t>
            </w:r>
            <w:r>
              <w:rPr>
                <w:rFonts w:ascii="Times New Roman" w:hAnsi="Times New Roman" w:eastAsia="Times New Roman" w:cs="Times New Roman"/>
                <w:snapToGrid w:val="0"/>
                <w:color w:val="000000"/>
                <w:spacing w:val="1"/>
                <w:kern w:val="0"/>
                <w:sz w:val="18"/>
                <w:szCs w:val="18"/>
                <w:lang w:val="en-US" w:eastAsia="en-US" w:bidi="ar-SA"/>
              </w:rPr>
              <w:t>4</w:t>
            </w:r>
            <w:r>
              <w:rPr>
                <w:rFonts w:ascii="Times New Roman" w:hAnsi="Times New Roman" w:eastAsia="Times New Roman" w:cs="Times New Roman"/>
                <w:snapToGrid w:val="0"/>
                <w:color w:val="000000"/>
                <w:kern w:val="0"/>
                <w:sz w:val="18"/>
                <w:szCs w:val="18"/>
                <w:lang w:val="en-US" w:eastAsia="en-US" w:bidi="ar-SA"/>
              </w:rPr>
              <w:t>mm</w:t>
            </w:r>
            <w:r>
              <w:rPr>
                <w:rFonts w:ascii="Times New Roman" w:hAnsi="Times New Roman" w:eastAsia="Times New Roman" w:cs="Times New Roman"/>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，埋地</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部分的热塑性塑料管道应用配套的专用连接管件电熔连接；</w:t>
            </w:r>
          </w:p>
          <w:p w14:paraId="18B7C77B">
            <w:pPr>
              <w:keepNext w:val="0"/>
              <w:keepLines w:val="0"/>
              <w:pageBreakBefore w:val="0"/>
              <w:kinsoku w:val="0"/>
              <w:wordWrap/>
              <w:overflowPunct/>
              <w:topLinePunct w:val="0"/>
              <w:autoSpaceDE w:val="0"/>
              <w:autoSpaceDN w:val="0"/>
              <w:bidi w:val="0"/>
              <w:adjustRightInd w:val="0"/>
              <w:snapToGrid w:val="0"/>
              <w:spacing w:before="47" w:line="280" w:lineRule="exact"/>
              <w:ind w:left="12" w:hanging="1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5  </w:t>
            </w:r>
            <w:r>
              <w:rPr>
                <w:rFonts w:ascii="宋体" w:hAnsi="宋体" w:eastAsia="宋体" w:cs="宋体"/>
                <w:snapToGrid w:val="0"/>
                <w:color w:val="000000"/>
                <w:spacing w:val="1"/>
                <w:kern w:val="0"/>
                <w:sz w:val="18"/>
                <w:szCs w:val="18"/>
                <w:lang w:val="en-US" w:eastAsia="en-US" w:bidi="ar-SA"/>
              </w:rPr>
              <w:t>导静电热塑性塑料管道导静电衬层的体电阻率应小于</w:t>
            </w:r>
            <w:r>
              <w:rPr>
                <w:rFonts w:ascii="Times New Roman" w:hAnsi="Times New Roman" w:eastAsia="Times New Roman" w:cs="Times New Roman"/>
                <w:snapToGrid w:val="0"/>
                <w:color w:val="000000"/>
                <w:spacing w:val="1"/>
                <w:kern w:val="0"/>
                <w:sz w:val="18"/>
                <w:szCs w:val="18"/>
                <w:lang w:val="en-US" w:eastAsia="en-US" w:bidi="ar-SA"/>
              </w:rPr>
              <w:t>10</w:t>
            </w:r>
            <w:r>
              <w:rPr>
                <w:rFonts w:ascii="Times New Roman" w:hAnsi="Times New Roman" w:eastAsia="Times New Roman" w:cs="Times New Roman"/>
                <w:snapToGrid w:val="0"/>
                <w:color w:val="000000"/>
                <w:spacing w:val="1"/>
                <w:kern w:val="0"/>
                <w:position w:val="6"/>
                <w:sz w:val="11"/>
                <w:szCs w:val="11"/>
                <w:lang w:val="en-US" w:eastAsia="en-US" w:bidi="ar-SA"/>
              </w:rPr>
              <w:t>8</w:t>
            </w:r>
            <w:r>
              <w:rPr>
                <w:rFonts w:ascii="Times New Roman" w:hAnsi="Times New Roman" w:eastAsia="Times New Roman" w:cs="Times New Roman"/>
                <w:snapToGrid w:val="0"/>
                <w:color w:val="000000"/>
                <w:kern w:val="0"/>
                <w:sz w:val="18"/>
                <w:szCs w:val="18"/>
                <w:lang w:val="en-US" w:eastAsia="en-US" w:bidi="ar-SA"/>
              </w:rPr>
              <w:t>Ω▪m</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 xml:space="preserve">，表面电阻率应小于 </w:t>
            </w:r>
            <w:r>
              <w:rPr>
                <w:rFonts w:ascii="Times New Roman" w:hAnsi="Times New Roman" w:eastAsia="Times New Roman" w:cs="Times New Roman"/>
                <w:snapToGrid w:val="0"/>
                <w:color w:val="000000"/>
                <w:spacing w:val="-10"/>
                <w:kern w:val="0"/>
                <w:sz w:val="18"/>
                <w:szCs w:val="18"/>
                <w:lang w:val="en-US" w:eastAsia="en-US" w:bidi="ar-SA"/>
              </w:rPr>
              <w:t>10</w:t>
            </w:r>
            <w:r>
              <w:rPr>
                <w:rFonts w:ascii="Times New Roman" w:hAnsi="Times New Roman" w:eastAsia="Times New Roman" w:cs="Times New Roman"/>
                <w:snapToGrid w:val="0"/>
                <w:color w:val="000000"/>
                <w:spacing w:val="1"/>
                <w:kern w:val="0"/>
                <w:position w:val="5"/>
                <w:sz w:val="11"/>
                <w:szCs w:val="11"/>
                <w:lang w:val="en-US" w:eastAsia="en-US" w:bidi="ar-SA"/>
              </w:rPr>
              <w:t>10</w:t>
            </w:r>
            <w:r>
              <w:rPr>
                <w:rFonts w:ascii="Times New Roman" w:hAnsi="Times New Roman" w:eastAsia="Times New Roman" w:cs="Times New Roman"/>
                <w:snapToGrid w:val="0"/>
                <w:color w:val="000000"/>
                <w:spacing w:val="1"/>
                <w:kern w:val="0"/>
                <w:sz w:val="18"/>
                <w:szCs w:val="18"/>
                <w:lang w:val="en-US" w:eastAsia="en-US" w:bidi="ar-SA"/>
              </w:rPr>
              <w:t>Ω</w:t>
            </w:r>
            <w:r>
              <w:rPr>
                <w:rFonts w:ascii="宋体" w:hAnsi="宋体" w:eastAsia="宋体" w:cs="宋体"/>
                <w:snapToGrid w:val="0"/>
                <w:color w:val="000000"/>
                <w:spacing w:val="1"/>
                <w:kern w:val="0"/>
                <w:sz w:val="18"/>
                <w:szCs w:val="18"/>
                <w:lang w:val="en-US" w:eastAsia="en-US" w:bidi="ar-SA"/>
              </w:rPr>
              <w:t>;</w:t>
            </w:r>
          </w:p>
          <w:p w14:paraId="355368D9">
            <w:pPr>
              <w:keepNext w:val="0"/>
              <w:keepLines w:val="0"/>
              <w:pageBreakBefore w:val="0"/>
              <w:kinsoku w:val="0"/>
              <w:wordWrap/>
              <w:overflowPunct/>
              <w:topLinePunct w:val="0"/>
              <w:autoSpaceDE w:val="0"/>
              <w:autoSpaceDN w:val="0"/>
              <w:bidi w:val="0"/>
              <w:adjustRightInd w:val="0"/>
              <w:snapToGrid w:val="0"/>
              <w:spacing w:before="16" w:line="280" w:lineRule="exact"/>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kern w:val="0"/>
                <w:position w:val="2"/>
                <w:sz w:val="18"/>
                <w:szCs w:val="18"/>
                <w:lang w:val="en-US" w:eastAsia="en-US" w:bidi="ar-SA"/>
              </w:rPr>
              <w:t xml:space="preserve">6  </w:t>
            </w:r>
            <w:r>
              <w:rPr>
                <w:rFonts w:ascii="宋体" w:hAnsi="宋体" w:eastAsia="宋体" w:cs="宋体"/>
                <w:snapToGrid w:val="0"/>
                <w:color w:val="000000"/>
                <w:kern w:val="0"/>
                <w:position w:val="2"/>
                <w:sz w:val="18"/>
                <w:szCs w:val="18"/>
                <w:lang w:val="en-US" w:eastAsia="en-US" w:bidi="ar-SA"/>
              </w:rPr>
              <w:t>不导静电热塑性塑料管道主体结构层的介电击穿</w:t>
            </w:r>
            <w:r>
              <w:rPr>
                <w:rFonts w:ascii="宋体" w:hAnsi="宋体" w:eastAsia="宋体" w:cs="宋体"/>
                <w:snapToGrid w:val="0"/>
                <w:color w:val="000000"/>
                <w:spacing w:val="-1"/>
                <w:kern w:val="0"/>
                <w:position w:val="2"/>
                <w:sz w:val="18"/>
                <w:szCs w:val="18"/>
                <w:lang w:val="en-US" w:eastAsia="en-US" w:bidi="ar-SA"/>
              </w:rPr>
              <w:t>强度应大于</w:t>
            </w:r>
            <w:r>
              <w:rPr>
                <w:rFonts w:ascii="Times New Roman" w:hAnsi="Times New Roman" w:eastAsia="Times New Roman" w:cs="Times New Roman"/>
                <w:snapToGrid w:val="0"/>
                <w:color w:val="000000"/>
                <w:spacing w:val="-1"/>
                <w:kern w:val="0"/>
                <w:position w:val="2"/>
                <w:sz w:val="18"/>
                <w:szCs w:val="18"/>
                <w:lang w:val="en-US" w:eastAsia="en-US" w:bidi="ar-SA"/>
              </w:rPr>
              <w:t>100kV</w:t>
            </w:r>
            <w:r>
              <w:rPr>
                <w:rFonts w:ascii="宋体" w:hAnsi="宋体" w:eastAsia="宋体" w:cs="宋体"/>
                <w:snapToGrid w:val="0"/>
                <w:color w:val="000000"/>
                <w:spacing w:val="-1"/>
                <w:kern w:val="0"/>
                <w:position w:val="2"/>
                <w:sz w:val="18"/>
                <w:szCs w:val="18"/>
                <w:lang w:val="en-US" w:eastAsia="en-US" w:bidi="ar-SA"/>
              </w:rPr>
              <w:t>；</w:t>
            </w:r>
          </w:p>
          <w:p w14:paraId="4461FC02">
            <w:pPr>
              <w:keepNext w:val="0"/>
              <w:keepLines w:val="0"/>
              <w:pageBreakBefore w:val="0"/>
              <w:kinsoku w:val="0"/>
              <w:wordWrap/>
              <w:overflowPunct/>
              <w:topLinePunct w:val="0"/>
              <w:autoSpaceDE w:val="0"/>
              <w:autoSpaceDN w:val="0"/>
              <w:bidi w:val="0"/>
              <w:adjustRightInd w:val="0"/>
              <w:snapToGrid w:val="0"/>
              <w:spacing w:before="18" w:line="280" w:lineRule="exact"/>
              <w:ind w:left="3" w:hanging="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7  </w:t>
            </w:r>
            <w:r>
              <w:rPr>
                <w:rFonts w:ascii="宋体" w:hAnsi="宋体" w:eastAsia="宋体" w:cs="宋体"/>
                <w:snapToGrid w:val="0"/>
                <w:color w:val="000000"/>
                <w:spacing w:val="-2"/>
                <w:kern w:val="0"/>
                <w:sz w:val="18"/>
                <w:szCs w:val="18"/>
                <w:lang w:val="en-US" w:eastAsia="en-US" w:bidi="ar-SA"/>
              </w:rPr>
              <w:t>柴油尾气处理液加注设备的管道，应</w:t>
            </w:r>
            <w:r>
              <w:rPr>
                <w:rFonts w:ascii="宋体" w:hAnsi="宋体" w:eastAsia="宋体" w:cs="宋体"/>
                <w:snapToGrid w:val="0"/>
                <w:color w:val="000000"/>
                <w:spacing w:val="-3"/>
                <w:kern w:val="0"/>
                <w:sz w:val="18"/>
                <w:szCs w:val="18"/>
                <w:lang w:val="en-US" w:eastAsia="en-US" w:bidi="ar-SA"/>
              </w:rPr>
              <w:t>采用奥民体不锈钢管道或能满足输送柴油尾气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处理液的其他管道。</w:t>
            </w:r>
          </w:p>
        </w:tc>
        <w:tc>
          <w:tcPr>
            <w:tcW w:w="1546" w:type="dxa"/>
            <w:vAlign w:val="top"/>
          </w:tcPr>
          <w:p w14:paraId="05F30BDA">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3FCF9377">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3FB1E4E6">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8A1ACF0">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62EE4F6">
            <w:pPr>
              <w:keepNext w:val="0"/>
              <w:keepLines w:val="0"/>
              <w:pageBreakBefore w:val="0"/>
              <w:kinsoku w:val="0"/>
              <w:wordWrap/>
              <w:overflowPunct/>
              <w:topLinePunct w:val="0"/>
              <w:autoSpaceDE w:val="0"/>
              <w:autoSpaceDN w:val="0"/>
              <w:bidi w:val="0"/>
              <w:adjustRightInd w:val="0"/>
              <w:snapToGrid w:val="0"/>
              <w:spacing w:before="58" w:line="280" w:lineRule="exact"/>
              <w:ind w:left="19" w:firstLine="49"/>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油罐通气管道和露</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出地面的管道和进</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油管道采用无缝钢</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11"/>
                <w:kern w:val="0"/>
                <w:sz w:val="18"/>
                <w:szCs w:val="18"/>
                <w:lang w:val="en-US" w:eastAsia="en-US" w:bidi="ar-SA"/>
              </w:rPr>
              <w:t>管，出油管道采用双</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层导静电热塑性塑</w:t>
            </w:r>
          </w:p>
          <w:p w14:paraId="5A6C888F">
            <w:pPr>
              <w:keepNext w:val="0"/>
              <w:keepLines w:val="0"/>
              <w:pageBreakBefore w:val="0"/>
              <w:kinsoku w:val="0"/>
              <w:wordWrap/>
              <w:overflowPunct/>
              <w:topLinePunct w:val="0"/>
              <w:autoSpaceDE w:val="0"/>
              <w:autoSpaceDN w:val="0"/>
              <w:bidi w:val="0"/>
              <w:adjustRightInd w:val="0"/>
              <w:snapToGrid w:val="0"/>
              <w:spacing w:before="28" w:line="280" w:lineRule="exact"/>
              <w:ind w:left="42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料管道。</w:t>
            </w:r>
          </w:p>
        </w:tc>
        <w:tc>
          <w:tcPr>
            <w:tcW w:w="586" w:type="dxa"/>
            <w:tcBorders>
              <w:right w:val="single" w:color="000000" w:sz="10" w:space="0"/>
            </w:tcBorders>
            <w:vAlign w:val="top"/>
          </w:tcPr>
          <w:p w14:paraId="610D78BD">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7FF4E64C">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A37BBCD">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3D17AC3">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BBF60DB">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7038C144">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D28FE0F">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08156B1D">
            <w:pPr>
              <w:keepNext w:val="0"/>
              <w:keepLines w:val="0"/>
              <w:pageBreakBefore w:val="0"/>
              <w:kinsoku w:val="0"/>
              <w:wordWrap/>
              <w:overflowPunct/>
              <w:topLinePunct w:val="0"/>
              <w:autoSpaceDE w:val="0"/>
              <w:autoSpaceDN w:val="0"/>
              <w:bidi w:val="0"/>
              <w:adjustRightInd w:val="0"/>
              <w:snapToGrid w:val="0"/>
              <w:spacing w:before="58"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D16DA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 w:hRule="atLeast"/>
        </w:trPr>
        <w:tc>
          <w:tcPr>
            <w:tcW w:w="541" w:type="dxa"/>
            <w:tcBorders>
              <w:left w:val="single" w:color="000000" w:sz="10" w:space="0"/>
            </w:tcBorders>
            <w:vAlign w:val="top"/>
          </w:tcPr>
          <w:p w14:paraId="63AA066C">
            <w:pPr>
              <w:widowControl/>
              <w:kinsoku w:val="0"/>
              <w:autoSpaceDE w:val="0"/>
              <w:autoSpaceDN w:val="0"/>
              <w:adjustRightInd w:val="0"/>
              <w:snapToGrid w:val="0"/>
              <w:spacing w:line="296" w:lineRule="auto"/>
              <w:jc w:val="left"/>
              <w:textAlignment w:val="baseline"/>
              <w:rPr>
                <w:rFonts w:ascii="Arial" w:hAnsi="Arial" w:eastAsia="Arial" w:cs="Arial"/>
                <w:snapToGrid w:val="0"/>
                <w:color w:val="000000"/>
                <w:kern w:val="0"/>
                <w:sz w:val="21"/>
                <w:lang w:eastAsia="en-US"/>
              </w:rPr>
            </w:pPr>
          </w:p>
          <w:p w14:paraId="15B0A26B">
            <w:pPr>
              <w:kinsoku w:val="0"/>
              <w:autoSpaceDE w:val="0"/>
              <w:autoSpaceDN w:val="0"/>
              <w:adjustRightInd w:val="0"/>
              <w:snapToGrid w:val="0"/>
              <w:spacing w:before="58"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13</w:t>
            </w:r>
          </w:p>
        </w:tc>
        <w:tc>
          <w:tcPr>
            <w:tcW w:w="6569" w:type="dxa"/>
            <w:vAlign w:val="top"/>
          </w:tcPr>
          <w:p w14:paraId="5CF3E07F">
            <w:pPr>
              <w:keepNext w:val="0"/>
              <w:keepLines w:val="0"/>
              <w:pageBreakBefore w:val="0"/>
              <w:kinsoku w:val="0"/>
              <w:wordWrap/>
              <w:overflowPunct/>
              <w:topLinePunct w:val="0"/>
              <w:autoSpaceDE w:val="0"/>
              <w:autoSpaceDN w:val="0"/>
              <w:bidi w:val="0"/>
              <w:adjustRightInd w:val="0"/>
              <w:snapToGrid w:val="0"/>
              <w:spacing w:before="68" w:line="280" w:lineRule="exact"/>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油罐车卸油时用的卸油连通软管、油气回收连通软管，应采用导静电耐油软管，其体</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电阻率应小于</w:t>
            </w:r>
            <w:r>
              <w:rPr>
                <w:rFonts w:ascii="Times New Roman" w:hAnsi="Times New Roman" w:eastAsia="Times New Roman" w:cs="Times New Roman"/>
                <w:snapToGrid w:val="0"/>
                <w:color w:val="000000"/>
                <w:spacing w:val="-3"/>
                <w:kern w:val="0"/>
                <w:sz w:val="18"/>
                <w:szCs w:val="18"/>
                <w:lang w:val="en-US" w:eastAsia="en-US" w:bidi="ar-SA"/>
              </w:rPr>
              <w:t>10</w:t>
            </w:r>
            <w:r>
              <w:rPr>
                <w:rFonts w:ascii="Times New Roman" w:hAnsi="Times New Roman" w:eastAsia="Times New Roman" w:cs="Times New Roman"/>
                <w:snapToGrid w:val="0"/>
                <w:color w:val="000000"/>
                <w:spacing w:val="-3"/>
                <w:kern w:val="0"/>
                <w:position w:val="6"/>
                <w:sz w:val="11"/>
                <w:szCs w:val="11"/>
                <w:lang w:val="en-US" w:eastAsia="en-US" w:bidi="ar-SA"/>
              </w:rPr>
              <w:t>8</w:t>
            </w:r>
            <w:r>
              <w:rPr>
                <w:rFonts w:ascii="Times New Roman" w:hAnsi="Times New Roman" w:eastAsia="Times New Roman" w:cs="Times New Roman"/>
                <w:b/>
                <w:bCs/>
                <w:snapToGrid w:val="0"/>
                <w:color w:val="000000"/>
                <w:spacing w:val="-3"/>
                <w:kern w:val="0"/>
                <w:sz w:val="18"/>
                <w:szCs w:val="18"/>
                <w:lang w:val="en-US" w:eastAsia="en-US" w:bidi="ar-SA"/>
              </w:rPr>
              <w:t>Ω</w:t>
            </w:r>
            <w:r>
              <w:rPr>
                <w:rFonts w:ascii="Times New Roman" w:hAnsi="Times New Roman" w:eastAsia="Times New Roman" w:cs="Times New Roman"/>
                <w:snapToGrid w:val="0"/>
                <w:color w:val="000000"/>
                <w:spacing w:val="-3"/>
                <w:kern w:val="0"/>
                <w:sz w:val="18"/>
                <w:szCs w:val="18"/>
                <w:lang w:val="en-US" w:eastAsia="en-US" w:bidi="ar-SA"/>
              </w:rPr>
              <w:t>·</w:t>
            </w:r>
            <w:r>
              <w:rPr>
                <w:rFonts w:ascii="Times New Roman" w:hAnsi="Times New Roman" w:eastAsia="Times New Roman" w:cs="Times New Roman"/>
                <w:b/>
                <w:bCs/>
                <w:snapToGrid w:val="0"/>
                <w:color w:val="000000"/>
                <w:spacing w:val="-3"/>
                <w:kern w:val="0"/>
                <w:sz w:val="18"/>
                <w:szCs w:val="18"/>
                <w:lang w:val="en-US" w:eastAsia="en-US" w:bidi="ar-SA"/>
              </w:rPr>
              <w:t>m</w:t>
            </w:r>
            <w:r>
              <w:rPr>
                <w:rFonts w:ascii="Times New Roman" w:hAnsi="Times New Roman" w:eastAsia="Times New Roman" w:cs="Times New Roman"/>
                <w:b/>
                <w:bCs/>
                <w:snapToGrid w:val="0"/>
                <w:color w:val="000000"/>
                <w:spacing w:val="-18"/>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，表面电阻率应小于</w:t>
            </w:r>
            <w:r>
              <w:rPr>
                <w:rFonts w:ascii="Times New Roman" w:hAnsi="Times New Roman" w:eastAsia="Times New Roman" w:cs="Times New Roman"/>
                <w:snapToGrid w:val="0"/>
                <w:color w:val="000000"/>
                <w:spacing w:val="-3"/>
                <w:kern w:val="0"/>
                <w:sz w:val="18"/>
                <w:szCs w:val="18"/>
                <w:lang w:val="en-US" w:eastAsia="en-US" w:bidi="ar-SA"/>
              </w:rPr>
              <w:t>10</w:t>
            </w:r>
            <w:r>
              <w:rPr>
                <w:rFonts w:ascii="Times New Roman" w:hAnsi="Times New Roman" w:eastAsia="Times New Roman" w:cs="Times New Roman"/>
                <w:snapToGrid w:val="0"/>
                <w:color w:val="000000"/>
                <w:spacing w:val="-3"/>
                <w:kern w:val="0"/>
                <w:position w:val="6"/>
                <w:sz w:val="11"/>
                <w:szCs w:val="11"/>
                <w:lang w:val="en-US" w:eastAsia="en-US" w:bidi="ar-SA"/>
              </w:rPr>
              <w:t>10</w:t>
            </w:r>
            <w:r>
              <w:rPr>
                <w:rFonts w:ascii="Times New Roman" w:hAnsi="Times New Roman" w:eastAsia="Times New Roman" w:cs="Times New Roman"/>
                <w:b/>
                <w:bCs/>
                <w:snapToGrid w:val="0"/>
                <w:color w:val="000000"/>
                <w:spacing w:val="-3"/>
                <w:kern w:val="0"/>
                <w:sz w:val="18"/>
                <w:szCs w:val="18"/>
                <w:lang w:val="en-US" w:eastAsia="en-US" w:bidi="ar-SA"/>
              </w:rPr>
              <w:t>Ω</w:t>
            </w:r>
            <w:r>
              <w:rPr>
                <w:rFonts w:ascii="Times New Roman" w:hAnsi="Times New Roman" w:eastAsia="Times New Roman" w:cs="Times New Roman"/>
                <w:b/>
                <w:bCs/>
                <w:snapToGrid w:val="0"/>
                <w:color w:val="000000"/>
                <w:spacing w:val="-2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w:t>
            </w:r>
            <w:r>
              <w:rPr>
                <w:rFonts w:ascii="宋体" w:hAnsi="宋体" w:eastAsia="宋体" w:cs="宋体"/>
                <w:snapToGrid w:val="0"/>
                <w:color w:val="000000"/>
                <w:spacing w:val="39"/>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或采用内附金属丝（网）的塑料软</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管。</w:t>
            </w:r>
          </w:p>
        </w:tc>
        <w:tc>
          <w:tcPr>
            <w:tcW w:w="1546" w:type="dxa"/>
            <w:vAlign w:val="top"/>
          </w:tcPr>
          <w:p w14:paraId="024E656C">
            <w:pPr>
              <w:keepNext w:val="0"/>
              <w:keepLines w:val="0"/>
              <w:pageBreakBefore w:val="0"/>
              <w:kinsoku w:val="0"/>
              <w:wordWrap/>
              <w:overflowPunct/>
              <w:topLinePunct w:val="0"/>
              <w:autoSpaceDE w:val="0"/>
              <w:autoSpaceDN w:val="0"/>
              <w:bidi w:val="0"/>
              <w:adjustRightInd w:val="0"/>
              <w:snapToGrid w:val="0"/>
              <w:spacing w:before="67" w:line="280" w:lineRule="exact"/>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卸油连通软管、油气</w:t>
            </w:r>
          </w:p>
          <w:p w14:paraId="6CFB8DC1">
            <w:pPr>
              <w:keepNext w:val="0"/>
              <w:keepLines w:val="0"/>
              <w:pageBreakBefore w:val="0"/>
              <w:kinsoku w:val="0"/>
              <w:wordWrap/>
              <w:overflowPunct/>
              <w:topLinePunct w:val="0"/>
              <w:autoSpaceDE w:val="0"/>
              <w:autoSpaceDN w:val="0"/>
              <w:bidi w:val="0"/>
              <w:adjustRightInd w:val="0"/>
              <w:snapToGrid w:val="0"/>
              <w:spacing w:before="47" w:line="280" w:lineRule="exact"/>
              <w:ind w:left="8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回收连通软管采用</w:t>
            </w:r>
          </w:p>
          <w:p w14:paraId="0A0AE989">
            <w:pPr>
              <w:keepNext w:val="0"/>
              <w:keepLines w:val="0"/>
              <w:pageBreakBefore w:val="0"/>
              <w:kinsoku w:val="0"/>
              <w:wordWrap/>
              <w:overflowPunct/>
              <w:topLinePunct w:val="0"/>
              <w:autoSpaceDE w:val="0"/>
              <w:autoSpaceDN w:val="0"/>
              <w:bidi w:val="0"/>
              <w:adjustRightInd w:val="0"/>
              <w:snapToGrid w:val="0"/>
              <w:spacing w:before="44" w:line="280" w:lineRule="exact"/>
              <w:ind w:left="16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导静电耐油软管</w:t>
            </w:r>
          </w:p>
        </w:tc>
        <w:tc>
          <w:tcPr>
            <w:tcW w:w="586" w:type="dxa"/>
            <w:tcBorders>
              <w:right w:val="single" w:color="000000" w:sz="10" w:space="0"/>
            </w:tcBorders>
            <w:vAlign w:val="top"/>
          </w:tcPr>
          <w:p w14:paraId="252C5085">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42C70B38">
            <w:pPr>
              <w:keepNext w:val="0"/>
              <w:keepLines w:val="0"/>
              <w:pageBreakBefore w:val="0"/>
              <w:kinsoku w:val="0"/>
              <w:wordWrap/>
              <w:overflowPunct/>
              <w:topLinePunct w:val="0"/>
              <w:autoSpaceDE w:val="0"/>
              <w:autoSpaceDN w:val="0"/>
              <w:bidi w:val="0"/>
              <w:adjustRightInd w:val="0"/>
              <w:snapToGrid w:val="0"/>
              <w:spacing w:before="59"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BC09F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 w:hRule="atLeast"/>
        </w:trPr>
        <w:tc>
          <w:tcPr>
            <w:tcW w:w="541" w:type="dxa"/>
            <w:tcBorders>
              <w:left w:val="single" w:color="000000" w:sz="10" w:space="0"/>
            </w:tcBorders>
            <w:vAlign w:val="top"/>
          </w:tcPr>
          <w:p w14:paraId="26F7FB63">
            <w:pPr>
              <w:widowControl/>
              <w:kinsoku w:val="0"/>
              <w:autoSpaceDE w:val="0"/>
              <w:autoSpaceDN w:val="0"/>
              <w:adjustRightInd w:val="0"/>
              <w:snapToGrid w:val="0"/>
              <w:spacing w:line="297" w:lineRule="auto"/>
              <w:jc w:val="left"/>
              <w:textAlignment w:val="baseline"/>
              <w:rPr>
                <w:rFonts w:ascii="Arial" w:hAnsi="Arial" w:eastAsia="Arial" w:cs="Arial"/>
                <w:snapToGrid w:val="0"/>
                <w:color w:val="000000"/>
                <w:kern w:val="0"/>
                <w:sz w:val="21"/>
                <w:lang w:eastAsia="en-US"/>
              </w:rPr>
            </w:pPr>
          </w:p>
          <w:p w14:paraId="40ABDC0C">
            <w:pPr>
              <w:kinsoku w:val="0"/>
              <w:autoSpaceDE w:val="0"/>
              <w:autoSpaceDN w:val="0"/>
              <w:adjustRightInd w:val="0"/>
              <w:snapToGrid w:val="0"/>
              <w:spacing w:before="59"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14</w:t>
            </w:r>
          </w:p>
        </w:tc>
        <w:tc>
          <w:tcPr>
            <w:tcW w:w="6569" w:type="dxa"/>
            <w:vAlign w:val="top"/>
          </w:tcPr>
          <w:p w14:paraId="0EA3793C">
            <w:pPr>
              <w:keepNext w:val="0"/>
              <w:keepLines w:val="0"/>
              <w:pageBreakBefore w:val="0"/>
              <w:kinsoku w:val="0"/>
              <w:wordWrap/>
              <w:overflowPunct/>
              <w:topLinePunct w:val="0"/>
              <w:autoSpaceDE w:val="0"/>
              <w:autoSpaceDN w:val="0"/>
              <w:bidi w:val="0"/>
              <w:adjustRightInd w:val="0"/>
              <w:snapToGrid w:val="0"/>
              <w:spacing w:before="201" w:line="280" w:lineRule="exact"/>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加油站内的工艺管道除必须露出地面的以外，均应埋地敷设。当采用管沟敷设时，管</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沟必须用中性沙子或细土填满、填实。</w:t>
            </w:r>
          </w:p>
        </w:tc>
        <w:tc>
          <w:tcPr>
            <w:tcW w:w="1546" w:type="dxa"/>
            <w:vAlign w:val="top"/>
          </w:tcPr>
          <w:p w14:paraId="077E0BD2">
            <w:pPr>
              <w:keepNext w:val="0"/>
              <w:keepLines w:val="0"/>
              <w:pageBreakBefore w:val="0"/>
              <w:kinsoku w:val="0"/>
              <w:wordWrap/>
              <w:overflowPunct/>
              <w:topLinePunct w:val="0"/>
              <w:autoSpaceDE w:val="0"/>
              <w:autoSpaceDN w:val="0"/>
              <w:bidi w:val="0"/>
              <w:adjustRightInd w:val="0"/>
              <w:snapToGrid w:val="0"/>
              <w:spacing w:before="71" w:line="280" w:lineRule="exact"/>
              <w:ind w:left="7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除必须露出地面的</w:t>
            </w:r>
          </w:p>
          <w:p w14:paraId="29372621">
            <w:pPr>
              <w:keepNext w:val="0"/>
              <w:keepLines w:val="0"/>
              <w:pageBreakBefore w:val="0"/>
              <w:kinsoku w:val="0"/>
              <w:wordWrap/>
              <w:overflowPunct/>
              <w:topLinePunct w:val="0"/>
              <w:autoSpaceDE w:val="0"/>
              <w:autoSpaceDN w:val="0"/>
              <w:bidi w:val="0"/>
              <w:adjustRightInd w:val="0"/>
              <w:snapToGrid w:val="0"/>
              <w:spacing w:before="44" w:line="280" w:lineRule="exact"/>
              <w:ind w:left="8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以外的工艺管道外</w:t>
            </w:r>
          </w:p>
          <w:p w14:paraId="0D557D7D">
            <w:pPr>
              <w:keepNext w:val="0"/>
              <w:keepLines w:val="0"/>
              <w:pageBreakBefore w:val="0"/>
              <w:kinsoku w:val="0"/>
              <w:wordWrap/>
              <w:overflowPunct/>
              <w:topLinePunct w:val="0"/>
              <w:autoSpaceDE w:val="0"/>
              <w:autoSpaceDN w:val="0"/>
              <w:bidi w:val="0"/>
              <w:adjustRightInd w:val="0"/>
              <w:snapToGrid w:val="0"/>
              <w:spacing w:before="44" w:line="280" w:lineRule="exact"/>
              <w:ind w:left="33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均埋地敷设</w:t>
            </w:r>
          </w:p>
        </w:tc>
        <w:tc>
          <w:tcPr>
            <w:tcW w:w="586" w:type="dxa"/>
            <w:tcBorders>
              <w:right w:val="single" w:color="000000" w:sz="10" w:space="0"/>
            </w:tcBorders>
            <w:vAlign w:val="top"/>
          </w:tcPr>
          <w:p w14:paraId="61674BB0">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7D0007C">
            <w:pPr>
              <w:keepNext w:val="0"/>
              <w:keepLines w:val="0"/>
              <w:pageBreakBefore w:val="0"/>
              <w:kinsoku w:val="0"/>
              <w:wordWrap/>
              <w:overflowPunct/>
              <w:topLinePunct w:val="0"/>
              <w:autoSpaceDE w:val="0"/>
              <w:autoSpaceDN w:val="0"/>
              <w:bidi w:val="0"/>
              <w:adjustRightInd w:val="0"/>
              <w:snapToGrid w:val="0"/>
              <w:spacing w:before="58"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45AD04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541" w:type="dxa"/>
            <w:tcBorders>
              <w:left w:val="single" w:color="000000" w:sz="10" w:space="0"/>
            </w:tcBorders>
            <w:vAlign w:val="top"/>
          </w:tcPr>
          <w:p w14:paraId="61E75670">
            <w:pPr>
              <w:widowControl/>
              <w:kinsoku w:val="0"/>
              <w:autoSpaceDE w:val="0"/>
              <w:autoSpaceDN w:val="0"/>
              <w:adjustRightInd w:val="0"/>
              <w:snapToGrid w:val="0"/>
              <w:spacing w:line="299" w:lineRule="auto"/>
              <w:jc w:val="left"/>
              <w:textAlignment w:val="baseline"/>
              <w:rPr>
                <w:rFonts w:ascii="Arial" w:hAnsi="Arial" w:eastAsia="Arial" w:cs="Arial"/>
                <w:snapToGrid w:val="0"/>
                <w:color w:val="000000"/>
                <w:kern w:val="0"/>
                <w:sz w:val="21"/>
                <w:lang w:eastAsia="en-US"/>
              </w:rPr>
            </w:pPr>
          </w:p>
          <w:p w14:paraId="0A49A300">
            <w:pPr>
              <w:kinsoku w:val="0"/>
              <w:autoSpaceDE w:val="0"/>
              <w:autoSpaceDN w:val="0"/>
              <w:adjustRightInd w:val="0"/>
              <w:snapToGrid w:val="0"/>
              <w:spacing w:before="58"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15</w:t>
            </w:r>
          </w:p>
        </w:tc>
        <w:tc>
          <w:tcPr>
            <w:tcW w:w="6569" w:type="dxa"/>
            <w:vAlign w:val="top"/>
          </w:tcPr>
          <w:p w14:paraId="218096C7">
            <w:pPr>
              <w:keepNext w:val="0"/>
              <w:keepLines w:val="0"/>
              <w:pageBreakBefore w:val="0"/>
              <w:kinsoku w:val="0"/>
              <w:wordWrap/>
              <w:overflowPunct/>
              <w:topLinePunct w:val="0"/>
              <w:autoSpaceDE w:val="0"/>
              <w:autoSpaceDN w:val="0"/>
              <w:bidi w:val="0"/>
              <w:adjustRightInd w:val="0"/>
              <w:snapToGrid w:val="0"/>
              <w:spacing w:before="72" w:line="280" w:lineRule="exact"/>
              <w:ind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卸油管道、卸油油气回收管道、加油油气回收管道和油罐通气管横管，应坡向埋地油</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罐。卸油管道的坡度不应小于</w:t>
            </w:r>
            <w:r>
              <w:rPr>
                <w:rFonts w:ascii="Times New Roman" w:hAnsi="Times New Roman" w:eastAsia="Times New Roman" w:cs="Times New Roman"/>
                <w:snapToGrid w:val="0"/>
                <w:color w:val="000000"/>
                <w:spacing w:val="-1"/>
                <w:kern w:val="0"/>
                <w:sz w:val="18"/>
                <w:szCs w:val="18"/>
                <w:lang w:val="en-US" w:eastAsia="en-US" w:bidi="ar-SA"/>
              </w:rPr>
              <w:t>2‰</w:t>
            </w:r>
            <w:r>
              <w:rPr>
                <w:rFonts w:ascii="Times New Roman" w:hAnsi="Times New Roman" w:eastAsia="Times New Roman" w:cs="Times New Roman"/>
                <w:snapToGrid w:val="0"/>
                <w:color w:val="000000"/>
                <w:spacing w:val="-1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，卸油油气回收管道、加油油气回收管道和油罐通</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气管横管的坡度，不应小可</w:t>
            </w:r>
            <w:r>
              <w:rPr>
                <w:rFonts w:ascii="Times New Roman" w:hAnsi="Times New Roman" w:eastAsia="Times New Roman" w:cs="Times New Roman"/>
                <w:snapToGrid w:val="0"/>
                <w:color w:val="000000"/>
                <w:spacing w:val="-1"/>
                <w:kern w:val="0"/>
                <w:sz w:val="18"/>
                <w:szCs w:val="18"/>
                <w:lang w:val="en-US" w:eastAsia="en-US" w:bidi="ar-SA"/>
              </w:rPr>
              <w:t>1%</w:t>
            </w:r>
            <w:r>
              <w:rPr>
                <w:rFonts w:ascii="宋体" w:hAnsi="宋体" w:eastAsia="宋体" w:cs="宋体"/>
                <w:snapToGrid w:val="0"/>
                <w:color w:val="000000"/>
                <w:spacing w:val="-1"/>
                <w:kern w:val="0"/>
                <w:sz w:val="18"/>
                <w:szCs w:val="18"/>
                <w:lang w:val="en-US" w:eastAsia="en-US" w:bidi="ar-SA"/>
              </w:rPr>
              <w:t>。</w:t>
            </w:r>
          </w:p>
        </w:tc>
        <w:tc>
          <w:tcPr>
            <w:tcW w:w="1546" w:type="dxa"/>
            <w:vAlign w:val="top"/>
          </w:tcPr>
          <w:p w14:paraId="6E1D4070">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424AB195">
            <w:pPr>
              <w:keepNext w:val="0"/>
              <w:keepLines w:val="0"/>
              <w:pageBreakBefore w:val="0"/>
              <w:kinsoku w:val="0"/>
              <w:wordWrap/>
              <w:overflowPunct/>
              <w:topLinePunct w:val="0"/>
              <w:autoSpaceDE w:val="0"/>
              <w:autoSpaceDN w:val="0"/>
              <w:bidi w:val="0"/>
              <w:adjustRightInd w:val="0"/>
              <w:snapToGrid w:val="0"/>
              <w:spacing w:before="58" w:line="280" w:lineRule="exact"/>
              <w:ind w:left="24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坡向埋地油罐</w:t>
            </w:r>
          </w:p>
        </w:tc>
        <w:tc>
          <w:tcPr>
            <w:tcW w:w="586" w:type="dxa"/>
            <w:tcBorders>
              <w:right w:val="single" w:color="000000" w:sz="10" w:space="0"/>
            </w:tcBorders>
            <w:vAlign w:val="top"/>
          </w:tcPr>
          <w:p w14:paraId="27089436">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3ED83D94">
            <w:pPr>
              <w:keepNext w:val="0"/>
              <w:keepLines w:val="0"/>
              <w:pageBreakBefore w:val="0"/>
              <w:kinsoku w:val="0"/>
              <w:wordWrap/>
              <w:overflowPunct/>
              <w:topLinePunct w:val="0"/>
              <w:autoSpaceDE w:val="0"/>
              <w:autoSpaceDN w:val="0"/>
              <w:bidi w:val="0"/>
              <w:adjustRightInd w:val="0"/>
              <w:snapToGrid w:val="0"/>
              <w:spacing w:before="58"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16CD1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 w:hRule="atLeast"/>
        </w:trPr>
        <w:tc>
          <w:tcPr>
            <w:tcW w:w="541" w:type="dxa"/>
            <w:tcBorders>
              <w:left w:val="single" w:color="000000" w:sz="10" w:space="0"/>
            </w:tcBorders>
            <w:vAlign w:val="top"/>
          </w:tcPr>
          <w:p w14:paraId="0CAF6AB5">
            <w:pPr>
              <w:kinsoku w:val="0"/>
              <w:autoSpaceDE w:val="0"/>
              <w:autoSpaceDN w:val="0"/>
              <w:adjustRightInd w:val="0"/>
              <w:snapToGrid w:val="0"/>
              <w:spacing w:before="230"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16</w:t>
            </w:r>
          </w:p>
        </w:tc>
        <w:tc>
          <w:tcPr>
            <w:tcW w:w="6569" w:type="dxa"/>
            <w:vAlign w:val="top"/>
          </w:tcPr>
          <w:p w14:paraId="707748B4">
            <w:pPr>
              <w:keepNext w:val="0"/>
              <w:keepLines w:val="0"/>
              <w:pageBreakBefore w:val="0"/>
              <w:kinsoku w:val="0"/>
              <w:wordWrap/>
              <w:overflowPunct/>
              <w:topLinePunct w:val="0"/>
              <w:autoSpaceDE w:val="0"/>
              <w:autoSpaceDN w:val="0"/>
              <w:bidi w:val="0"/>
              <w:adjustRightInd w:val="0"/>
              <w:snapToGrid w:val="0"/>
              <w:spacing w:before="73" w:line="280" w:lineRule="exact"/>
              <w:ind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受地形限制，加油油气回收管道坡向油罐的坡度无法满足本标准第</w:t>
            </w:r>
            <w:r>
              <w:rPr>
                <w:rFonts w:ascii="Times New Roman" w:hAnsi="Times New Roman" w:eastAsia="Times New Roman" w:cs="Times New Roman"/>
                <w:snapToGrid w:val="0"/>
                <w:color w:val="000000"/>
                <w:spacing w:val="-5"/>
                <w:kern w:val="0"/>
                <w:sz w:val="18"/>
                <w:szCs w:val="18"/>
                <w:lang w:val="en-US" w:eastAsia="en-US" w:bidi="ar-SA"/>
              </w:rPr>
              <w:t>6.3.</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14</w:t>
            </w:r>
            <w:r>
              <w:rPr>
                <w:rFonts w:ascii="宋体" w:hAnsi="宋体" w:eastAsia="宋体" w:cs="宋体"/>
                <w:snapToGrid w:val="0"/>
                <w:color w:val="000000"/>
                <w:spacing w:val="-6"/>
                <w:kern w:val="0"/>
                <w:sz w:val="18"/>
                <w:szCs w:val="18"/>
                <w:lang w:val="en-US" w:eastAsia="en-US" w:bidi="ar-SA"/>
              </w:rPr>
              <w:t>条的要求时，</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可在管道靠近油罐的位置设置集液器，且管道坡向集液器的坡度不应小</w:t>
            </w:r>
            <w:r>
              <w:rPr>
                <w:rFonts w:ascii="Times New Roman" w:hAnsi="Times New Roman" w:eastAsia="Times New Roman" w:cs="Times New Roman"/>
                <w:snapToGrid w:val="0"/>
                <w:color w:val="000000"/>
                <w:spacing w:val="-2"/>
                <w:kern w:val="0"/>
                <w:sz w:val="18"/>
                <w:szCs w:val="18"/>
                <w:lang w:val="en-US" w:eastAsia="en-US" w:bidi="ar-SA"/>
              </w:rPr>
              <w:t>1</w:t>
            </w:r>
            <w:r>
              <w:rPr>
                <w:rFonts w:ascii="宋体" w:hAnsi="宋体" w:eastAsia="宋体" w:cs="宋体"/>
                <w:snapToGrid w:val="0"/>
                <w:color w:val="000000"/>
                <w:spacing w:val="-2"/>
                <w:kern w:val="0"/>
                <w:sz w:val="18"/>
                <w:szCs w:val="18"/>
                <w:lang w:val="en-US" w:eastAsia="en-US" w:bidi="ar-SA"/>
              </w:rPr>
              <w:t>％。</w:t>
            </w:r>
          </w:p>
        </w:tc>
        <w:tc>
          <w:tcPr>
            <w:tcW w:w="1546" w:type="dxa"/>
            <w:vAlign w:val="top"/>
          </w:tcPr>
          <w:p w14:paraId="158C91A7">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080C5227">
            <w:pPr>
              <w:keepNext w:val="0"/>
              <w:keepLines w:val="0"/>
              <w:pageBreakBefore w:val="0"/>
              <w:widowControl/>
              <w:kinsoku w:val="0"/>
              <w:wordWrap/>
              <w:overflowPunct/>
              <w:topLinePunct w:val="0"/>
              <w:autoSpaceDE w:val="0"/>
              <w:autoSpaceDN w:val="0"/>
              <w:bidi w:val="0"/>
              <w:adjustRightInd w:val="0"/>
              <w:snapToGrid w:val="0"/>
              <w:spacing w:before="52" w:line="280" w:lineRule="exact"/>
              <w:ind w:left="75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c>
          <w:tcPr>
            <w:tcW w:w="586" w:type="dxa"/>
            <w:tcBorders>
              <w:right w:val="single" w:color="000000" w:sz="10" w:space="0"/>
            </w:tcBorders>
            <w:vAlign w:val="top"/>
          </w:tcPr>
          <w:p w14:paraId="1E46359D">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172DC9C1">
            <w:pPr>
              <w:keepNext w:val="0"/>
              <w:keepLines w:val="0"/>
              <w:pageBreakBefore w:val="0"/>
              <w:widowControl/>
              <w:kinsoku w:val="0"/>
              <w:wordWrap/>
              <w:overflowPunct/>
              <w:topLinePunct w:val="0"/>
              <w:autoSpaceDE w:val="0"/>
              <w:autoSpaceDN w:val="0"/>
              <w:bidi w:val="0"/>
              <w:adjustRightInd w:val="0"/>
              <w:snapToGrid w:val="0"/>
              <w:spacing w:before="52" w:line="280" w:lineRule="exact"/>
              <w:ind w:left="26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r>
      <w:tr w14:paraId="01F4E4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541" w:type="dxa"/>
            <w:tcBorders>
              <w:left w:val="single" w:color="000000" w:sz="10" w:space="0"/>
            </w:tcBorders>
            <w:vAlign w:val="top"/>
          </w:tcPr>
          <w:p w14:paraId="3FBB1C14">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7E072390">
            <w:pPr>
              <w:kinsoku w:val="0"/>
              <w:autoSpaceDE w:val="0"/>
              <w:autoSpaceDN w:val="0"/>
              <w:adjustRightInd w:val="0"/>
              <w:snapToGrid w:val="0"/>
              <w:spacing w:before="58"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17</w:t>
            </w:r>
          </w:p>
        </w:tc>
        <w:tc>
          <w:tcPr>
            <w:tcW w:w="6569" w:type="dxa"/>
            <w:vAlign w:val="top"/>
          </w:tcPr>
          <w:p w14:paraId="7A9A1DB4">
            <w:pPr>
              <w:keepNext w:val="0"/>
              <w:keepLines w:val="0"/>
              <w:pageBreakBefore w:val="0"/>
              <w:kinsoku w:val="0"/>
              <w:wordWrap/>
              <w:overflowPunct/>
              <w:topLinePunct w:val="0"/>
              <w:autoSpaceDE w:val="0"/>
              <w:autoSpaceDN w:val="0"/>
              <w:bidi w:val="0"/>
              <w:adjustRightInd w:val="0"/>
              <w:snapToGrid w:val="0"/>
              <w:spacing w:before="74" w:line="280" w:lineRule="exact"/>
              <w:ind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埋地工艺管道的埋设深度不得小于</w:t>
            </w:r>
            <w:r>
              <w:rPr>
                <w:rFonts w:ascii="Times New Roman" w:hAnsi="Times New Roman" w:eastAsia="Times New Roman" w:cs="Times New Roman"/>
                <w:snapToGrid w:val="0"/>
                <w:color w:val="000000"/>
                <w:spacing w:val="-3"/>
                <w:kern w:val="0"/>
                <w:sz w:val="18"/>
                <w:szCs w:val="18"/>
                <w:lang w:val="en-US" w:eastAsia="en-US" w:bidi="ar-SA"/>
              </w:rPr>
              <w:t>0.4m</w:t>
            </w:r>
            <w:r>
              <w:rPr>
                <w:rFonts w:ascii="宋体" w:hAnsi="宋体" w:eastAsia="宋体" w:cs="宋体"/>
                <w:snapToGrid w:val="0"/>
                <w:color w:val="000000"/>
                <w:spacing w:val="-3"/>
                <w:kern w:val="0"/>
                <w:sz w:val="18"/>
                <w:szCs w:val="18"/>
                <w:lang w:val="en-US" w:eastAsia="en-US" w:bidi="ar-SA"/>
              </w:rPr>
              <w:t>。敷设在混凝土场地或道路下面的管道，管顶</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低于混凝土下表面不得小于</w:t>
            </w:r>
            <w:r>
              <w:rPr>
                <w:rFonts w:ascii="Times New Roman" w:hAnsi="Times New Roman" w:eastAsia="Times New Roman" w:cs="Times New Roman"/>
                <w:snapToGrid w:val="0"/>
                <w:color w:val="000000"/>
                <w:spacing w:val="1"/>
                <w:kern w:val="0"/>
                <w:sz w:val="18"/>
                <w:szCs w:val="18"/>
                <w:lang w:val="en-US" w:eastAsia="en-US" w:bidi="ar-SA"/>
              </w:rPr>
              <w:t>0.2m</w:t>
            </w:r>
            <w:r>
              <w:rPr>
                <w:rFonts w:ascii="Times New Roman" w:hAnsi="Times New Roman" w:eastAsia="Times New Roman" w:cs="Times New Roman"/>
                <w:snapToGrid w:val="0"/>
                <w:color w:val="000000"/>
                <w:spacing w:val="-18"/>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。管道周围应回填不小于</w:t>
            </w:r>
            <w:r>
              <w:rPr>
                <w:rFonts w:ascii="Times New Roman" w:hAnsi="Times New Roman" w:eastAsia="Times New Roman" w:cs="Times New Roman"/>
                <w:snapToGrid w:val="0"/>
                <w:color w:val="000000"/>
                <w:spacing w:val="1"/>
                <w:kern w:val="0"/>
                <w:sz w:val="18"/>
                <w:szCs w:val="18"/>
                <w:lang w:val="en-US" w:eastAsia="en-US" w:bidi="ar-SA"/>
              </w:rPr>
              <w:t>100</w:t>
            </w:r>
            <w:r>
              <w:rPr>
                <w:rFonts w:ascii="Times New Roman" w:hAnsi="Times New Roman" w:eastAsia="Times New Roman" w:cs="Times New Roman"/>
                <w:snapToGrid w:val="0"/>
                <w:color w:val="000000"/>
                <w:kern w:val="0"/>
                <w:sz w:val="18"/>
                <w:szCs w:val="18"/>
                <w:lang w:val="en-US" w:eastAsia="en-US" w:bidi="ar-SA"/>
              </w:rPr>
              <w:t>mm</w:t>
            </w:r>
            <w:r>
              <w:rPr>
                <w:rFonts w:ascii="宋体" w:hAnsi="宋体" w:eastAsia="宋体" w:cs="宋体"/>
                <w:snapToGrid w:val="0"/>
                <w:color w:val="000000"/>
                <w:spacing w:val="1"/>
                <w:kern w:val="0"/>
                <w:sz w:val="18"/>
                <w:szCs w:val="18"/>
                <w:lang w:val="en-US" w:eastAsia="en-US" w:bidi="ar-SA"/>
              </w:rPr>
              <w:t>厚的中性沙子或细</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土。</w:t>
            </w:r>
          </w:p>
        </w:tc>
        <w:tc>
          <w:tcPr>
            <w:tcW w:w="1546" w:type="dxa"/>
            <w:vAlign w:val="top"/>
          </w:tcPr>
          <w:p w14:paraId="62B359A3">
            <w:pPr>
              <w:keepNext w:val="0"/>
              <w:keepLines w:val="0"/>
              <w:pageBreakBefore w:val="0"/>
              <w:kinsoku w:val="0"/>
              <w:wordWrap/>
              <w:overflowPunct/>
              <w:topLinePunct w:val="0"/>
              <w:autoSpaceDE w:val="0"/>
              <w:autoSpaceDN w:val="0"/>
              <w:bidi w:val="0"/>
              <w:adjustRightInd w:val="0"/>
              <w:snapToGrid w:val="0"/>
              <w:spacing w:before="205" w:line="280" w:lineRule="exact"/>
              <w:ind w:left="157" w:right="41" w:hanging="9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埋地工艺管道的埋</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设深度符合要求</w:t>
            </w:r>
          </w:p>
        </w:tc>
        <w:tc>
          <w:tcPr>
            <w:tcW w:w="586" w:type="dxa"/>
            <w:tcBorders>
              <w:right w:val="single" w:color="000000" w:sz="10" w:space="0"/>
            </w:tcBorders>
            <w:vAlign w:val="top"/>
          </w:tcPr>
          <w:p w14:paraId="281F84DD">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5A979712">
            <w:pPr>
              <w:keepNext w:val="0"/>
              <w:keepLines w:val="0"/>
              <w:pageBreakBefore w:val="0"/>
              <w:kinsoku w:val="0"/>
              <w:wordWrap/>
              <w:overflowPunct/>
              <w:topLinePunct w:val="0"/>
              <w:autoSpaceDE w:val="0"/>
              <w:autoSpaceDN w:val="0"/>
              <w:bidi w:val="0"/>
              <w:adjustRightInd w:val="0"/>
              <w:snapToGrid w:val="0"/>
              <w:spacing w:before="58"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0A272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541" w:type="dxa"/>
            <w:tcBorders>
              <w:left w:val="single" w:color="000000" w:sz="10" w:space="0"/>
            </w:tcBorders>
            <w:vAlign w:val="top"/>
          </w:tcPr>
          <w:p w14:paraId="5B2BFD1F">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167DC392">
            <w:pPr>
              <w:kinsoku w:val="0"/>
              <w:autoSpaceDE w:val="0"/>
              <w:autoSpaceDN w:val="0"/>
              <w:adjustRightInd w:val="0"/>
              <w:snapToGrid w:val="0"/>
              <w:spacing w:before="59"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18</w:t>
            </w:r>
          </w:p>
        </w:tc>
        <w:tc>
          <w:tcPr>
            <w:tcW w:w="6569" w:type="dxa"/>
            <w:vAlign w:val="top"/>
          </w:tcPr>
          <w:p w14:paraId="5D0156D8">
            <w:pPr>
              <w:keepNext w:val="0"/>
              <w:keepLines w:val="0"/>
              <w:pageBreakBefore w:val="0"/>
              <w:kinsoku w:val="0"/>
              <w:wordWrap/>
              <w:overflowPunct/>
              <w:topLinePunct w:val="0"/>
              <w:autoSpaceDE w:val="0"/>
              <w:autoSpaceDN w:val="0"/>
              <w:bidi w:val="0"/>
              <w:adjustRightInd w:val="0"/>
              <w:snapToGrid w:val="0"/>
              <w:spacing w:before="205" w:line="280" w:lineRule="exact"/>
              <w:ind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工艺管道不应穿过或跨越站房等与其无直接关系的建（构）筑物；与管沟、电缆沟和</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排水沟相交叉，应采取相应的防护措施。</w:t>
            </w:r>
          </w:p>
        </w:tc>
        <w:tc>
          <w:tcPr>
            <w:tcW w:w="1546" w:type="dxa"/>
            <w:vAlign w:val="top"/>
          </w:tcPr>
          <w:p w14:paraId="7CC87930">
            <w:pPr>
              <w:keepNext w:val="0"/>
              <w:keepLines w:val="0"/>
              <w:pageBreakBefore w:val="0"/>
              <w:kinsoku w:val="0"/>
              <w:wordWrap/>
              <w:overflowPunct/>
              <w:topLinePunct w:val="0"/>
              <w:autoSpaceDE w:val="0"/>
              <w:autoSpaceDN w:val="0"/>
              <w:bidi w:val="0"/>
              <w:adjustRightInd w:val="0"/>
              <w:snapToGrid w:val="0"/>
              <w:spacing w:before="75" w:line="280" w:lineRule="exact"/>
              <w:ind w:left="6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工艺管道不穿过或</w:t>
            </w:r>
          </w:p>
          <w:p w14:paraId="4255AA10">
            <w:pPr>
              <w:keepNext w:val="0"/>
              <w:keepLines w:val="0"/>
              <w:pageBreakBefore w:val="0"/>
              <w:kinsoku w:val="0"/>
              <w:wordWrap/>
              <w:overflowPunct/>
              <w:topLinePunct w:val="0"/>
              <w:autoSpaceDE w:val="0"/>
              <w:autoSpaceDN w:val="0"/>
              <w:bidi w:val="0"/>
              <w:adjustRightInd w:val="0"/>
              <w:snapToGrid w:val="0"/>
              <w:spacing w:before="44" w:line="280" w:lineRule="exact"/>
              <w:ind w:left="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跨越站房等与其无</w:t>
            </w:r>
          </w:p>
          <w:p w14:paraId="01F71C48">
            <w:pPr>
              <w:keepNext w:val="0"/>
              <w:keepLines w:val="0"/>
              <w:pageBreakBefore w:val="0"/>
              <w:kinsoku w:val="0"/>
              <w:wordWrap/>
              <w:overflowPunct/>
              <w:topLinePunct w:val="0"/>
              <w:autoSpaceDE w:val="0"/>
              <w:autoSpaceDN w:val="0"/>
              <w:bidi w:val="0"/>
              <w:adjustRightInd w:val="0"/>
              <w:snapToGrid w:val="0"/>
              <w:spacing w:before="47" w:line="280" w:lineRule="exact"/>
              <w:ind w:left="15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关建（构）筑物</w:t>
            </w:r>
          </w:p>
        </w:tc>
        <w:tc>
          <w:tcPr>
            <w:tcW w:w="586" w:type="dxa"/>
            <w:tcBorders>
              <w:right w:val="single" w:color="000000" w:sz="10" w:space="0"/>
            </w:tcBorders>
            <w:vAlign w:val="top"/>
          </w:tcPr>
          <w:p w14:paraId="49FC9308">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7AF31941">
            <w:pPr>
              <w:keepNext w:val="0"/>
              <w:keepLines w:val="0"/>
              <w:pageBreakBefore w:val="0"/>
              <w:kinsoku w:val="0"/>
              <w:wordWrap/>
              <w:overflowPunct/>
              <w:topLinePunct w:val="0"/>
              <w:autoSpaceDE w:val="0"/>
              <w:autoSpaceDN w:val="0"/>
              <w:bidi w:val="0"/>
              <w:adjustRightInd w:val="0"/>
              <w:snapToGrid w:val="0"/>
              <w:spacing w:before="59"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A0953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2" w:hRule="atLeast"/>
        </w:trPr>
        <w:tc>
          <w:tcPr>
            <w:tcW w:w="541" w:type="dxa"/>
            <w:tcBorders>
              <w:left w:val="single" w:color="000000" w:sz="10" w:space="0"/>
            </w:tcBorders>
            <w:vAlign w:val="top"/>
          </w:tcPr>
          <w:p w14:paraId="7C2DDFAC">
            <w:pPr>
              <w:widowControl/>
              <w:kinsoku w:val="0"/>
              <w:autoSpaceDE w:val="0"/>
              <w:autoSpaceDN w:val="0"/>
              <w:adjustRightInd w:val="0"/>
              <w:snapToGrid w:val="0"/>
              <w:spacing w:line="281" w:lineRule="auto"/>
              <w:jc w:val="left"/>
              <w:textAlignment w:val="baseline"/>
              <w:rPr>
                <w:rFonts w:ascii="Arial" w:hAnsi="Arial" w:eastAsia="Arial" w:cs="Arial"/>
                <w:snapToGrid w:val="0"/>
                <w:color w:val="000000"/>
                <w:kern w:val="0"/>
                <w:sz w:val="21"/>
                <w:lang w:eastAsia="en-US"/>
              </w:rPr>
            </w:pPr>
          </w:p>
          <w:p w14:paraId="5D3C6478">
            <w:pPr>
              <w:widowControl/>
              <w:kinsoku w:val="0"/>
              <w:autoSpaceDE w:val="0"/>
              <w:autoSpaceDN w:val="0"/>
              <w:adjustRightInd w:val="0"/>
              <w:snapToGrid w:val="0"/>
              <w:spacing w:line="281" w:lineRule="auto"/>
              <w:jc w:val="left"/>
              <w:textAlignment w:val="baseline"/>
              <w:rPr>
                <w:rFonts w:ascii="Arial" w:hAnsi="Arial" w:eastAsia="Arial" w:cs="Arial"/>
                <w:snapToGrid w:val="0"/>
                <w:color w:val="000000"/>
                <w:kern w:val="0"/>
                <w:sz w:val="21"/>
                <w:lang w:eastAsia="en-US"/>
              </w:rPr>
            </w:pPr>
          </w:p>
          <w:p w14:paraId="2EED6B7A">
            <w:pPr>
              <w:kinsoku w:val="0"/>
              <w:autoSpaceDE w:val="0"/>
              <w:autoSpaceDN w:val="0"/>
              <w:adjustRightInd w:val="0"/>
              <w:snapToGrid w:val="0"/>
              <w:spacing w:before="59" w:line="184" w:lineRule="auto"/>
              <w:ind w:left="18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19</w:t>
            </w:r>
          </w:p>
        </w:tc>
        <w:tc>
          <w:tcPr>
            <w:tcW w:w="6569" w:type="dxa"/>
            <w:vAlign w:val="top"/>
          </w:tcPr>
          <w:p w14:paraId="43E61009">
            <w:pPr>
              <w:keepNext w:val="0"/>
              <w:keepLines w:val="0"/>
              <w:pageBreakBefore w:val="0"/>
              <w:kinsoku w:val="0"/>
              <w:wordWrap/>
              <w:overflowPunct/>
              <w:topLinePunct w:val="0"/>
              <w:autoSpaceDE w:val="0"/>
              <w:autoSpaceDN w:val="0"/>
              <w:bidi w:val="0"/>
              <w:adjustRightInd w:val="0"/>
              <w:snapToGrid w:val="0"/>
              <w:spacing w:before="76" w:line="280" w:lineRule="exact"/>
              <w:ind w:right="14"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不导静电热塑性塑料管道的设计和安装</w:t>
            </w:r>
            <w:r>
              <w:rPr>
                <w:rFonts w:ascii="宋体" w:hAnsi="宋体" w:eastAsia="宋体" w:cs="宋体"/>
                <w:snapToGrid w:val="0"/>
                <w:color w:val="000000"/>
                <w:spacing w:val="-33"/>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，除应符合本标准第</w:t>
            </w:r>
            <w:r>
              <w:rPr>
                <w:rFonts w:ascii="宋体" w:hAnsi="宋体" w:eastAsia="宋体" w:cs="宋体"/>
                <w:snapToGrid w:val="0"/>
                <w:color w:val="000000"/>
                <w:spacing w:val="-13"/>
                <w:kern w:val="0"/>
                <w:sz w:val="18"/>
                <w:szCs w:val="18"/>
                <w:lang w:val="en-US" w:eastAsia="en-US" w:bidi="ar-SA"/>
              </w:rPr>
              <w:t xml:space="preserve"> </w:t>
            </w:r>
            <w:r>
              <w:rPr>
                <w:rFonts w:ascii="Times New Roman" w:hAnsi="Times New Roman" w:eastAsia="Times New Roman" w:cs="Times New Roman"/>
                <w:snapToGrid w:val="0"/>
                <w:color w:val="000000"/>
                <w:spacing w:val="12"/>
                <w:kern w:val="0"/>
                <w:sz w:val="18"/>
                <w:szCs w:val="18"/>
                <w:lang w:val="en-US" w:eastAsia="en-US" w:bidi="ar-SA"/>
              </w:rPr>
              <w:t>6.3</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Times New Roman" w:hAnsi="Times New Roman" w:eastAsia="Times New Roman" w:cs="Times New Roman"/>
                <w:snapToGrid w:val="0"/>
                <w:color w:val="000000"/>
                <w:spacing w:val="12"/>
                <w:kern w:val="0"/>
                <w:sz w:val="18"/>
                <w:szCs w:val="18"/>
                <w:lang w:val="en-US" w:eastAsia="en-US" w:bidi="ar-SA"/>
              </w:rPr>
              <w:t>.</w:t>
            </w:r>
            <w:r>
              <w:rPr>
                <w:rFonts w:ascii="Times New Roman" w:hAnsi="Times New Roman" w:eastAsia="Times New Roman" w:cs="Times New Roman"/>
                <w:snapToGrid w:val="0"/>
                <w:color w:val="000000"/>
                <w:spacing w:val="-14"/>
                <w:kern w:val="0"/>
                <w:sz w:val="18"/>
                <w:szCs w:val="18"/>
                <w:lang w:val="en-US" w:eastAsia="en-US" w:bidi="ar-SA"/>
              </w:rPr>
              <w:t xml:space="preserve"> </w:t>
            </w:r>
            <w:r>
              <w:rPr>
                <w:rFonts w:ascii="Times New Roman" w:hAnsi="Times New Roman" w:eastAsia="Times New Roman" w:cs="Times New Roman"/>
                <w:snapToGrid w:val="0"/>
                <w:color w:val="000000"/>
                <w:spacing w:val="12"/>
                <w:kern w:val="0"/>
                <w:sz w:val="18"/>
                <w:szCs w:val="18"/>
                <w:lang w:val="en-US" w:eastAsia="en-US" w:bidi="ar-SA"/>
              </w:rPr>
              <w:t>12</w:t>
            </w:r>
            <w:r>
              <w:rPr>
                <w:rFonts w:ascii="Times New Roman" w:hAnsi="Times New Roman" w:eastAsia="Times New Roman" w:cs="Times New Roman"/>
                <w:snapToGrid w:val="0"/>
                <w:color w:val="000000"/>
                <w:spacing w:val="30"/>
                <w:kern w:val="0"/>
                <w:sz w:val="18"/>
                <w:szCs w:val="18"/>
                <w:lang w:val="en-US" w:eastAsia="en-US" w:bidi="ar-SA"/>
              </w:rPr>
              <w:t xml:space="preserve"> </w:t>
            </w:r>
            <w:r>
              <w:rPr>
                <w:rFonts w:ascii="宋体" w:hAnsi="宋体" w:eastAsia="宋体" w:cs="宋体"/>
                <w:snapToGrid w:val="0"/>
                <w:color w:val="000000"/>
                <w:spacing w:val="12"/>
                <w:kern w:val="0"/>
                <w:sz w:val="18"/>
                <w:szCs w:val="18"/>
                <w:lang w:val="en-US" w:eastAsia="en-US" w:bidi="ar-SA"/>
              </w:rPr>
              <w:t>条的有关</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规定外</w:t>
            </w:r>
            <w:r>
              <w:rPr>
                <w:rFonts w:ascii="宋体" w:hAnsi="宋体" w:eastAsia="宋体" w:cs="宋体"/>
                <w:snapToGrid w:val="0"/>
                <w:color w:val="000000"/>
                <w:spacing w:val="-41"/>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w:t>
            </w:r>
            <w:r>
              <w:rPr>
                <w:rFonts w:ascii="宋体" w:hAnsi="宋体" w:eastAsia="宋体" w:cs="宋体"/>
                <w:snapToGrid w:val="0"/>
                <w:color w:val="000000"/>
                <w:spacing w:val="-45"/>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尚应符合下列规定：</w:t>
            </w:r>
          </w:p>
          <w:p w14:paraId="2D7F8B98">
            <w:pPr>
              <w:keepNext w:val="0"/>
              <w:keepLines w:val="0"/>
              <w:pageBreakBefore w:val="0"/>
              <w:kinsoku w:val="0"/>
              <w:wordWrap/>
              <w:overflowPunct/>
              <w:topLinePunct w:val="0"/>
              <w:autoSpaceDE w:val="0"/>
              <w:autoSpaceDN w:val="0"/>
              <w:bidi w:val="0"/>
              <w:adjustRightInd w:val="0"/>
              <w:snapToGrid w:val="0"/>
              <w:spacing w:line="280" w:lineRule="exact"/>
              <w:ind w:left="1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position w:val="2"/>
                <w:sz w:val="18"/>
                <w:szCs w:val="18"/>
                <w:lang w:val="en-US" w:eastAsia="en-US" w:bidi="ar-SA"/>
              </w:rPr>
              <w:t xml:space="preserve">1  </w:t>
            </w:r>
            <w:r>
              <w:rPr>
                <w:rFonts w:ascii="宋体" w:hAnsi="宋体" w:eastAsia="宋体" w:cs="宋体"/>
                <w:snapToGrid w:val="0"/>
                <w:color w:val="000000"/>
                <w:spacing w:val="-1"/>
                <w:kern w:val="0"/>
                <w:position w:val="2"/>
                <w:sz w:val="18"/>
                <w:szCs w:val="18"/>
                <w:lang w:val="en-US" w:eastAsia="en-US" w:bidi="ar-SA"/>
              </w:rPr>
              <w:t>管道内油品的流速应小于</w:t>
            </w:r>
            <w:r>
              <w:rPr>
                <w:rFonts w:ascii="Times New Roman" w:hAnsi="Times New Roman" w:eastAsia="Times New Roman" w:cs="Times New Roman"/>
                <w:snapToGrid w:val="0"/>
                <w:color w:val="000000"/>
                <w:spacing w:val="-1"/>
                <w:kern w:val="0"/>
                <w:position w:val="2"/>
                <w:sz w:val="18"/>
                <w:szCs w:val="18"/>
                <w:lang w:val="en-US" w:eastAsia="en-US" w:bidi="ar-SA"/>
              </w:rPr>
              <w:t>2.8m/s</w:t>
            </w:r>
            <w:r>
              <w:rPr>
                <w:rFonts w:ascii="宋体" w:hAnsi="宋体" w:eastAsia="宋体" w:cs="宋体"/>
                <w:snapToGrid w:val="0"/>
                <w:color w:val="000000"/>
                <w:spacing w:val="-1"/>
                <w:kern w:val="0"/>
                <w:position w:val="2"/>
                <w:sz w:val="18"/>
                <w:szCs w:val="18"/>
                <w:lang w:val="en-US" w:eastAsia="en-US" w:bidi="ar-SA"/>
              </w:rPr>
              <w:t>。</w:t>
            </w:r>
          </w:p>
          <w:p w14:paraId="04A7B9AE">
            <w:pPr>
              <w:keepNext w:val="0"/>
              <w:keepLines w:val="0"/>
              <w:pageBreakBefore w:val="0"/>
              <w:kinsoku w:val="0"/>
              <w:wordWrap/>
              <w:overflowPunct/>
              <w:topLinePunct w:val="0"/>
              <w:autoSpaceDE w:val="0"/>
              <w:autoSpaceDN w:val="0"/>
              <w:bidi w:val="0"/>
              <w:adjustRightInd w:val="0"/>
              <w:snapToGrid w:val="0"/>
              <w:spacing w:before="18" w:line="280" w:lineRule="exact"/>
              <w:ind w:left="3" w:hanging="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 xml:space="preserve">2  </w:t>
            </w:r>
            <w:r>
              <w:rPr>
                <w:rFonts w:ascii="宋体" w:hAnsi="宋体" w:eastAsia="宋体" w:cs="宋体"/>
                <w:snapToGrid w:val="0"/>
                <w:color w:val="000000"/>
                <w:spacing w:val="-2"/>
                <w:kern w:val="0"/>
                <w:sz w:val="18"/>
                <w:szCs w:val="18"/>
                <w:lang w:val="en-US" w:eastAsia="en-US" w:bidi="ar-SA"/>
              </w:rPr>
              <w:t>管道在人孔井内、加油机底槽和卸油口</w:t>
            </w:r>
            <w:r>
              <w:rPr>
                <w:rFonts w:ascii="宋体" w:hAnsi="宋体" w:eastAsia="宋体" w:cs="宋体"/>
                <w:snapToGrid w:val="0"/>
                <w:color w:val="000000"/>
                <w:spacing w:val="-3"/>
                <w:kern w:val="0"/>
                <w:sz w:val="18"/>
                <w:szCs w:val="18"/>
                <w:lang w:val="en-US" w:eastAsia="en-US" w:bidi="ar-SA"/>
              </w:rPr>
              <w:t>等处未完全埋地的部分，应在满足管道连接</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要求的前提下，采用最短的安装长度和最少的接头。</w:t>
            </w:r>
          </w:p>
        </w:tc>
        <w:tc>
          <w:tcPr>
            <w:tcW w:w="1546" w:type="dxa"/>
            <w:vAlign w:val="top"/>
          </w:tcPr>
          <w:p w14:paraId="289BCED9">
            <w:pPr>
              <w:keepNext w:val="0"/>
              <w:keepLines w:val="0"/>
              <w:pageBreakBefore w:val="0"/>
              <w:kinsoku w:val="0"/>
              <w:wordWrap/>
              <w:overflowPunct/>
              <w:topLinePunct w:val="0"/>
              <w:autoSpaceDE w:val="0"/>
              <w:autoSpaceDN w:val="0"/>
              <w:bidi w:val="0"/>
              <w:adjustRightInd w:val="0"/>
              <w:snapToGrid w:val="0"/>
              <w:spacing w:before="206" w:line="280" w:lineRule="exact"/>
              <w:ind w:left="19" w:firstLine="50"/>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管道内油品流速小</w:t>
            </w:r>
            <w:r>
              <w:rPr>
                <w:rFonts w:ascii="宋体" w:hAnsi="宋体" w:eastAsia="宋体" w:cs="宋体"/>
                <w:snapToGrid w:val="0"/>
                <w:color w:val="000000"/>
                <w:spacing w:val="3"/>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于</w:t>
            </w:r>
            <w:r>
              <w:rPr>
                <w:rFonts w:ascii="宋体" w:hAnsi="宋体" w:eastAsia="宋体" w:cs="宋体"/>
                <w:snapToGrid w:val="0"/>
                <w:color w:val="000000"/>
                <w:spacing w:val="-39"/>
                <w:kern w:val="0"/>
                <w:sz w:val="18"/>
                <w:szCs w:val="18"/>
                <w:lang w:val="en-US" w:eastAsia="en-US" w:bidi="ar-SA"/>
              </w:rPr>
              <w:t xml:space="preserve"> </w:t>
            </w:r>
            <w:r>
              <w:rPr>
                <w:rFonts w:ascii="Times New Roman" w:hAnsi="Times New Roman" w:eastAsia="Times New Roman" w:cs="Times New Roman"/>
                <w:snapToGrid w:val="0"/>
                <w:color w:val="000000"/>
                <w:spacing w:val="-8"/>
                <w:kern w:val="0"/>
                <w:sz w:val="18"/>
                <w:szCs w:val="18"/>
                <w:lang w:val="en-US" w:eastAsia="en-US" w:bidi="ar-SA"/>
              </w:rPr>
              <w:t>2.8m/s</w:t>
            </w:r>
            <w:r>
              <w:rPr>
                <w:rFonts w:ascii="宋体" w:hAnsi="宋体" w:eastAsia="宋体" w:cs="宋体"/>
                <w:snapToGrid w:val="0"/>
                <w:color w:val="000000"/>
                <w:spacing w:val="-8"/>
                <w:kern w:val="0"/>
                <w:sz w:val="18"/>
                <w:szCs w:val="18"/>
                <w:lang w:val="en-US" w:eastAsia="en-US" w:bidi="ar-SA"/>
              </w:rPr>
              <w:t>；采用最短</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的安装长度和最少</w:t>
            </w:r>
          </w:p>
          <w:p w14:paraId="4C95E14E">
            <w:pPr>
              <w:keepNext w:val="0"/>
              <w:keepLines w:val="0"/>
              <w:pageBreakBefore w:val="0"/>
              <w:kinsoku w:val="0"/>
              <w:wordWrap/>
              <w:overflowPunct/>
              <w:topLinePunct w:val="0"/>
              <w:autoSpaceDE w:val="0"/>
              <w:autoSpaceDN w:val="0"/>
              <w:bidi w:val="0"/>
              <w:adjustRightInd w:val="0"/>
              <w:snapToGrid w:val="0"/>
              <w:spacing w:before="44" w:line="280" w:lineRule="exact"/>
              <w:ind w:left="44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的接头。</w:t>
            </w:r>
          </w:p>
        </w:tc>
        <w:tc>
          <w:tcPr>
            <w:tcW w:w="586" w:type="dxa"/>
            <w:tcBorders>
              <w:right w:val="single" w:color="000000" w:sz="10" w:space="0"/>
            </w:tcBorders>
            <w:vAlign w:val="top"/>
          </w:tcPr>
          <w:p w14:paraId="206B549C">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2F6E001E">
            <w:pPr>
              <w:keepNext w:val="0"/>
              <w:keepLines w:val="0"/>
              <w:pageBreakBefore w:val="0"/>
              <w:widowControl/>
              <w:kinsoku w:val="0"/>
              <w:wordWrap/>
              <w:overflowPunct/>
              <w:topLinePunct w:val="0"/>
              <w:autoSpaceDE w:val="0"/>
              <w:autoSpaceDN w:val="0"/>
              <w:bidi w:val="0"/>
              <w:adjustRightInd w:val="0"/>
              <w:snapToGrid w:val="0"/>
              <w:spacing w:line="280" w:lineRule="exact"/>
              <w:jc w:val="left"/>
              <w:textAlignment w:val="baseline"/>
              <w:rPr>
                <w:rFonts w:ascii="Arial" w:hAnsi="Arial" w:eastAsia="Arial" w:cs="Arial"/>
                <w:snapToGrid w:val="0"/>
                <w:color w:val="000000"/>
                <w:kern w:val="0"/>
                <w:sz w:val="21"/>
                <w:lang w:eastAsia="en-US"/>
              </w:rPr>
            </w:pPr>
          </w:p>
          <w:p w14:paraId="332A1791">
            <w:pPr>
              <w:keepNext w:val="0"/>
              <w:keepLines w:val="0"/>
              <w:pageBreakBefore w:val="0"/>
              <w:kinsoku w:val="0"/>
              <w:wordWrap/>
              <w:overflowPunct/>
              <w:topLinePunct w:val="0"/>
              <w:autoSpaceDE w:val="0"/>
              <w:autoSpaceDN w:val="0"/>
              <w:bidi w:val="0"/>
              <w:adjustRightInd w:val="0"/>
              <w:snapToGrid w:val="0"/>
              <w:spacing w:before="58" w:line="280" w:lineRule="exact"/>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46EDC0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41" w:type="dxa"/>
            <w:tcBorders>
              <w:left w:val="single" w:color="000000" w:sz="10" w:space="0"/>
              <w:bottom w:val="single" w:color="000000" w:sz="10" w:space="0"/>
            </w:tcBorders>
            <w:vAlign w:val="top"/>
          </w:tcPr>
          <w:p w14:paraId="56E76E74">
            <w:pPr>
              <w:kinsoku w:val="0"/>
              <w:autoSpaceDE w:val="0"/>
              <w:autoSpaceDN w:val="0"/>
              <w:adjustRightInd w:val="0"/>
              <w:snapToGrid w:val="0"/>
              <w:spacing w:before="237" w:line="183" w:lineRule="auto"/>
              <w:ind w:left="17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20</w:t>
            </w:r>
          </w:p>
        </w:tc>
        <w:tc>
          <w:tcPr>
            <w:tcW w:w="6569" w:type="dxa"/>
            <w:tcBorders>
              <w:bottom w:val="single" w:color="000000" w:sz="10" w:space="0"/>
            </w:tcBorders>
            <w:vAlign w:val="top"/>
          </w:tcPr>
          <w:p w14:paraId="65F8E1DC">
            <w:pPr>
              <w:kinsoku w:val="0"/>
              <w:autoSpaceDE w:val="0"/>
              <w:autoSpaceDN w:val="0"/>
              <w:adjustRightInd w:val="0"/>
              <w:snapToGrid w:val="0"/>
              <w:spacing w:before="79" w:line="235" w:lineRule="auto"/>
              <w:ind w:right="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7"/>
                <w:kern w:val="0"/>
                <w:sz w:val="18"/>
                <w:szCs w:val="18"/>
                <w:lang w:val="en-US" w:eastAsia="en-US" w:bidi="ar-SA"/>
              </w:rPr>
              <w:t>埋地钢质管道外表面的防腐设计</w:t>
            </w:r>
            <w:r>
              <w:rPr>
                <w:rFonts w:ascii="宋体" w:hAnsi="宋体" w:eastAsia="宋体" w:cs="宋体"/>
                <w:snapToGrid w:val="0"/>
                <w:color w:val="000000"/>
                <w:spacing w:val="-46"/>
                <w:kern w:val="0"/>
                <w:sz w:val="18"/>
                <w:szCs w:val="18"/>
                <w:lang w:val="en-US" w:eastAsia="en-US" w:bidi="ar-SA"/>
              </w:rPr>
              <w:t xml:space="preserve"> </w:t>
            </w:r>
            <w:r>
              <w:rPr>
                <w:rFonts w:ascii="宋体" w:hAnsi="宋体" w:eastAsia="宋体" w:cs="宋体"/>
                <w:snapToGrid w:val="0"/>
                <w:color w:val="000000"/>
                <w:spacing w:val="17"/>
                <w:kern w:val="0"/>
                <w:sz w:val="18"/>
                <w:szCs w:val="18"/>
                <w:lang w:val="en-US" w:eastAsia="en-US" w:bidi="ar-SA"/>
              </w:rPr>
              <w:t>，应符合现行国家标准《钢质管道外腐蚀控</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制规范》</w:t>
            </w:r>
            <w:r>
              <w:rPr>
                <w:rFonts w:ascii="宋体" w:hAnsi="宋体" w:eastAsia="宋体" w:cs="宋体"/>
                <w:snapToGrid w:val="0"/>
                <w:color w:val="000000"/>
                <w:spacing w:val="-34"/>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GB</w:t>
            </w:r>
            <w:r>
              <w:rPr>
                <w:rFonts w:ascii="Times New Roman" w:hAnsi="Times New Roman" w:eastAsia="Times New Roman" w:cs="Times New Roman"/>
                <w:snapToGrid w:val="0"/>
                <w:color w:val="000000"/>
                <w:spacing w:val="9"/>
                <w:kern w:val="0"/>
                <w:sz w:val="18"/>
                <w:szCs w:val="18"/>
                <w:lang w:val="en-US" w:eastAsia="en-US" w:bidi="ar-SA"/>
              </w:rPr>
              <w:t>/T</w:t>
            </w:r>
            <w:r>
              <w:rPr>
                <w:rFonts w:ascii="Times New Roman" w:hAnsi="Times New Roman" w:eastAsia="Times New Roman" w:cs="Times New Roman"/>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21447</w:t>
            </w:r>
            <w:r>
              <w:rPr>
                <w:rFonts w:ascii="Times New Roman" w:hAnsi="Times New Roman" w:eastAsia="Times New Roman" w:cs="Times New Roman"/>
                <w:snapToGrid w:val="0"/>
                <w:color w:val="000000"/>
                <w:spacing w:val="40"/>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的有关规定。</w:t>
            </w:r>
          </w:p>
        </w:tc>
        <w:tc>
          <w:tcPr>
            <w:tcW w:w="1546" w:type="dxa"/>
            <w:tcBorders>
              <w:bottom w:val="single" w:color="000000" w:sz="10" w:space="0"/>
            </w:tcBorders>
            <w:vAlign w:val="top"/>
          </w:tcPr>
          <w:p w14:paraId="3CA72243">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542CBCFA">
            <w:pPr>
              <w:widowControl/>
              <w:kinsoku w:val="0"/>
              <w:autoSpaceDE w:val="0"/>
              <w:autoSpaceDN w:val="0"/>
              <w:adjustRightInd w:val="0"/>
              <w:snapToGrid w:val="0"/>
              <w:spacing w:before="52" w:line="87" w:lineRule="exact"/>
              <w:ind w:left="75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c>
          <w:tcPr>
            <w:tcW w:w="586" w:type="dxa"/>
            <w:tcBorders>
              <w:bottom w:val="single" w:color="000000" w:sz="10" w:space="0"/>
              <w:right w:val="single" w:color="000000" w:sz="10" w:space="0"/>
            </w:tcBorders>
            <w:vAlign w:val="top"/>
          </w:tcPr>
          <w:p w14:paraId="14BFFEEB">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7C43E599">
            <w:pPr>
              <w:widowControl/>
              <w:kinsoku w:val="0"/>
              <w:autoSpaceDE w:val="0"/>
              <w:autoSpaceDN w:val="0"/>
              <w:adjustRightInd w:val="0"/>
              <w:snapToGrid w:val="0"/>
              <w:spacing w:before="52" w:line="87" w:lineRule="exact"/>
              <w:ind w:left="26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r>
    </w:tbl>
    <w:p w14:paraId="35137136">
      <w:pPr>
        <w:keepNext w:val="0"/>
        <w:keepLines w:val="0"/>
        <w:pageBreakBefore w:val="0"/>
        <w:widowControl/>
        <w:kinsoku w:val="0"/>
        <w:wordWrap/>
        <w:overflowPunct/>
        <w:topLinePunct w:val="0"/>
        <w:autoSpaceDE w:val="0"/>
        <w:autoSpaceDN w:val="0"/>
        <w:bidi w:val="0"/>
        <w:adjustRightInd w:val="0"/>
        <w:snapToGrid w:val="0"/>
        <w:spacing w:before="173" w:line="219" w:lineRule="auto"/>
        <w:ind w:left="669"/>
        <w:jc w:val="center"/>
        <w:textAlignment w:val="baseline"/>
        <w:outlineLvl w:val="9"/>
        <w:rPr>
          <w:rFonts w:ascii="宋体" w:hAnsi="宋体" w:eastAsia="宋体" w:cs="宋体"/>
          <w:snapToGrid w:val="0"/>
          <w:color w:val="000000"/>
          <w:spacing w:val="-1"/>
          <w:kern w:val="0"/>
          <w:sz w:val="28"/>
          <w:szCs w:val="28"/>
          <w:lang w:eastAsia="en-US"/>
        </w:rPr>
      </w:pPr>
      <w:r>
        <w:rPr>
          <w:rFonts w:ascii="宋体" w:hAnsi="宋体" w:eastAsia="宋体" w:cs="宋体"/>
          <w:snapToGrid w:val="0"/>
          <w:color w:val="000000"/>
          <w:spacing w:val="-1"/>
          <w:kern w:val="0"/>
          <w:sz w:val="28"/>
          <w:szCs w:val="28"/>
          <w:lang w:eastAsia="en-US"/>
        </w:rPr>
        <w:t>评价结论：从上述安全检查表检查结果可知，符合要求。</w:t>
      </w:r>
    </w:p>
    <w:p w14:paraId="77E28A01">
      <w:pPr>
        <w:keepNext w:val="0"/>
        <w:keepLines w:val="0"/>
        <w:pageBreakBefore w:val="0"/>
        <w:widowControl w:val="0"/>
        <w:kinsoku/>
        <w:wordWrap/>
        <w:overflowPunct/>
        <w:topLinePunct w:val="0"/>
        <w:autoSpaceDE/>
        <w:autoSpaceDN/>
        <w:bidi w:val="0"/>
        <w:adjustRightInd/>
        <w:snapToGrid/>
        <w:textAlignment w:val="auto"/>
        <w:outlineLvl w:val="1"/>
        <w:rPr>
          <w:rStyle w:val="25"/>
          <w:rFonts w:hint="eastAsia" w:ascii="楷体" w:hAnsi="楷体" w:eastAsia="楷体" w:cs="楷体"/>
          <w:sz w:val="32"/>
          <w:szCs w:val="32"/>
          <w:lang w:eastAsia="en-US"/>
        </w:rPr>
      </w:pPr>
      <w:bookmarkStart w:id="230" w:name="_Toc9492"/>
      <w:r>
        <w:rPr>
          <w:rStyle w:val="25"/>
          <w:rFonts w:hint="eastAsia" w:ascii="楷体" w:hAnsi="楷体" w:eastAsia="楷体" w:cs="楷体"/>
          <w:sz w:val="32"/>
          <w:szCs w:val="32"/>
          <w:lang w:eastAsia="en-US"/>
        </w:rPr>
        <w:t>5.4作业单元</w:t>
      </w:r>
      <w:bookmarkEnd w:id="230"/>
    </w:p>
    <w:p w14:paraId="025209B9">
      <w:pPr>
        <w:pStyle w:val="6"/>
        <w:bidi w:val="0"/>
        <w:rPr>
          <w:rFonts w:hint="eastAsia" w:ascii="楷体" w:hAnsi="楷体" w:eastAsia="楷体" w:cs="楷体"/>
          <w:sz w:val="32"/>
          <w:szCs w:val="32"/>
          <w:lang w:val="en-US" w:eastAsia="en-US"/>
        </w:rPr>
      </w:pPr>
      <w:bookmarkStart w:id="231" w:name="_Toc20411"/>
      <w:r>
        <w:rPr>
          <w:rFonts w:hint="eastAsia" w:ascii="楷体" w:hAnsi="楷体" w:eastAsia="楷体" w:cs="楷体"/>
          <w:sz w:val="32"/>
          <w:szCs w:val="32"/>
          <w:lang w:eastAsia="en-US"/>
        </w:rPr>
        <w:t>5.4.1</w:t>
      </w:r>
      <w:r>
        <w:rPr>
          <w:rFonts w:hint="eastAsia" w:ascii="楷体" w:hAnsi="楷体" w:eastAsia="楷体" w:cs="楷体"/>
          <w:sz w:val="32"/>
          <w:szCs w:val="32"/>
          <w:lang w:val="en-US" w:eastAsia="zh-CN"/>
        </w:rPr>
        <w:t>危</w:t>
      </w:r>
      <w:r>
        <w:rPr>
          <w:rFonts w:hint="eastAsia" w:ascii="楷体" w:hAnsi="楷体" w:eastAsia="楷体" w:cs="楷体"/>
          <w:sz w:val="32"/>
          <w:szCs w:val="32"/>
          <w:lang w:eastAsia="en-US"/>
        </w:rPr>
        <w:t>险度评价法</w:t>
      </w:r>
      <w:bookmarkEnd w:id="231"/>
    </w:p>
    <w:p w14:paraId="754B7C1F">
      <w:pPr>
        <w:widowControl/>
        <w:kinsoku w:val="0"/>
        <w:autoSpaceDE w:val="0"/>
        <w:autoSpaceDN w:val="0"/>
        <w:adjustRightInd w:val="0"/>
        <w:snapToGrid w:val="0"/>
        <w:spacing w:before="91" w:line="219" w:lineRule="auto"/>
        <w:ind w:left="570"/>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1"/>
          <w:kern w:val="0"/>
          <w:sz w:val="28"/>
          <w:szCs w:val="28"/>
          <w:lang w:eastAsia="en-US"/>
        </w:rPr>
        <w:t>确定评价单元为油储罐区。</w:t>
      </w:r>
    </w:p>
    <w:p w14:paraId="63D8DC6A">
      <w:pPr>
        <w:widowControl/>
        <w:kinsoku w:val="0"/>
        <w:autoSpaceDE w:val="0"/>
        <w:autoSpaceDN w:val="0"/>
        <w:adjustRightInd w:val="0"/>
        <w:snapToGrid w:val="0"/>
        <w:spacing w:before="268" w:line="382" w:lineRule="auto"/>
        <w:ind w:left="580" w:right="3879" w:firstLine="4"/>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4"/>
          <w:kern w:val="0"/>
          <w:sz w:val="28"/>
          <w:szCs w:val="28"/>
          <w:lang w:eastAsia="en-US"/>
        </w:rPr>
        <w:t>油储罐区主要危险物质为汽油、柴油。</w:t>
      </w:r>
      <w:r>
        <w:rPr>
          <w:rFonts w:ascii="宋体" w:hAnsi="宋体" w:eastAsia="宋体" w:cs="宋体"/>
          <w:snapToGrid w:val="0"/>
          <w:color w:val="000000"/>
          <w:spacing w:val="-3"/>
          <w:kern w:val="0"/>
          <w:sz w:val="28"/>
          <w:szCs w:val="28"/>
          <w:lang w:eastAsia="en-US"/>
        </w:rPr>
        <w:t>汽油属甲</w:t>
      </w:r>
      <w:r>
        <w:rPr>
          <w:rFonts w:ascii="宋体" w:hAnsi="宋体" w:eastAsia="宋体" w:cs="宋体"/>
          <w:snapToGrid w:val="0"/>
          <w:color w:val="000000"/>
          <w:spacing w:val="-68"/>
          <w:kern w:val="0"/>
          <w:sz w:val="28"/>
          <w:szCs w:val="28"/>
          <w:lang w:eastAsia="en-US"/>
        </w:rPr>
        <w:t xml:space="preserve"> </w:t>
      </w:r>
      <w:r>
        <w:rPr>
          <w:rFonts w:ascii="Times New Roman" w:hAnsi="Times New Roman" w:eastAsia="Times New Roman" w:cs="Times New Roman"/>
          <w:snapToGrid w:val="0"/>
          <w:color w:val="000000"/>
          <w:spacing w:val="-3"/>
          <w:kern w:val="0"/>
          <w:position w:val="-2"/>
          <w:sz w:val="18"/>
          <w:szCs w:val="18"/>
          <w:lang w:eastAsia="en-US"/>
        </w:rPr>
        <w:t>B</w:t>
      </w:r>
      <w:r>
        <w:rPr>
          <w:rFonts w:ascii="宋体" w:hAnsi="宋体" w:eastAsia="宋体" w:cs="宋体"/>
          <w:snapToGrid w:val="0"/>
          <w:color w:val="000000"/>
          <w:spacing w:val="-3"/>
          <w:kern w:val="0"/>
          <w:sz w:val="28"/>
          <w:szCs w:val="28"/>
          <w:lang w:eastAsia="en-US"/>
        </w:rPr>
        <w:t>易燃液体；故物质取</w:t>
      </w:r>
      <w:r>
        <w:rPr>
          <w:rFonts w:ascii="宋体" w:hAnsi="宋体" w:eastAsia="宋体" w:cs="宋体"/>
          <w:snapToGrid w:val="0"/>
          <w:color w:val="000000"/>
          <w:spacing w:val="-58"/>
          <w:kern w:val="0"/>
          <w:sz w:val="28"/>
          <w:szCs w:val="28"/>
          <w:lang w:eastAsia="en-US"/>
        </w:rPr>
        <w:t xml:space="preserve"> </w:t>
      </w:r>
      <w:r>
        <w:rPr>
          <w:rFonts w:ascii="Times New Roman" w:hAnsi="Times New Roman" w:eastAsia="Times New Roman" w:cs="Times New Roman"/>
          <w:snapToGrid w:val="0"/>
          <w:color w:val="000000"/>
          <w:spacing w:val="-3"/>
          <w:kern w:val="0"/>
          <w:sz w:val="28"/>
          <w:szCs w:val="28"/>
          <w:lang w:eastAsia="en-US"/>
        </w:rPr>
        <w:t>5</w:t>
      </w:r>
      <w:r>
        <w:rPr>
          <w:rFonts w:ascii="宋体" w:hAnsi="宋体" w:eastAsia="宋体" w:cs="宋体"/>
          <w:snapToGrid w:val="0"/>
          <w:color w:val="000000"/>
          <w:spacing w:val="-3"/>
          <w:kern w:val="0"/>
          <w:sz w:val="28"/>
          <w:szCs w:val="28"/>
          <w:lang w:eastAsia="en-US"/>
        </w:rPr>
        <w:t>分；</w:t>
      </w:r>
    </w:p>
    <w:p w14:paraId="544D0259">
      <w:pPr>
        <w:widowControl/>
        <w:kinsoku w:val="0"/>
        <w:autoSpaceDE w:val="0"/>
        <w:autoSpaceDN w:val="0"/>
        <w:adjustRightInd w:val="0"/>
        <w:snapToGrid w:val="0"/>
        <w:spacing w:before="39" w:line="382" w:lineRule="auto"/>
        <w:ind w:left="571" w:right="1286" w:firstLine="12"/>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4"/>
          <w:kern w:val="0"/>
          <w:sz w:val="28"/>
          <w:szCs w:val="28"/>
          <w:lang w:eastAsia="en-US"/>
        </w:rPr>
        <w:t>油储罐区汽油、柴油单罐最大储量为</w:t>
      </w:r>
      <w:r>
        <w:rPr>
          <w:rFonts w:ascii="宋体" w:hAnsi="宋体" w:eastAsia="宋体" w:cs="宋体"/>
          <w:snapToGrid w:val="0"/>
          <w:color w:val="000000"/>
          <w:spacing w:val="-62"/>
          <w:kern w:val="0"/>
          <w:sz w:val="28"/>
          <w:szCs w:val="28"/>
          <w:lang w:eastAsia="en-US"/>
        </w:rPr>
        <w:t xml:space="preserve"> </w:t>
      </w:r>
      <w:r>
        <w:rPr>
          <w:rFonts w:ascii="Times New Roman" w:hAnsi="Times New Roman" w:eastAsia="Times New Roman" w:cs="Times New Roman"/>
          <w:snapToGrid w:val="0"/>
          <w:color w:val="000000"/>
          <w:spacing w:val="-4"/>
          <w:kern w:val="0"/>
          <w:sz w:val="28"/>
          <w:szCs w:val="28"/>
          <w:lang w:eastAsia="en-US"/>
        </w:rPr>
        <w:t>30m</w:t>
      </w:r>
      <w:r>
        <w:rPr>
          <w:rFonts w:ascii="Times New Roman" w:hAnsi="Times New Roman" w:eastAsia="Times New Roman" w:cs="Times New Roman"/>
          <w:snapToGrid w:val="0"/>
          <w:color w:val="000000"/>
          <w:spacing w:val="-4"/>
          <w:kern w:val="0"/>
          <w:position w:val="9"/>
          <w:sz w:val="18"/>
          <w:szCs w:val="18"/>
          <w:lang w:eastAsia="en-US"/>
        </w:rPr>
        <w:t>3</w:t>
      </w:r>
      <w:r>
        <w:rPr>
          <w:rFonts w:ascii="Times New Roman" w:hAnsi="Times New Roman" w:eastAsia="Times New Roman" w:cs="Times New Roman"/>
          <w:snapToGrid w:val="0"/>
          <w:color w:val="000000"/>
          <w:spacing w:val="-13"/>
          <w:kern w:val="0"/>
          <w:position w:val="9"/>
          <w:sz w:val="18"/>
          <w:szCs w:val="18"/>
          <w:lang w:eastAsia="en-US"/>
        </w:rPr>
        <w:t xml:space="preserve"> </w:t>
      </w:r>
      <w:r>
        <w:rPr>
          <w:rFonts w:ascii="宋体" w:hAnsi="宋体" w:eastAsia="宋体" w:cs="宋体"/>
          <w:snapToGrid w:val="0"/>
          <w:color w:val="000000"/>
          <w:spacing w:val="-5"/>
          <w:kern w:val="0"/>
          <w:sz w:val="28"/>
          <w:szCs w:val="28"/>
          <w:lang w:eastAsia="en-US"/>
        </w:rPr>
        <w:t>，故容量取</w:t>
      </w:r>
      <w:r>
        <w:rPr>
          <w:rFonts w:ascii="宋体" w:hAnsi="宋体" w:eastAsia="宋体" w:cs="宋体"/>
          <w:snapToGrid w:val="0"/>
          <w:color w:val="000000"/>
          <w:spacing w:val="-65"/>
          <w:kern w:val="0"/>
          <w:sz w:val="28"/>
          <w:szCs w:val="28"/>
          <w:lang w:eastAsia="en-US"/>
        </w:rPr>
        <w:t xml:space="preserve"> </w:t>
      </w:r>
      <w:r>
        <w:rPr>
          <w:rFonts w:ascii="Times New Roman" w:hAnsi="Times New Roman" w:eastAsia="Times New Roman" w:cs="Times New Roman"/>
          <w:snapToGrid w:val="0"/>
          <w:color w:val="000000"/>
          <w:spacing w:val="-5"/>
          <w:kern w:val="0"/>
          <w:sz w:val="28"/>
          <w:szCs w:val="28"/>
          <w:lang w:eastAsia="en-US"/>
        </w:rPr>
        <w:t xml:space="preserve">2 </w:t>
      </w:r>
      <w:r>
        <w:rPr>
          <w:rFonts w:ascii="宋体" w:hAnsi="宋体" w:eastAsia="宋体" w:cs="宋体"/>
          <w:snapToGrid w:val="0"/>
          <w:color w:val="000000"/>
          <w:spacing w:val="-5"/>
          <w:kern w:val="0"/>
          <w:sz w:val="28"/>
          <w:szCs w:val="28"/>
          <w:lang w:eastAsia="en-US"/>
        </w:rPr>
        <w:t>分；</w:t>
      </w:r>
    </w:p>
    <w:p w14:paraId="2DE4C49F">
      <w:pPr>
        <w:widowControl/>
        <w:kinsoku w:val="0"/>
        <w:autoSpaceDE w:val="0"/>
        <w:autoSpaceDN w:val="0"/>
        <w:adjustRightInd w:val="0"/>
        <w:snapToGrid w:val="0"/>
        <w:spacing w:before="39" w:line="382" w:lineRule="auto"/>
        <w:ind w:left="571" w:right="1286" w:firstLine="12"/>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1"/>
          <w:kern w:val="0"/>
          <w:sz w:val="28"/>
          <w:szCs w:val="28"/>
          <w:lang w:eastAsia="en-US"/>
        </w:rPr>
        <w:t>本单元在常温、常压下储存，故温度、压力取</w:t>
      </w:r>
      <w:r>
        <w:rPr>
          <w:rFonts w:ascii="宋体" w:hAnsi="宋体" w:eastAsia="宋体" w:cs="宋体"/>
          <w:snapToGrid w:val="0"/>
          <w:color w:val="000000"/>
          <w:spacing w:val="-59"/>
          <w:kern w:val="0"/>
          <w:sz w:val="28"/>
          <w:szCs w:val="28"/>
          <w:lang w:eastAsia="en-US"/>
        </w:rPr>
        <w:t xml:space="preserve"> </w:t>
      </w:r>
      <w:r>
        <w:rPr>
          <w:rFonts w:ascii="Times New Roman" w:hAnsi="Times New Roman" w:eastAsia="Times New Roman" w:cs="Times New Roman"/>
          <w:snapToGrid w:val="0"/>
          <w:color w:val="000000"/>
          <w:spacing w:val="-1"/>
          <w:kern w:val="0"/>
          <w:sz w:val="28"/>
          <w:szCs w:val="28"/>
          <w:lang w:eastAsia="en-US"/>
        </w:rPr>
        <w:t xml:space="preserve">0 </w:t>
      </w:r>
      <w:r>
        <w:rPr>
          <w:rFonts w:ascii="宋体" w:hAnsi="宋体" w:eastAsia="宋体" w:cs="宋体"/>
          <w:snapToGrid w:val="0"/>
          <w:color w:val="000000"/>
          <w:spacing w:val="-1"/>
          <w:kern w:val="0"/>
          <w:sz w:val="28"/>
          <w:szCs w:val="28"/>
          <w:lang w:eastAsia="en-US"/>
        </w:rPr>
        <w:t>分。</w:t>
      </w:r>
    </w:p>
    <w:p w14:paraId="26D086FD">
      <w:pPr>
        <w:widowControl/>
        <w:kinsoku w:val="0"/>
        <w:autoSpaceDE w:val="0"/>
        <w:autoSpaceDN w:val="0"/>
        <w:adjustRightInd w:val="0"/>
        <w:snapToGrid w:val="0"/>
        <w:spacing w:before="41" w:line="221" w:lineRule="auto"/>
        <w:ind w:left="571"/>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2"/>
          <w:kern w:val="0"/>
          <w:sz w:val="28"/>
          <w:szCs w:val="28"/>
          <w:lang w:eastAsia="en-US"/>
        </w:rPr>
        <w:t>有一定危险的操作，故操作取</w:t>
      </w:r>
      <w:r>
        <w:rPr>
          <w:rFonts w:ascii="宋体" w:hAnsi="宋体" w:eastAsia="宋体" w:cs="宋体"/>
          <w:snapToGrid w:val="0"/>
          <w:color w:val="000000"/>
          <w:spacing w:val="-49"/>
          <w:kern w:val="0"/>
          <w:sz w:val="28"/>
          <w:szCs w:val="28"/>
          <w:lang w:eastAsia="en-US"/>
        </w:rPr>
        <w:t xml:space="preserve"> </w:t>
      </w:r>
      <w:r>
        <w:rPr>
          <w:rFonts w:ascii="Times New Roman" w:hAnsi="Times New Roman" w:eastAsia="Times New Roman" w:cs="Times New Roman"/>
          <w:snapToGrid w:val="0"/>
          <w:color w:val="000000"/>
          <w:spacing w:val="-2"/>
          <w:kern w:val="0"/>
          <w:sz w:val="28"/>
          <w:szCs w:val="28"/>
          <w:lang w:eastAsia="en-US"/>
        </w:rPr>
        <w:t xml:space="preserve">2 </w:t>
      </w:r>
      <w:r>
        <w:rPr>
          <w:rFonts w:ascii="宋体" w:hAnsi="宋体" w:eastAsia="宋体" w:cs="宋体"/>
          <w:snapToGrid w:val="0"/>
          <w:color w:val="000000"/>
          <w:spacing w:val="-2"/>
          <w:kern w:val="0"/>
          <w:sz w:val="28"/>
          <w:szCs w:val="28"/>
          <w:lang w:eastAsia="en-US"/>
        </w:rPr>
        <w:t>分。</w:t>
      </w:r>
    </w:p>
    <w:p w14:paraId="46115182">
      <w:pPr>
        <w:widowControl/>
        <w:kinsoku w:val="0"/>
        <w:autoSpaceDE w:val="0"/>
        <w:autoSpaceDN w:val="0"/>
        <w:adjustRightInd w:val="0"/>
        <w:snapToGrid w:val="0"/>
        <w:spacing w:before="233" w:line="360" w:lineRule="auto"/>
        <w:ind w:left="10" w:right="98" w:firstLine="563"/>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3"/>
          <w:kern w:val="0"/>
          <w:sz w:val="28"/>
          <w:szCs w:val="28"/>
          <w:lang w:eastAsia="en-US"/>
        </w:rPr>
        <w:t>综上所述，油储罐区得分为</w:t>
      </w:r>
      <w:r>
        <w:rPr>
          <w:rFonts w:ascii="宋体" w:hAnsi="宋体" w:eastAsia="宋体" w:cs="宋体"/>
          <w:snapToGrid w:val="0"/>
          <w:color w:val="000000"/>
          <w:spacing w:val="-57"/>
          <w:kern w:val="0"/>
          <w:sz w:val="28"/>
          <w:szCs w:val="28"/>
          <w:lang w:eastAsia="en-US"/>
        </w:rPr>
        <w:t xml:space="preserve"> </w:t>
      </w:r>
      <w:r>
        <w:rPr>
          <w:rFonts w:ascii="Times New Roman" w:hAnsi="Times New Roman" w:eastAsia="Times New Roman" w:cs="Times New Roman"/>
          <w:snapToGrid w:val="0"/>
          <w:color w:val="000000"/>
          <w:spacing w:val="3"/>
          <w:kern w:val="0"/>
          <w:sz w:val="28"/>
          <w:szCs w:val="28"/>
          <w:lang w:eastAsia="en-US"/>
        </w:rPr>
        <w:t xml:space="preserve">9 </w:t>
      </w:r>
      <w:r>
        <w:rPr>
          <w:rFonts w:ascii="宋体" w:hAnsi="宋体" w:eastAsia="宋体" w:cs="宋体"/>
          <w:snapToGrid w:val="0"/>
          <w:color w:val="000000"/>
          <w:spacing w:val="3"/>
          <w:kern w:val="0"/>
          <w:sz w:val="28"/>
          <w:szCs w:val="28"/>
          <w:lang w:eastAsia="en-US"/>
        </w:rPr>
        <w:t>分，为Ⅲ级，</w:t>
      </w:r>
      <w:r>
        <w:rPr>
          <w:rFonts w:ascii="宋体" w:hAnsi="宋体" w:eastAsia="宋体" w:cs="宋体"/>
          <w:snapToGrid w:val="0"/>
          <w:color w:val="000000"/>
          <w:spacing w:val="2"/>
          <w:kern w:val="0"/>
          <w:sz w:val="28"/>
          <w:szCs w:val="28"/>
          <w:lang w:eastAsia="en-US"/>
        </w:rPr>
        <w:t>属低度危险。由于加油站</w:t>
      </w:r>
      <w:r>
        <w:rPr>
          <w:rFonts w:ascii="宋体" w:hAnsi="宋体" w:eastAsia="宋体" w:cs="宋体"/>
          <w:snapToGrid w:val="0"/>
          <w:color w:val="000000"/>
          <w:kern w:val="0"/>
          <w:sz w:val="28"/>
          <w:szCs w:val="28"/>
          <w:lang w:eastAsia="en-US"/>
        </w:rPr>
        <w:t xml:space="preserve"> </w:t>
      </w:r>
      <w:r>
        <w:rPr>
          <w:rFonts w:ascii="宋体" w:hAnsi="宋体" w:eastAsia="宋体" w:cs="宋体"/>
          <w:snapToGrid w:val="0"/>
          <w:color w:val="000000"/>
          <w:spacing w:val="3"/>
          <w:kern w:val="0"/>
          <w:sz w:val="28"/>
          <w:szCs w:val="28"/>
          <w:lang w:eastAsia="en-US"/>
        </w:rPr>
        <w:t>采用埋地油罐、密封操作、高低液位报警、防渗漏检测等措施，危险有害</w:t>
      </w:r>
      <w:r>
        <w:rPr>
          <w:rFonts w:ascii="宋体" w:hAnsi="宋体" w:eastAsia="宋体" w:cs="宋体"/>
          <w:snapToGrid w:val="0"/>
          <w:color w:val="000000"/>
          <w:spacing w:val="5"/>
          <w:kern w:val="0"/>
          <w:sz w:val="28"/>
          <w:szCs w:val="28"/>
          <w:lang w:eastAsia="en-US"/>
        </w:rPr>
        <w:t xml:space="preserve"> </w:t>
      </w:r>
      <w:r>
        <w:rPr>
          <w:rFonts w:ascii="宋体" w:hAnsi="宋体" w:eastAsia="宋体" w:cs="宋体"/>
          <w:snapToGrid w:val="0"/>
          <w:color w:val="000000"/>
          <w:spacing w:val="-1"/>
          <w:kern w:val="0"/>
          <w:sz w:val="28"/>
          <w:szCs w:val="28"/>
          <w:lang w:eastAsia="en-US"/>
        </w:rPr>
        <w:t>程度能控制在可接受的范围。</w:t>
      </w:r>
    </w:p>
    <w:p w14:paraId="16BE0BAE">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32" w:name="_Toc24479"/>
      <w:r>
        <w:rPr>
          <w:rFonts w:hint="eastAsia" w:ascii="楷体" w:hAnsi="楷体" w:eastAsia="楷体" w:cs="楷体"/>
          <w:sz w:val="32"/>
          <w:szCs w:val="32"/>
          <w:lang w:eastAsia="en-US"/>
        </w:rPr>
        <w:t>5.4.2 作业条件危险性评价法（LEC）</w:t>
      </w:r>
      <w:bookmarkEnd w:id="232"/>
    </w:p>
    <w:p w14:paraId="54273C60">
      <w:pPr>
        <w:widowControl/>
        <w:kinsoku w:val="0"/>
        <w:autoSpaceDE w:val="0"/>
        <w:autoSpaceDN w:val="0"/>
        <w:adjustRightInd w:val="0"/>
        <w:snapToGrid w:val="0"/>
        <w:spacing w:before="291" w:line="398" w:lineRule="auto"/>
        <w:ind w:left="10" w:firstLine="560"/>
        <w:jc w:val="left"/>
        <w:textAlignment w:val="baseline"/>
        <w:rPr>
          <w:rFonts w:hint="eastAsia" w:ascii="宋体" w:hAnsi="宋体" w:eastAsia="宋体" w:cs="宋体"/>
          <w:snapToGrid w:val="0"/>
          <w:color w:val="000000"/>
          <w:kern w:val="0"/>
          <w:sz w:val="28"/>
          <w:szCs w:val="28"/>
          <w:lang w:eastAsia="en-US"/>
        </w:rPr>
      </w:pPr>
      <w:r>
        <w:rPr>
          <w:rFonts w:ascii="宋体" w:hAnsi="宋体" w:eastAsia="宋体" w:cs="宋体"/>
          <w:snapToGrid w:val="0"/>
          <w:color w:val="000000"/>
          <w:spacing w:val="-3"/>
          <w:kern w:val="0"/>
          <w:sz w:val="28"/>
          <w:szCs w:val="28"/>
          <w:lang w:eastAsia="en-US"/>
        </w:rPr>
        <w:t>根据该项目经营</w:t>
      </w:r>
      <w:r>
        <w:rPr>
          <w:rFonts w:hint="eastAsia" w:ascii="宋体" w:hAnsi="宋体" w:eastAsia="宋体" w:cs="宋体"/>
          <w:snapToGrid w:val="0"/>
          <w:color w:val="000000"/>
          <w:spacing w:val="-3"/>
          <w:kern w:val="0"/>
          <w:sz w:val="28"/>
          <w:szCs w:val="28"/>
          <w:lang w:eastAsia="en-US"/>
        </w:rPr>
        <w:t>过程及分析，确定评价单元为：加油作业、维修作业、</w:t>
      </w:r>
      <w:r>
        <w:rPr>
          <w:rFonts w:hint="eastAsia" w:ascii="宋体" w:hAnsi="宋体" w:eastAsia="宋体" w:cs="宋体"/>
          <w:snapToGrid w:val="0"/>
          <w:color w:val="000000"/>
          <w:spacing w:val="11"/>
          <w:kern w:val="0"/>
          <w:sz w:val="28"/>
          <w:szCs w:val="28"/>
          <w:lang w:eastAsia="en-US"/>
        </w:rPr>
        <w:t xml:space="preserve"> </w:t>
      </w:r>
      <w:r>
        <w:rPr>
          <w:rFonts w:hint="eastAsia" w:ascii="宋体" w:hAnsi="宋体" w:eastAsia="宋体" w:cs="宋体"/>
          <w:snapToGrid w:val="0"/>
          <w:color w:val="000000"/>
          <w:spacing w:val="-1"/>
          <w:kern w:val="0"/>
          <w:sz w:val="28"/>
          <w:szCs w:val="28"/>
          <w:lang w:eastAsia="en-US"/>
        </w:rPr>
        <w:t>储罐区卸油作业、配电作业等单元。</w:t>
      </w:r>
    </w:p>
    <w:p w14:paraId="6D1A91CB">
      <w:pPr>
        <w:widowControl/>
        <w:kinsoku w:val="0"/>
        <w:autoSpaceDE w:val="0"/>
        <w:autoSpaceDN w:val="0"/>
        <w:adjustRightInd w:val="0"/>
        <w:snapToGrid w:val="0"/>
        <w:spacing w:before="42" w:line="219" w:lineRule="auto"/>
        <w:ind w:left="571"/>
        <w:jc w:val="left"/>
        <w:textAlignment w:val="baseline"/>
        <w:rPr>
          <w:rFonts w:hint="eastAsia" w:ascii="宋体" w:hAnsi="宋体" w:eastAsia="宋体" w:cs="宋体"/>
          <w:snapToGrid w:val="0"/>
          <w:color w:val="000000"/>
          <w:kern w:val="0"/>
          <w:sz w:val="28"/>
          <w:szCs w:val="28"/>
          <w:lang w:eastAsia="en-US"/>
        </w:rPr>
      </w:pPr>
      <w:r>
        <w:rPr>
          <w:rFonts w:hint="eastAsia" w:ascii="宋体" w:hAnsi="宋体" w:eastAsia="宋体" w:cs="宋体"/>
          <w:snapToGrid w:val="0"/>
          <w:color w:val="000000"/>
          <w:spacing w:val="-1"/>
          <w:kern w:val="0"/>
          <w:sz w:val="28"/>
          <w:szCs w:val="28"/>
          <w:lang w:eastAsia="en-US"/>
        </w:rPr>
        <w:t>作业条件危险性评价法的计算结果：</w:t>
      </w:r>
    </w:p>
    <w:p w14:paraId="35B17854">
      <w:pPr>
        <w:widowControl/>
        <w:kinsoku w:val="0"/>
        <w:autoSpaceDE w:val="0"/>
        <w:autoSpaceDN w:val="0"/>
        <w:adjustRightInd w:val="0"/>
        <w:snapToGrid w:val="0"/>
        <w:spacing w:before="291" w:line="398" w:lineRule="auto"/>
        <w:ind w:left="10" w:right="100" w:firstLine="592"/>
        <w:jc w:val="left"/>
        <w:textAlignment w:val="baseline"/>
        <w:rPr>
          <w:rFonts w:hint="eastAsia" w:ascii="宋体" w:hAnsi="宋体" w:eastAsia="宋体" w:cs="宋体"/>
          <w:snapToGrid w:val="0"/>
          <w:color w:val="000000"/>
          <w:kern w:val="0"/>
          <w:sz w:val="28"/>
          <w:szCs w:val="28"/>
          <w:lang w:eastAsia="en-US"/>
        </w:rPr>
      </w:pPr>
      <w:r>
        <w:rPr>
          <w:rFonts w:hint="eastAsia" w:ascii="宋体" w:hAnsi="宋体" w:eastAsia="宋体" w:cs="宋体"/>
          <w:snapToGrid w:val="0"/>
          <w:color w:val="000000"/>
          <w:spacing w:val="1"/>
          <w:kern w:val="0"/>
          <w:sz w:val="28"/>
          <w:szCs w:val="28"/>
          <w:lang w:eastAsia="en-US"/>
        </w:rPr>
        <w:t>以加油作业单元为例说明</w:t>
      </w:r>
      <w:r>
        <w:rPr>
          <w:rFonts w:hint="eastAsia" w:ascii="宋体" w:hAnsi="宋体" w:eastAsia="宋体" w:cs="宋体"/>
          <w:snapToGrid w:val="0"/>
          <w:color w:val="000000"/>
          <w:kern w:val="0"/>
          <w:sz w:val="28"/>
          <w:szCs w:val="28"/>
          <w:lang w:eastAsia="en-US"/>
        </w:rPr>
        <w:t>LEC</w:t>
      </w:r>
      <w:r>
        <w:rPr>
          <w:rFonts w:hint="eastAsia" w:ascii="宋体" w:hAnsi="宋体" w:eastAsia="宋体" w:cs="宋体"/>
          <w:snapToGrid w:val="0"/>
          <w:color w:val="000000"/>
          <w:spacing w:val="1"/>
          <w:kern w:val="0"/>
          <w:sz w:val="28"/>
          <w:szCs w:val="28"/>
          <w:lang w:eastAsia="en-US"/>
        </w:rPr>
        <w:t xml:space="preserve"> 法的取值及计算过程。各单元计算</w:t>
      </w:r>
      <w:r>
        <w:rPr>
          <w:rFonts w:hint="eastAsia" w:ascii="宋体" w:hAnsi="宋体" w:eastAsia="宋体" w:cs="宋体"/>
          <w:snapToGrid w:val="0"/>
          <w:color w:val="000000"/>
          <w:kern w:val="0"/>
          <w:sz w:val="28"/>
          <w:szCs w:val="28"/>
          <w:lang w:eastAsia="en-US"/>
        </w:rPr>
        <w:t xml:space="preserve">结果 </w:t>
      </w:r>
      <w:r>
        <w:rPr>
          <w:rFonts w:hint="eastAsia" w:ascii="宋体" w:hAnsi="宋体" w:eastAsia="宋体" w:cs="宋体"/>
          <w:snapToGrid w:val="0"/>
          <w:color w:val="000000"/>
          <w:spacing w:val="-2"/>
          <w:kern w:val="0"/>
          <w:sz w:val="28"/>
          <w:szCs w:val="28"/>
          <w:lang w:eastAsia="en-US"/>
        </w:rPr>
        <w:t>及等级划分见表</w:t>
      </w:r>
      <w:r>
        <w:rPr>
          <w:rFonts w:hint="eastAsia" w:ascii="宋体" w:hAnsi="宋体" w:eastAsia="宋体" w:cs="宋体"/>
          <w:snapToGrid w:val="0"/>
          <w:color w:val="000000"/>
          <w:spacing w:val="-54"/>
          <w:kern w:val="0"/>
          <w:sz w:val="28"/>
          <w:szCs w:val="28"/>
          <w:lang w:eastAsia="en-US"/>
        </w:rPr>
        <w:t xml:space="preserve"> </w:t>
      </w:r>
      <w:r>
        <w:rPr>
          <w:rFonts w:hint="eastAsia" w:ascii="宋体" w:hAnsi="宋体" w:eastAsia="宋体" w:cs="宋体"/>
          <w:snapToGrid w:val="0"/>
          <w:color w:val="000000"/>
          <w:spacing w:val="-2"/>
          <w:kern w:val="0"/>
          <w:sz w:val="28"/>
          <w:szCs w:val="28"/>
          <w:lang w:eastAsia="en-US"/>
        </w:rPr>
        <w:t>5</w:t>
      </w:r>
      <w:r>
        <w:rPr>
          <w:rFonts w:hint="eastAsia" w:ascii="宋体" w:hAnsi="宋体" w:eastAsia="宋体" w:cs="宋体"/>
          <w:snapToGrid w:val="0"/>
          <w:color w:val="000000"/>
          <w:spacing w:val="-2"/>
          <w:kern w:val="0"/>
          <w:sz w:val="28"/>
          <w:szCs w:val="28"/>
          <w:lang w:val="en-US" w:eastAsia="zh-CN"/>
        </w:rPr>
        <w:t>-9</w:t>
      </w:r>
      <w:r>
        <w:rPr>
          <w:rFonts w:hint="eastAsia" w:ascii="宋体" w:hAnsi="宋体" w:eastAsia="宋体" w:cs="宋体"/>
          <w:snapToGrid w:val="0"/>
          <w:color w:val="000000"/>
          <w:spacing w:val="-2"/>
          <w:kern w:val="0"/>
          <w:sz w:val="28"/>
          <w:szCs w:val="28"/>
          <w:lang w:eastAsia="en-US"/>
        </w:rPr>
        <w:t>。</w:t>
      </w:r>
    </w:p>
    <w:p w14:paraId="1917F5F5">
      <w:pPr>
        <w:widowControl/>
        <w:kinsoku w:val="0"/>
        <w:autoSpaceDE w:val="0"/>
        <w:autoSpaceDN w:val="0"/>
        <w:adjustRightInd w:val="0"/>
        <w:snapToGrid w:val="0"/>
        <w:spacing w:before="39" w:line="364" w:lineRule="auto"/>
        <w:ind w:left="11" w:right="100" w:firstLine="581"/>
        <w:jc w:val="left"/>
        <w:textAlignment w:val="baseline"/>
        <w:rPr>
          <w:rFonts w:hint="eastAsia" w:ascii="宋体" w:hAnsi="宋体" w:eastAsia="宋体" w:cs="宋体"/>
          <w:snapToGrid w:val="0"/>
          <w:color w:val="000000"/>
          <w:kern w:val="0"/>
          <w:sz w:val="28"/>
          <w:szCs w:val="28"/>
          <w:lang w:eastAsia="en-US"/>
        </w:rPr>
      </w:pPr>
      <w:r>
        <w:rPr>
          <w:rFonts w:hint="eastAsia" w:ascii="宋体" w:hAnsi="宋体" w:eastAsia="宋体" w:cs="宋体"/>
          <w:snapToGrid w:val="0"/>
          <w:color w:val="000000"/>
          <w:spacing w:val="1"/>
          <w:kern w:val="0"/>
          <w:sz w:val="28"/>
          <w:szCs w:val="28"/>
          <w:lang w:eastAsia="en-US"/>
        </w:rPr>
        <w:t>1）事故发生的可能性L：在加油操作过程中，由于物质为汽油易燃液</w:t>
      </w:r>
      <w:r>
        <w:rPr>
          <w:rFonts w:hint="eastAsia" w:ascii="宋体" w:hAnsi="宋体" w:eastAsia="宋体" w:cs="宋体"/>
          <w:snapToGrid w:val="0"/>
          <w:color w:val="000000"/>
          <w:spacing w:val="14"/>
          <w:kern w:val="0"/>
          <w:sz w:val="28"/>
          <w:szCs w:val="28"/>
          <w:lang w:eastAsia="en-US"/>
        </w:rPr>
        <w:t xml:space="preserve"> </w:t>
      </w:r>
      <w:r>
        <w:rPr>
          <w:rFonts w:hint="eastAsia" w:ascii="宋体" w:hAnsi="宋体" w:eastAsia="宋体" w:cs="宋体"/>
          <w:snapToGrid w:val="0"/>
          <w:color w:val="000000"/>
          <w:spacing w:val="3"/>
          <w:kern w:val="0"/>
          <w:sz w:val="28"/>
          <w:szCs w:val="28"/>
          <w:lang w:eastAsia="en-US"/>
        </w:rPr>
        <w:t>体，遇到火源可能发生火灾、爆炸事故，但储罐埋地，在安全设施完备、</w:t>
      </w:r>
      <w:r>
        <w:rPr>
          <w:rFonts w:hint="eastAsia" w:ascii="宋体" w:hAnsi="宋体" w:eastAsia="宋体" w:cs="宋体"/>
          <w:snapToGrid w:val="0"/>
          <w:color w:val="000000"/>
          <w:spacing w:val="1"/>
          <w:kern w:val="0"/>
          <w:sz w:val="28"/>
          <w:szCs w:val="28"/>
          <w:lang w:eastAsia="en-US"/>
        </w:rPr>
        <w:t xml:space="preserve"> </w:t>
      </w:r>
      <w:r>
        <w:rPr>
          <w:rFonts w:hint="eastAsia" w:ascii="宋体" w:hAnsi="宋体" w:eastAsia="宋体" w:cs="宋体"/>
          <w:snapToGrid w:val="0"/>
          <w:color w:val="000000"/>
          <w:spacing w:val="3"/>
          <w:kern w:val="0"/>
          <w:sz w:val="28"/>
          <w:szCs w:val="28"/>
          <w:lang w:eastAsia="en-US"/>
        </w:rPr>
        <w:t>严禁烟火、严格按规程作业时一般不会发生事故，故属“很不可能，可以</w:t>
      </w:r>
      <w:r>
        <w:rPr>
          <w:rFonts w:hint="eastAsia" w:ascii="宋体" w:hAnsi="宋体" w:eastAsia="宋体" w:cs="宋体"/>
          <w:snapToGrid w:val="0"/>
          <w:color w:val="000000"/>
          <w:spacing w:val="1"/>
          <w:kern w:val="0"/>
          <w:sz w:val="28"/>
          <w:szCs w:val="28"/>
          <w:lang w:eastAsia="en-US"/>
        </w:rPr>
        <w:t xml:space="preserve"> </w:t>
      </w:r>
      <w:r>
        <w:rPr>
          <w:rFonts w:hint="eastAsia" w:ascii="宋体" w:hAnsi="宋体" w:eastAsia="宋体" w:cs="宋体"/>
          <w:snapToGrid w:val="0"/>
          <w:color w:val="000000"/>
          <w:spacing w:val="-7"/>
          <w:kern w:val="0"/>
          <w:sz w:val="28"/>
          <w:szCs w:val="28"/>
          <w:lang w:eastAsia="en-US"/>
        </w:rPr>
        <w:t>设想</w:t>
      </w:r>
      <w:r>
        <w:rPr>
          <w:rFonts w:hint="eastAsia" w:ascii="宋体" w:hAnsi="宋体" w:eastAsia="宋体" w:cs="宋体"/>
          <w:snapToGrid w:val="0"/>
          <w:color w:val="000000"/>
          <w:spacing w:val="-96"/>
          <w:kern w:val="0"/>
          <w:sz w:val="28"/>
          <w:szCs w:val="28"/>
          <w:lang w:eastAsia="en-US"/>
        </w:rPr>
        <w:t xml:space="preserve"> </w:t>
      </w:r>
      <w:r>
        <w:rPr>
          <w:rFonts w:hint="eastAsia" w:ascii="宋体" w:hAnsi="宋体" w:eastAsia="宋体" w:cs="宋体"/>
          <w:snapToGrid w:val="0"/>
          <w:color w:val="000000"/>
          <w:spacing w:val="-7"/>
          <w:kern w:val="0"/>
          <w:sz w:val="28"/>
          <w:szCs w:val="28"/>
          <w:lang w:eastAsia="en-US"/>
        </w:rPr>
        <w:t>”，故其分值</w:t>
      </w:r>
      <w:r>
        <w:rPr>
          <w:rFonts w:hint="eastAsia" w:ascii="宋体" w:hAnsi="宋体" w:eastAsia="宋体" w:cs="宋体"/>
          <w:snapToGrid w:val="0"/>
          <w:color w:val="000000"/>
          <w:spacing w:val="-68"/>
          <w:kern w:val="0"/>
          <w:sz w:val="28"/>
          <w:szCs w:val="28"/>
          <w:lang w:eastAsia="en-US"/>
        </w:rPr>
        <w:t xml:space="preserve"> </w:t>
      </w:r>
      <w:r>
        <w:rPr>
          <w:rFonts w:hint="eastAsia" w:ascii="宋体" w:hAnsi="宋体" w:eastAsia="宋体" w:cs="宋体"/>
          <w:snapToGrid w:val="0"/>
          <w:color w:val="000000"/>
          <w:spacing w:val="-7"/>
          <w:kern w:val="0"/>
          <w:sz w:val="28"/>
          <w:szCs w:val="28"/>
          <w:lang w:eastAsia="en-US"/>
        </w:rPr>
        <w:t>L</w:t>
      </w:r>
      <w:r>
        <w:rPr>
          <w:rFonts w:hint="eastAsia" w:ascii="宋体" w:hAnsi="宋体" w:eastAsia="宋体" w:cs="宋体"/>
          <w:snapToGrid w:val="0"/>
          <w:color w:val="000000"/>
          <w:spacing w:val="-30"/>
          <w:kern w:val="0"/>
          <w:sz w:val="28"/>
          <w:szCs w:val="28"/>
          <w:lang w:eastAsia="en-US"/>
        </w:rPr>
        <w:t xml:space="preserve"> </w:t>
      </w:r>
      <w:r>
        <w:rPr>
          <w:rFonts w:hint="eastAsia" w:ascii="宋体" w:hAnsi="宋体" w:eastAsia="宋体" w:cs="宋体"/>
          <w:snapToGrid w:val="0"/>
          <w:color w:val="000000"/>
          <w:spacing w:val="-7"/>
          <w:kern w:val="0"/>
          <w:sz w:val="28"/>
          <w:szCs w:val="28"/>
          <w:lang w:eastAsia="en-US"/>
        </w:rPr>
        <w:t>＝0.5；</w:t>
      </w:r>
    </w:p>
    <w:p w14:paraId="7269E4C4">
      <w:pPr>
        <w:widowControl/>
        <w:kinsoku w:val="0"/>
        <w:autoSpaceDE w:val="0"/>
        <w:autoSpaceDN w:val="0"/>
        <w:adjustRightInd w:val="0"/>
        <w:snapToGrid w:val="0"/>
        <w:spacing w:before="290" w:line="220" w:lineRule="auto"/>
        <w:ind w:right="8"/>
        <w:jc w:val="right"/>
        <w:textAlignment w:val="baseline"/>
        <w:rPr>
          <w:rFonts w:hint="eastAsia" w:ascii="宋体" w:hAnsi="宋体" w:eastAsia="宋体" w:cs="宋体"/>
          <w:snapToGrid w:val="0"/>
          <w:color w:val="000000"/>
          <w:kern w:val="0"/>
          <w:sz w:val="28"/>
          <w:szCs w:val="28"/>
          <w:lang w:eastAsia="en-US"/>
        </w:rPr>
      </w:pPr>
      <w:r>
        <w:rPr>
          <w:rFonts w:hint="eastAsia" w:ascii="宋体" w:hAnsi="宋体" w:eastAsia="宋体" w:cs="宋体"/>
          <w:snapToGrid w:val="0"/>
          <w:color w:val="000000"/>
          <w:spacing w:val="1"/>
          <w:kern w:val="0"/>
          <w:sz w:val="28"/>
          <w:szCs w:val="28"/>
          <w:lang w:eastAsia="en-US"/>
        </w:rPr>
        <w:t>2）暴露于危险环境的频繁程度E：每天工作</w:t>
      </w:r>
      <w:r>
        <w:rPr>
          <w:rFonts w:hint="eastAsia" w:ascii="宋体" w:hAnsi="宋体" w:eastAsia="宋体" w:cs="宋体"/>
          <w:snapToGrid w:val="0"/>
          <w:color w:val="000000"/>
          <w:kern w:val="0"/>
          <w:sz w:val="28"/>
          <w:szCs w:val="28"/>
          <w:lang w:eastAsia="en-US"/>
        </w:rPr>
        <w:t>时间内暴露，故取</w:t>
      </w:r>
      <w:r>
        <w:rPr>
          <w:rFonts w:hint="eastAsia" w:ascii="宋体" w:hAnsi="宋体" w:eastAsia="宋体" w:cs="宋体"/>
          <w:snapToGrid w:val="0"/>
          <w:color w:val="000000"/>
          <w:spacing w:val="-67"/>
          <w:kern w:val="0"/>
          <w:sz w:val="28"/>
          <w:szCs w:val="28"/>
          <w:lang w:eastAsia="en-US"/>
        </w:rPr>
        <w:t xml:space="preserve"> </w:t>
      </w:r>
      <w:r>
        <w:rPr>
          <w:rFonts w:hint="eastAsia" w:ascii="宋体" w:hAnsi="宋体" w:eastAsia="宋体" w:cs="宋体"/>
          <w:snapToGrid w:val="0"/>
          <w:color w:val="000000"/>
          <w:kern w:val="0"/>
          <w:sz w:val="28"/>
          <w:szCs w:val="28"/>
          <w:lang w:eastAsia="en-US"/>
        </w:rPr>
        <w:t>E</w:t>
      </w:r>
      <w:r>
        <w:rPr>
          <w:rFonts w:hint="eastAsia" w:ascii="宋体" w:hAnsi="宋体" w:eastAsia="宋体" w:cs="宋体"/>
          <w:snapToGrid w:val="0"/>
          <w:color w:val="000000"/>
          <w:spacing w:val="-30"/>
          <w:kern w:val="0"/>
          <w:sz w:val="28"/>
          <w:szCs w:val="28"/>
          <w:lang w:eastAsia="en-US"/>
        </w:rPr>
        <w:t xml:space="preserve"> </w:t>
      </w:r>
      <w:r>
        <w:rPr>
          <w:rFonts w:hint="eastAsia" w:ascii="宋体" w:hAnsi="宋体" w:eastAsia="宋体" w:cs="宋体"/>
          <w:snapToGrid w:val="0"/>
          <w:color w:val="000000"/>
          <w:kern w:val="0"/>
          <w:sz w:val="28"/>
          <w:szCs w:val="28"/>
          <w:lang w:eastAsia="en-US"/>
        </w:rPr>
        <w:t>＝6；</w:t>
      </w:r>
    </w:p>
    <w:p w14:paraId="55DE2880">
      <w:pPr>
        <w:pStyle w:val="18"/>
        <w:rPr>
          <w:rFonts w:hint="eastAsia" w:ascii="宋体" w:hAnsi="宋体" w:eastAsia="宋体" w:cs="宋体"/>
          <w:snapToGrid w:val="0"/>
          <w:color w:val="000000"/>
          <w:kern w:val="0"/>
          <w:sz w:val="28"/>
          <w:szCs w:val="28"/>
          <w:lang w:eastAsia="en-US"/>
        </w:rPr>
      </w:pPr>
      <w:r>
        <w:rPr>
          <w:rFonts w:hint="eastAsia" w:ascii="宋体" w:hAnsi="宋体" w:eastAsia="宋体" w:cs="宋体"/>
          <w:snapToGrid w:val="0"/>
          <w:color w:val="000000"/>
          <w:spacing w:val="-2"/>
          <w:kern w:val="0"/>
          <w:sz w:val="28"/>
          <w:szCs w:val="28"/>
          <w:lang w:eastAsia="en-US"/>
        </w:rPr>
        <w:t>3）发生事故产生的后果</w:t>
      </w:r>
      <w:r>
        <w:rPr>
          <w:rFonts w:hint="eastAsia" w:ascii="宋体" w:hAnsi="宋体" w:eastAsia="宋体" w:cs="宋体"/>
          <w:snapToGrid w:val="0"/>
          <w:color w:val="000000"/>
          <w:spacing w:val="-60"/>
          <w:kern w:val="0"/>
          <w:sz w:val="28"/>
          <w:szCs w:val="28"/>
          <w:lang w:eastAsia="en-US"/>
        </w:rPr>
        <w:t xml:space="preserve"> </w:t>
      </w:r>
      <w:r>
        <w:rPr>
          <w:rFonts w:hint="eastAsia" w:ascii="宋体" w:hAnsi="宋体" w:eastAsia="宋体" w:cs="宋体"/>
          <w:snapToGrid w:val="0"/>
          <w:color w:val="000000"/>
          <w:spacing w:val="-2"/>
          <w:kern w:val="0"/>
          <w:sz w:val="28"/>
          <w:szCs w:val="28"/>
          <w:lang w:eastAsia="en-US"/>
        </w:rPr>
        <w:t>C</w:t>
      </w:r>
      <w:r>
        <w:rPr>
          <w:rFonts w:hint="eastAsia" w:ascii="宋体" w:hAnsi="宋体" w:eastAsia="宋体" w:cs="宋体"/>
          <w:snapToGrid w:val="0"/>
          <w:color w:val="000000"/>
          <w:spacing w:val="-35"/>
          <w:kern w:val="0"/>
          <w:sz w:val="28"/>
          <w:szCs w:val="28"/>
          <w:lang w:eastAsia="en-US"/>
        </w:rPr>
        <w:t xml:space="preserve"> </w:t>
      </w:r>
      <w:r>
        <w:rPr>
          <w:rFonts w:hint="eastAsia" w:ascii="宋体" w:hAnsi="宋体" w:eastAsia="宋体" w:cs="宋体"/>
          <w:snapToGrid w:val="0"/>
          <w:color w:val="000000"/>
          <w:spacing w:val="-2"/>
          <w:kern w:val="0"/>
          <w:sz w:val="28"/>
          <w:szCs w:val="28"/>
          <w:lang w:eastAsia="en-US"/>
        </w:rPr>
        <w:t>：发生火灾、爆炸事故，可能造成人员死亡</w:t>
      </w:r>
      <w:r>
        <w:rPr>
          <w:rFonts w:hint="eastAsia" w:ascii="宋体" w:hAnsi="宋体" w:eastAsia="宋体" w:cs="宋体"/>
          <w:snapToGrid w:val="0"/>
          <w:color w:val="000000"/>
          <w:spacing w:val="-3"/>
          <w:kern w:val="0"/>
          <w:sz w:val="28"/>
          <w:szCs w:val="28"/>
          <w:lang w:eastAsia="en-US"/>
        </w:rPr>
        <w:t>或一定的财产损失，结果非常严重。故取</w:t>
      </w:r>
      <w:r>
        <w:rPr>
          <w:rFonts w:hint="eastAsia" w:ascii="宋体" w:hAnsi="宋体" w:eastAsia="宋体" w:cs="宋体"/>
          <w:snapToGrid w:val="0"/>
          <w:color w:val="000000"/>
          <w:spacing w:val="-52"/>
          <w:kern w:val="0"/>
          <w:sz w:val="28"/>
          <w:szCs w:val="28"/>
          <w:lang w:eastAsia="en-US"/>
        </w:rPr>
        <w:t xml:space="preserve"> </w:t>
      </w:r>
      <w:r>
        <w:rPr>
          <w:rFonts w:hint="eastAsia" w:ascii="宋体" w:hAnsi="宋体" w:eastAsia="宋体" w:cs="宋体"/>
          <w:snapToGrid w:val="0"/>
          <w:color w:val="000000"/>
          <w:spacing w:val="-3"/>
          <w:kern w:val="0"/>
          <w:sz w:val="28"/>
          <w:szCs w:val="28"/>
          <w:lang w:eastAsia="en-US"/>
        </w:rPr>
        <w:t>C</w:t>
      </w:r>
      <w:r>
        <w:rPr>
          <w:rFonts w:hint="eastAsia" w:ascii="宋体" w:hAnsi="宋体" w:eastAsia="宋体" w:cs="宋体"/>
          <w:snapToGrid w:val="0"/>
          <w:color w:val="000000"/>
          <w:spacing w:val="-34"/>
          <w:kern w:val="0"/>
          <w:sz w:val="28"/>
          <w:szCs w:val="28"/>
          <w:lang w:eastAsia="en-US"/>
        </w:rPr>
        <w:t xml:space="preserve"> </w:t>
      </w:r>
      <w:r>
        <w:rPr>
          <w:rFonts w:hint="eastAsia" w:ascii="宋体" w:hAnsi="宋体" w:eastAsia="宋体" w:cs="宋体"/>
          <w:snapToGrid w:val="0"/>
          <w:color w:val="000000"/>
          <w:spacing w:val="-3"/>
          <w:kern w:val="0"/>
          <w:sz w:val="28"/>
          <w:szCs w:val="28"/>
          <w:lang w:eastAsia="en-US"/>
        </w:rPr>
        <w:t>＝15；</w:t>
      </w:r>
    </w:p>
    <w:p w14:paraId="6124EC75">
      <w:pPr>
        <w:widowControl/>
        <w:kinsoku w:val="0"/>
        <w:autoSpaceDE w:val="0"/>
        <w:autoSpaceDN w:val="0"/>
        <w:adjustRightInd w:val="0"/>
        <w:snapToGrid w:val="0"/>
        <w:spacing w:before="290" w:line="398" w:lineRule="auto"/>
        <w:ind w:left="630" w:right="4431" w:hanging="8"/>
        <w:jc w:val="left"/>
        <w:textAlignment w:val="baseline"/>
        <w:rPr>
          <w:rFonts w:hint="eastAsia" w:ascii="宋体" w:hAnsi="宋体" w:eastAsia="宋体" w:cs="宋体"/>
          <w:snapToGrid w:val="0"/>
          <w:color w:val="000000"/>
          <w:spacing w:val="-6"/>
          <w:kern w:val="0"/>
          <w:sz w:val="28"/>
          <w:szCs w:val="28"/>
          <w:lang w:eastAsia="en-US"/>
        </w:rPr>
      </w:pPr>
      <w:r>
        <w:rPr>
          <w:rFonts w:hint="eastAsia" w:ascii="宋体" w:hAnsi="宋体" w:eastAsia="宋体" w:cs="宋体"/>
          <w:snapToGrid w:val="0"/>
          <w:color w:val="000000"/>
          <w:spacing w:val="-6"/>
          <w:kern w:val="0"/>
          <w:sz w:val="28"/>
          <w:szCs w:val="28"/>
          <w:lang w:eastAsia="en-US"/>
        </w:rPr>
        <w:t>D＝L×E×C＝0.5×6×15＝45。</w:t>
      </w:r>
    </w:p>
    <w:p w14:paraId="797F5AD7">
      <w:pPr>
        <w:keepNext w:val="0"/>
        <w:keepLines w:val="0"/>
        <w:pageBreakBefore w:val="0"/>
        <w:widowControl/>
        <w:kinsoku w:val="0"/>
        <w:wordWrap/>
        <w:overflowPunct/>
        <w:topLinePunct w:val="0"/>
        <w:autoSpaceDE w:val="0"/>
        <w:autoSpaceDN w:val="0"/>
        <w:bidi w:val="0"/>
        <w:adjustRightInd w:val="0"/>
        <w:snapToGrid w:val="0"/>
        <w:spacing w:line="399" w:lineRule="auto"/>
        <w:ind w:right="0" w:firstLine="532" w:firstLineChars="200"/>
        <w:jc w:val="left"/>
        <w:textAlignment w:val="baseline"/>
        <w:rPr>
          <w:rFonts w:hint="eastAsia" w:ascii="宋体" w:hAnsi="宋体" w:eastAsia="宋体" w:cs="宋体"/>
          <w:snapToGrid w:val="0"/>
          <w:color w:val="000000"/>
          <w:spacing w:val="-7"/>
          <w:kern w:val="0"/>
          <w:sz w:val="28"/>
          <w:szCs w:val="28"/>
          <w:lang w:eastAsia="en-US"/>
        </w:rPr>
      </w:pPr>
      <w:r>
        <w:rPr>
          <w:rFonts w:hint="eastAsia" w:ascii="宋体" w:hAnsi="宋体" w:eastAsia="宋体" w:cs="宋体"/>
          <w:snapToGrid w:val="0"/>
          <w:color w:val="000000"/>
          <w:spacing w:val="-7"/>
          <w:kern w:val="0"/>
          <w:sz w:val="28"/>
          <w:szCs w:val="28"/>
          <w:lang w:eastAsia="en-US"/>
        </w:rPr>
        <w:t>属“一般危险，需要注意</w:t>
      </w:r>
      <w:r>
        <w:rPr>
          <w:rFonts w:hint="eastAsia" w:ascii="宋体" w:hAnsi="宋体" w:eastAsia="宋体" w:cs="宋体"/>
          <w:snapToGrid w:val="0"/>
          <w:color w:val="000000"/>
          <w:spacing w:val="-90"/>
          <w:kern w:val="0"/>
          <w:sz w:val="28"/>
          <w:szCs w:val="28"/>
          <w:lang w:eastAsia="en-US"/>
        </w:rPr>
        <w:t xml:space="preserve"> </w:t>
      </w:r>
      <w:r>
        <w:rPr>
          <w:rFonts w:hint="eastAsia" w:ascii="宋体" w:hAnsi="宋体" w:eastAsia="宋体" w:cs="宋体"/>
          <w:snapToGrid w:val="0"/>
          <w:color w:val="000000"/>
          <w:spacing w:val="-7"/>
          <w:kern w:val="0"/>
          <w:sz w:val="28"/>
          <w:szCs w:val="28"/>
          <w:lang w:eastAsia="en-US"/>
        </w:rPr>
        <w:t>”范围。</w:t>
      </w:r>
    </w:p>
    <w:p w14:paraId="625CE43F">
      <w:pPr>
        <w:widowControl/>
        <w:kinsoku w:val="0"/>
        <w:autoSpaceDE w:val="0"/>
        <w:autoSpaceDN w:val="0"/>
        <w:adjustRightInd w:val="0"/>
        <w:snapToGrid w:val="0"/>
        <w:spacing w:before="144" w:line="219" w:lineRule="auto"/>
        <w:ind w:left="3117"/>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50"/>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5</w:t>
      </w:r>
      <w:r>
        <w:rPr>
          <w:rFonts w:hint="eastAsia" w:ascii="Times New Roman" w:hAnsi="Times New Roman" w:eastAsia="宋体" w:cs="Times New Roman"/>
          <w:b/>
          <w:bCs/>
          <w:snapToGrid w:val="0"/>
          <w:color w:val="000000"/>
          <w:spacing w:val="-2"/>
          <w:kern w:val="0"/>
          <w:sz w:val="24"/>
          <w:szCs w:val="24"/>
          <w:lang w:val="en-US" w:eastAsia="zh-CN"/>
        </w:rPr>
        <w:t>-9</w:t>
      </w:r>
      <w:r>
        <w:rPr>
          <w:rFonts w:ascii="宋体" w:hAnsi="宋体" w:eastAsia="宋体" w:cs="宋体"/>
          <w:b/>
          <w:bCs/>
          <w:snapToGrid w:val="0"/>
          <w:color w:val="000000"/>
          <w:spacing w:val="-2"/>
          <w:kern w:val="0"/>
          <w:sz w:val="24"/>
          <w:szCs w:val="24"/>
          <w:lang w:eastAsia="en-US"/>
        </w:rPr>
        <w:t>各单元危险评价表</w:t>
      </w:r>
    </w:p>
    <w:p w14:paraId="12DFA133">
      <w:pPr>
        <w:widowControl/>
        <w:kinsoku w:val="0"/>
        <w:autoSpaceDE w:val="0"/>
        <w:autoSpaceDN w:val="0"/>
        <w:adjustRightInd w:val="0"/>
        <w:snapToGrid w:val="0"/>
        <w:spacing w:line="40" w:lineRule="exact"/>
        <w:jc w:val="left"/>
        <w:textAlignment w:val="baseline"/>
        <w:rPr>
          <w:rFonts w:ascii="Arial" w:hAnsi="Arial" w:eastAsia="Arial" w:cs="Arial"/>
          <w:snapToGrid w:val="0"/>
          <w:color w:val="000000"/>
          <w:kern w:val="0"/>
          <w:lang w:eastAsia="en-US"/>
        </w:rPr>
      </w:pPr>
    </w:p>
    <w:tbl>
      <w:tblPr>
        <w:tblStyle w:val="47"/>
        <w:tblW w:w="9160"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9"/>
        <w:gridCol w:w="1771"/>
        <w:gridCol w:w="2563"/>
        <w:gridCol w:w="673"/>
        <w:gridCol w:w="615"/>
        <w:gridCol w:w="615"/>
        <w:gridCol w:w="732"/>
        <w:gridCol w:w="1512"/>
      </w:tblGrid>
      <w:tr w14:paraId="6F0670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07" w:hRule="atLeast"/>
        </w:trPr>
        <w:tc>
          <w:tcPr>
            <w:tcW w:w="679" w:type="dxa"/>
            <w:vMerge w:val="restart"/>
            <w:tcBorders>
              <w:top w:val="single" w:color="000000" w:sz="10" w:space="0"/>
              <w:left w:val="single" w:color="000000" w:sz="10" w:space="0"/>
              <w:bottom w:val="nil"/>
            </w:tcBorders>
            <w:vAlign w:val="top"/>
          </w:tcPr>
          <w:p w14:paraId="07CF5CFC">
            <w:pPr>
              <w:kinsoku w:val="0"/>
              <w:autoSpaceDE w:val="0"/>
              <w:autoSpaceDN w:val="0"/>
              <w:adjustRightInd w:val="0"/>
              <w:snapToGrid w:val="0"/>
              <w:spacing w:before="219" w:line="230" w:lineRule="auto"/>
              <w:ind w:left="11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4"/>
                <w:kern w:val="0"/>
                <w:sz w:val="20"/>
                <w:szCs w:val="20"/>
                <w:lang w:val="en-US" w:eastAsia="en-US" w:bidi="ar-SA"/>
              </w:rPr>
              <w:t>序号</w:t>
            </w:r>
          </w:p>
        </w:tc>
        <w:tc>
          <w:tcPr>
            <w:tcW w:w="1771" w:type="dxa"/>
            <w:vMerge w:val="restart"/>
            <w:tcBorders>
              <w:top w:val="single" w:color="000000" w:sz="10" w:space="0"/>
              <w:bottom w:val="nil"/>
            </w:tcBorders>
            <w:vAlign w:val="top"/>
          </w:tcPr>
          <w:p w14:paraId="20892369">
            <w:pPr>
              <w:kinsoku w:val="0"/>
              <w:autoSpaceDE w:val="0"/>
              <w:autoSpaceDN w:val="0"/>
              <w:adjustRightInd w:val="0"/>
              <w:snapToGrid w:val="0"/>
              <w:spacing w:before="219" w:line="227" w:lineRule="auto"/>
              <w:ind w:left="45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评价单元</w:t>
            </w:r>
          </w:p>
        </w:tc>
        <w:tc>
          <w:tcPr>
            <w:tcW w:w="2563" w:type="dxa"/>
            <w:vMerge w:val="restart"/>
            <w:tcBorders>
              <w:top w:val="single" w:color="000000" w:sz="10" w:space="0"/>
              <w:bottom w:val="nil"/>
            </w:tcBorders>
            <w:vAlign w:val="top"/>
          </w:tcPr>
          <w:p w14:paraId="52B9E049">
            <w:pPr>
              <w:kinsoku w:val="0"/>
              <w:autoSpaceDE w:val="0"/>
              <w:autoSpaceDN w:val="0"/>
              <w:adjustRightInd w:val="0"/>
              <w:snapToGrid w:val="0"/>
              <w:spacing w:before="219" w:line="229" w:lineRule="auto"/>
              <w:ind w:left="44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7"/>
                <w:kern w:val="0"/>
                <w:sz w:val="20"/>
                <w:szCs w:val="20"/>
                <w:lang w:val="en-US" w:eastAsia="en-US" w:bidi="ar-SA"/>
              </w:rPr>
              <w:t>危险源及潜在危险</w:t>
            </w:r>
          </w:p>
        </w:tc>
        <w:tc>
          <w:tcPr>
            <w:tcW w:w="2635" w:type="dxa"/>
            <w:gridSpan w:val="4"/>
            <w:tcBorders>
              <w:top w:val="single" w:color="000000" w:sz="10" w:space="0"/>
            </w:tcBorders>
            <w:vAlign w:val="top"/>
          </w:tcPr>
          <w:p w14:paraId="73106A1F">
            <w:pPr>
              <w:kinsoku w:val="0"/>
              <w:autoSpaceDE w:val="0"/>
              <w:autoSpaceDN w:val="0"/>
              <w:adjustRightInd w:val="0"/>
              <w:snapToGrid w:val="0"/>
              <w:spacing w:before="65" w:line="214" w:lineRule="auto"/>
              <w:ind w:left="714"/>
              <w:jc w:val="left"/>
              <w:textAlignment w:val="baseline"/>
              <w:rPr>
                <w:rFonts w:ascii="Times New Roman" w:hAnsi="Times New Roman" w:eastAsia="Times New Roman" w:cs="Times New Roman"/>
                <w:snapToGrid w:val="0"/>
                <w:color w:val="000000"/>
                <w:kern w:val="0"/>
                <w:sz w:val="20"/>
                <w:szCs w:val="20"/>
                <w:lang w:val="en-US" w:eastAsia="en-US" w:bidi="ar-SA"/>
              </w:rPr>
            </w:pPr>
            <w:r>
              <w:rPr>
                <w:rFonts w:ascii="Times New Roman" w:hAnsi="Times New Roman" w:eastAsia="Times New Roman" w:cs="Times New Roman"/>
                <w:b/>
                <w:bCs/>
                <w:snapToGrid w:val="0"/>
                <w:color w:val="000000"/>
                <w:spacing w:val="2"/>
                <w:kern w:val="0"/>
                <w:sz w:val="20"/>
                <w:szCs w:val="20"/>
                <w:lang w:val="en-US" w:eastAsia="en-US" w:bidi="ar-SA"/>
              </w:rPr>
              <w:t>D</w:t>
            </w:r>
            <w:r>
              <w:rPr>
                <w:rFonts w:ascii="Times New Roman" w:hAnsi="Times New Roman" w:eastAsia="Times New Roman" w:cs="Times New Roman"/>
                <w:b/>
                <w:bCs/>
                <w:snapToGrid w:val="0"/>
                <w:color w:val="000000"/>
                <w:spacing w:val="-16"/>
                <w:kern w:val="0"/>
                <w:sz w:val="20"/>
                <w:szCs w:val="20"/>
                <w:lang w:val="en-US" w:eastAsia="en-US" w:bidi="ar-SA"/>
              </w:rPr>
              <w:t xml:space="preserve"> </w:t>
            </w:r>
            <w:r>
              <w:rPr>
                <w:rFonts w:ascii="宋体" w:hAnsi="宋体" w:eastAsia="宋体" w:cs="宋体"/>
                <w:b/>
                <w:bCs/>
                <w:snapToGrid w:val="0"/>
                <w:color w:val="000000"/>
                <w:spacing w:val="2"/>
                <w:kern w:val="0"/>
                <w:sz w:val="20"/>
                <w:szCs w:val="20"/>
                <w:lang w:val="en-US" w:eastAsia="en-US" w:bidi="ar-SA"/>
              </w:rPr>
              <w:t>＝</w:t>
            </w:r>
            <w:r>
              <w:rPr>
                <w:rFonts w:ascii="Times New Roman" w:hAnsi="Times New Roman" w:eastAsia="Times New Roman" w:cs="Times New Roman"/>
                <w:b/>
                <w:bCs/>
                <w:snapToGrid w:val="0"/>
                <w:color w:val="000000"/>
                <w:spacing w:val="2"/>
                <w:kern w:val="0"/>
                <w:sz w:val="20"/>
                <w:szCs w:val="20"/>
                <w:lang w:val="en-US" w:eastAsia="en-US" w:bidi="ar-SA"/>
              </w:rPr>
              <w:t>L</w:t>
            </w:r>
            <w:r>
              <w:rPr>
                <w:rFonts w:ascii="宋体" w:hAnsi="宋体" w:eastAsia="宋体" w:cs="宋体"/>
                <w:b/>
                <w:bCs/>
                <w:snapToGrid w:val="0"/>
                <w:color w:val="000000"/>
                <w:spacing w:val="2"/>
                <w:kern w:val="0"/>
                <w:sz w:val="20"/>
                <w:szCs w:val="20"/>
                <w:lang w:val="en-US" w:eastAsia="en-US" w:bidi="ar-SA"/>
              </w:rPr>
              <w:t>×</w:t>
            </w:r>
            <w:r>
              <w:rPr>
                <w:rFonts w:ascii="Times New Roman" w:hAnsi="Times New Roman" w:eastAsia="Times New Roman" w:cs="Times New Roman"/>
                <w:b/>
                <w:bCs/>
                <w:snapToGrid w:val="0"/>
                <w:color w:val="000000"/>
                <w:spacing w:val="2"/>
                <w:kern w:val="0"/>
                <w:sz w:val="20"/>
                <w:szCs w:val="20"/>
                <w:lang w:val="en-US" w:eastAsia="en-US" w:bidi="ar-SA"/>
              </w:rPr>
              <w:t>E</w:t>
            </w:r>
            <w:r>
              <w:rPr>
                <w:rFonts w:ascii="宋体" w:hAnsi="宋体" w:eastAsia="宋体" w:cs="宋体"/>
                <w:b/>
                <w:bCs/>
                <w:snapToGrid w:val="0"/>
                <w:color w:val="000000"/>
                <w:spacing w:val="2"/>
                <w:kern w:val="0"/>
                <w:sz w:val="20"/>
                <w:szCs w:val="20"/>
                <w:lang w:val="en-US" w:eastAsia="en-US" w:bidi="ar-SA"/>
              </w:rPr>
              <w:t>×</w:t>
            </w:r>
            <w:r>
              <w:rPr>
                <w:rFonts w:ascii="Times New Roman" w:hAnsi="Times New Roman" w:eastAsia="Times New Roman" w:cs="Times New Roman"/>
                <w:b/>
                <w:bCs/>
                <w:snapToGrid w:val="0"/>
                <w:color w:val="000000"/>
                <w:spacing w:val="2"/>
                <w:kern w:val="0"/>
                <w:sz w:val="20"/>
                <w:szCs w:val="20"/>
                <w:lang w:val="en-US" w:eastAsia="en-US" w:bidi="ar-SA"/>
              </w:rPr>
              <w:t>C</w:t>
            </w:r>
          </w:p>
        </w:tc>
        <w:tc>
          <w:tcPr>
            <w:tcW w:w="1512" w:type="dxa"/>
            <w:vMerge w:val="restart"/>
            <w:tcBorders>
              <w:top w:val="single" w:color="000000" w:sz="10" w:space="0"/>
              <w:bottom w:val="nil"/>
              <w:right w:val="single" w:color="000000" w:sz="10" w:space="0"/>
            </w:tcBorders>
            <w:vAlign w:val="top"/>
          </w:tcPr>
          <w:p w14:paraId="4EEE1409">
            <w:pPr>
              <w:kinsoku w:val="0"/>
              <w:autoSpaceDE w:val="0"/>
              <w:autoSpaceDN w:val="0"/>
              <w:adjustRightInd w:val="0"/>
              <w:snapToGrid w:val="0"/>
              <w:spacing w:before="219" w:line="228" w:lineRule="auto"/>
              <w:ind w:left="34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5"/>
                <w:kern w:val="0"/>
                <w:sz w:val="20"/>
                <w:szCs w:val="20"/>
                <w:lang w:val="en-US" w:eastAsia="en-US" w:bidi="ar-SA"/>
              </w:rPr>
              <w:t>危险等级</w:t>
            </w:r>
          </w:p>
        </w:tc>
      </w:tr>
      <w:tr w14:paraId="5A4BC9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continue"/>
            <w:tcBorders>
              <w:top w:val="nil"/>
              <w:left w:val="single" w:color="000000" w:sz="10" w:space="0"/>
            </w:tcBorders>
            <w:vAlign w:val="top"/>
          </w:tcPr>
          <w:p w14:paraId="227335D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1771" w:type="dxa"/>
            <w:vMerge w:val="continue"/>
            <w:tcBorders>
              <w:top w:val="nil"/>
            </w:tcBorders>
            <w:vAlign w:val="top"/>
          </w:tcPr>
          <w:p w14:paraId="6E815D6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63" w:type="dxa"/>
            <w:vMerge w:val="continue"/>
            <w:tcBorders>
              <w:top w:val="nil"/>
            </w:tcBorders>
            <w:vAlign w:val="top"/>
          </w:tcPr>
          <w:p w14:paraId="2C65E5B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73" w:type="dxa"/>
            <w:vAlign w:val="top"/>
          </w:tcPr>
          <w:p w14:paraId="22A57D01">
            <w:pPr>
              <w:widowControl/>
              <w:kinsoku w:val="0"/>
              <w:autoSpaceDE w:val="0"/>
              <w:autoSpaceDN w:val="0"/>
              <w:adjustRightInd w:val="0"/>
              <w:snapToGrid w:val="0"/>
              <w:spacing w:before="102" w:line="192" w:lineRule="auto"/>
              <w:ind w:left="27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L</w:t>
            </w:r>
          </w:p>
        </w:tc>
        <w:tc>
          <w:tcPr>
            <w:tcW w:w="615" w:type="dxa"/>
            <w:vAlign w:val="top"/>
          </w:tcPr>
          <w:p w14:paraId="716F8A82">
            <w:pPr>
              <w:widowControl/>
              <w:kinsoku w:val="0"/>
              <w:autoSpaceDE w:val="0"/>
              <w:autoSpaceDN w:val="0"/>
              <w:adjustRightInd w:val="0"/>
              <w:snapToGrid w:val="0"/>
              <w:spacing w:before="102" w:line="192" w:lineRule="auto"/>
              <w:ind w:left="24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E</w:t>
            </w:r>
          </w:p>
        </w:tc>
        <w:tc>
          <w:tcPr>
            <w:tcW w:w="615" w:type="dxa"/>
            <w:vAlign w:val="top"/>
          </w:tcPr>
          <w:p w14:paraId="27024E08">
            <w:pPr>
              <w:widowControl/>
              <w:kinsoku w:val="0"/>
              <w:autoSpaceDE w:val="0"/>
              <w:autoSpaceDN w:val="0"/>
              <w:adjustRightInd w:val="0"/>
              <w:snapToGrid w:val="0"/>
              <w:spacing w:before="99" w:line="195" w:lineRule="auto"/>
              <w:ind w:left="24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C</w:t>
            </w:r>
          </w:p>
        </w:tc>
        <w:tc>
          <w:tcPr>
            <w:tcW w:w="732" w:type="dxa"/>
            <w:vAlign w:val="top"/>
          </w:tcPr>
          <w:p w14:paraId="5FA18C9E">
            <w:pPr>
              <w:widowControl/>
              <w:kinsoku w:val="0"/>
              <w:autoSpaceDE w:val="0"/>
              <w:autoSpaceDN w:val="0"/>
              <w:adjustRightInd w:val="0"/>
              <w:snapToGrid w:val="0"/>
              <w:spacing w:before="102" w:line="192" w:lineRule="auto"/>
              <w:ind w:left="29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2"/>
                <w:kern w:val="0"/>
                <w:sz w:val="20"/>
                <w:szCs w:val="20"/>
                <w:lang w:eastAsia="en-US"/>
              </w:rPr>
              <w:t>D</w:t>
            </w:r>
          </w:p>
        </w:tc>
        <w:tc>
          <w:tcPr>
            <w:tcW w:w="1512" w:type="dxa"/>
            <w:vMerge w:val="continue"/>
            <w:tcBorders>
              <w:top w:val="nil"/>
              <w:right w:val="single" w:color="000000" w:sz="10" w:space="0"/>
            </w:tcBorders>
            <w:vAlign w:val="top"/>
          </w:tcPr>
          <w:p w14:paraId="1D5C897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r>
      <w:tr w14:paraId="7AF4B4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restart"/>
            <w:tcBorders>
              <w:left w:val="single" w:color="000000" w:sz="10" w:space="0"/>
              <w:bottom w:val="nil"/>
            </w:tcBorders>
            <w:vAlign w:val="top"/>
          </w:tcPr>
          <w:p w14:paraId="4ABD00D6">
            <w:pPr>
              <w:widowControl/>
              <w:kinsoku w:val="0"/>
              <w:autoSpaceDE w:val="0"/>
              <w:autoSpaceDN w:val="0"/>
              <w:adjustRightInd w:val="0"/>
              <w:snapToGrid w:val="0"/>
              <w:spacing w:before="256" w:line="195" w:lineRule="auto"/>
              <w:ind w:left="29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1771" w:type="dxa"/>
            <w:vMerge w:val="restart"/>
            <w:tcBorders>
              <w:bottom w:val="nil"/>
            </w:tcBorders>
            <w:vAlign w:val="top"/>
          </w:tcPr>
          <w:p w14:paraId="4B7016E0">
            <w:pPr>
              <w:kinsoku w:val="0"/>
              <w:autoSpaceDE w:val="0"/>
              <w:autoSpaceDN w:val="0"/>
              <w:adjustRightInd w:val="0"/>
              <w:snapToGrid w:val="0"/>
              <w:spacing w:before="221" w:line="229" w:lineRule="auto"/>
              <w:ind w:left="46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加油作业</w:t>
            </w:r>
          </w:p>
        </w:tc>
        <w:tc>
          <w:tcPr>
            <w:tcW w:w="2563" w:type="dxa"/>
            <w:vAlign w:val="top"/>
          </w:tcPr>
          <w:p w14:paraId="403AD2B1">
            <w:pPr>
              <w:kinsoku w:val="0"/>
              <w:autoSpaceDE w:val="0"/>
              <w:autoSpaceDN w:val="0"/>
              <w:adjustRightInd w:val="0"/>
              <w:snapToGrid w:val="0"/>
              <w:spacing w:before="64" w:line="211" w:lineRule="auto"/>
              <w:ind w:left="76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火灾，爆炸</w:t>
            </w:r>
          </w:p>
        </w:tc>
        <w:tc>
          <w:tcPr>
            <w:tcW w:w="673" w:type="dxa"/>
            <w:vAlign w:val="top"/>
          </w:tcPr>
          <w:p w14:paraId="64B19905">
            <w:pPr>
              <w:widowControl/>
              <w:kinsoku w:val="0"/>
              <w:autoSpaceDE w:val="0"/>
              <w:autoSpaceDN w:val="0"/>
              <w:adjustRightInd w:val="0"/>
              <w:snapToGrid w:val="0"/>
              <w:spacing w:before="100" w:line="195" w:lineRule="auto"/>
              <w:ind w:left="212"/>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0.5</w:t>
            </w:r>
          </w:p>
        </w:tc>
        <w:tc>
          <w:tcPr>
            <w:tcW w:w="615" w:type="dxa"/>
            <w:vAlign w:val="top"/>
          </w:tcPr>
          <w:p w14:paraId="31E599AB">
            <w:pPr>
              <w:widowControl/>
              <w:kinsoku w:val="0"/>
              <w:autoSpaceDE w:val="0"/>
              <w:autoSpaceDN w:val="0"/>
              <w:adjustRightInd w:val="0"/>
              <w:snapToGrid w:val="0"/>
              <w:spacing w:before="100" w:line="195" w:lineRule="auto"/>
              <w:ind w:left="26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615" w:type="dxa"/>
            <w:vAlign w:val="top"/>
          </w:tcPr>
          <w:p w14:paraId="564BF582">
            <w:pPr>
              <w:widowControl/>
              <w:kinsoku w:val="0"/>
              <w:autoSpaceDE w:val="0"/>
              <w:autoSpaceDN w:val="0"/>
              <w:adjustRightInd w:val="0"/>
              <w:snapToGrid w:val="0"/>
              <w:spacing w:before="100" w:line="195" w:lineRule="auto"/>
              <w:ind w:left="23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15</w:t>
            </w:r>
          </w:p>
        </w:tc>
        <w:tc>
          <w:tcPr>
            <w:tcW w:w="732" w:type="dxa"/>
            <w:vAlign w:val="top"/>
          </w:tcPr>
          <w:p w14:paraId="3C371C8F">
            <w:pPr>
              <w:widowControl/>
              <w:kinsoku w:val="0"/>
              <w:autoSpaceDE w:val="0"/>
              <w:autoSpaceDN w:val="0"/>
              <w:adjustRightInd w:val="0"/>
              <w:snapToGrid w:val="0"/>
              <w:spacing w:before="100" w:line="195" w:lineRule="auto"/>
              <w:ind w:left="26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3"/>
                <w:kern w:val="0"/>
                <w:sz w:val="20"/>
                <w:szCs w:val="20"/>
                <w:lang w:eastAsia="en-US"/>
              </w:rPr>
              <w:t>45</w:t>
            </w:r>
          </w:p>
        </w:tc>
        <w:tc>
          <w:tcPr>
            <w:tcW w:w="1512" w:type="dxa"/>
            <w:tcBorders>
              <w:right w:val="single" w:color="000000" w:sz="10" w:space="0"/>
            </w:tcBorders>
            <w:vAlign w:val="top"/>
          </w:tcPr>
          <w:p w14:paraId="0EC08FC7">
            <w:pPr>
              <w:kinsoku w:val="0"/>
              <w:autoSpaceDE w:val="0"/>
              <w:autoSpaceDN w:val="0"/>
              <w:adjustRightInd w:val="0"/>
              <w:snapToGrid w:val="0"/>
              <w:spacing w:before="64" w:line="211"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一般危险</w:t>
            </w:r>
          </w:p>
        </w:tc>
      </w:tr>
      <w:tr w14:paraId="350FA7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continue"/>
            <w:tcBorders>
              <w:top w:val="nil"/>
              <w:left w:val="single" w:color="000000" w:sz="10" w:space="0"/>
            </w:tcBorders>
            <w:vAlign w:val="top"/>
          </w:tcPr>
          <w:p w14:paraId="38493AE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1771" w:type="dxa"/>
            <w:vMerge w:val="continue"/>
            <w:tcBorders>
              <w:top w:val="nil"/>
            </w:tcBorders>
            <w:vAlign w:val="top"/>
          </w:tcPr>
          <w:p w14:paraId="3033A56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63" w:type="dxa"/>
            <w:vAlign w:val="top"/>
          </w:tcPr>
          <w:p w14:paraId="3A523ECC">
            <w:pPr>
              <w:kinsoku w:val="0"/>
              <w:autoSpaceDE w:val="0"/>
              <w:autoSpaceDN w:val="0"/>
              <w:adjustRightInd w:val="0"/>
              <w:snapToGrid w:val="0"/>
              <w:spacing w:before="66" w:line="209" w:lineRule="auto"/>
              <w:ind w:left="86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车辆伤害</w:t>
            </w:r>
          </w:p>
        </w:tc>
        <w:tc>
          <w:tcPr>
            <w:tcW w:w="673" w:type="dxa"/>
            <w:vAlign w:val="top"/>
          </w:tcPr>
          <w:p w14:paraId="092BF64D">
            <w:pPr>
              <w:widowControl/>
              <w:kinsoku w:val="0"/>
              <w:autoSpaceDE w:val="0"/>
              <w:autoSpaceDN w:val="0"/>
              <w:adjustRightInd w:val="0"/>
              <w:snapToGrid w:val="0"/>
              <w:spacing w:before="102" w:line="195" w:lineRule="auto"/>
              <w:ind w:left="212"/>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0.5</w:t>
            </w:r>
          </w:p>
        </w:tc>
        <w:tc>
          <w:tcPr>
            <w:tcW w:w="615" w:type="dxa"/>
            <w:vAlign w:val="top"/>
          </w:tcPr>
          <w:p w14:paraId="621E952E">
            <w:pPr>
              <w:widowControl/>
              <w:kinsoku w:val="0"/>
              <w:autoSpaceDE w:val="0"/>
              <w:autoSpaceDN w:val="0"/>
              <w:adjustRightInd w:val="0"/>
              <w:snapToGrid w:val="0"/>
              <w:spacing w:before="102" w:line="195" w:lineRule="auto"/>
              <w:ind w:left="26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615" w:type="dxa"/>
            <w:vAlign w:val="top"/>
          </w:tcPr>
          <w:p w14:paraId="11D917BB">
            <w:pPr>
              <w:widowControl/>
              <w:kinsoku w:val="0"/>
              <w:autoSpaceDE w:val="0"/>
              <w:autoSpaceDN w:val="0"/>
              <w:adjustRightInd w:val="0"/>
              <w:snapToGrid w:val="0"/>
              <w:spacing w:before="102" w:line="195" w:lineRule="auto"/>
              <w:ind w:left="23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15</w:t>
            </w:r>
          </w:p>
        </w:tc>
        <w:tc>
          <w:tcPr>
            <w:tcW w:w="732" w:type="dxa"/>
            <w:vAlign w:val="top"/>
          </w:tcPr>
          <w:p w14:paraId="2C26575C">
            <w:pPr>
              <w:widowControl/>
              <w:kinsoku w:val="0"/>
              <w:autoSpaceDE w:val="0"/>
              <w:autoSpaceDN w:val="0"/>
              <w:adjustRightInd w:val="0"/>
              <w:snapToGrid w:val="0"/>
              <w:spacing w:before="102" w:line="195" w:lineRule="auto"/>
              <w:ind w:left="26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3"/>
                <w:kern w:val="0"/>
                <w:sz w:val="20"/>
                <w:szCs w:val="20"/>
                <w:lang w:eastAsia="en-US"/>
              </w:rPr>
              <w:t>45</w:t>
            </w:r>
          </w:p>
        </w:tc>
        <w:tc>
          <w:tcPr>
            <w:tcW w:w="1512" w:type="dxa"/>
            <w:tcBorders>
              <w:right w:val="single" w:color="000000" w:sz="10" w:space="0"/>
            </w:tcBorders>
            <w:vAlign w:val="top"/>
          </w:tcPr>
          <w:p w14:paraId="7F367151">
            <w:pPr>
              <w:kinsoku w:val="0"/>
              <w:autoSpaceDE w:val="0"/>
              <w:autoSpaceDN w:val="0"/>
              <w:adjustRightInd w:val="0"/>
              <w:snapToGrid w:val="0"/>
              <w:spacing w:before="66" w:line="209"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一般危险</w:t>
            </w:r>
          </w:p>
        </w:tc>
      </w:tr>
      <w:tr w14:paraId="149E6E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restart"/>
            <w:tcBorders>
              <w:left w:val="single" w:color="000000" w:sz="10" w:space="0"/>
              <w:bottom w:val="nil"/>
            </w:tcBorders>
            <w:vAlign w:val="top"/>
          </w:tcPr>
          <w:p w14:paraId="24B8DEEA">
            <w:pPr>
              <w:widowControl/>
              <w:kinsoku w:val="0"/>
              <w:autoSpaceDE w:val="0"/>
              <w:autoSpaceDN w:val="0"/>
              <w:adjustRightInd w:val="0"/>
              <w:snapToGrid w:val="0"/>
              <w:spacing w:before="260" w:line="195" w:lineRule="auto"/>
              <w:ind w:left="27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1771" w:type="dxa"/>
            <w:vMerge w:val="restart"/>
            <w:tcBorders>
              <w:bottom w:val="nil"/>
            </w:tcBorders>
            <w:vAlign w:val="top"/>
          </w:tcPr>
          <w:p w14:paraId="26F431B7">
            <w:pPr>
              <w:kinsoku w:val="0"/>
              <w:autoSpaceDE w:val="0"/>
              <w:autoSpaceDN w:val="0"/>
              <w:adjustRightInd w:val="0"/>
              <w:snapToGrid w:val="0"/>
              <w:spacing w:before="224" w:line="229" w:lineRule="auto"/>
              <w:ind w:left="46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卸油作业</w:t>
            </w:r>
          </w:p>
        </w:tc>
        <w:tc>
          <w:tcPr>
            <w:tcW w:w="2563" w:type="dxa"/>
            <w:vAlign w:val="top"/>
          </w:tcPr>
          <w:p w14:paraId="5448DCF6">
            <w:pPr>
              <w:kinsoku w:val="0"/>
              <w:autoSpaceDE w:val="0"/>
              <w:autoSpaceDN w:val="0"/>
              <w:adjustRightInd w:val="0"/>
              <w:snapToGrid w:val="0"/>
              <w:spacing w:before="70" w:line="205" w:lineRule="auto"/>
              <w:ind w:left="76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火灾，爆炸</w:t>
            </w:r>
          </w:p>
        </w:tc>
        <w:tc>
          <w:tcPr>
            <w:tcW w:w="673" w:type="dxa"/>
            <w:vAlign w:val="top"/>
          </w:tcPr>
          <w:p w14:paraId="522AE8E2">
            <w:pPr>
              <w:widowControl/>
              <w:kinsoku w:val="0"/>
              <w:autoSpaceDE w:val="0"/>
              <w:autoSpaceDN w:val="0"/>
              <w:adjustRightInd w:val="0"/>
              <w:snapToGrid w:val="0"/>
              <w:spacing w:before="107" w:line="194" w:lineRule="auto"/>
              <w:ind w:left="30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15" w:type="dxa"/>
            <w:vAlign w:val="top"/>
          </w:tcPr>
          <w:p w14:paraId="29DA13B3">
            <w:pPr>
              <w:widowControl/>
              <w:kinsoku w:val="0"/>
              <w:autoSpaceDE w:val="0"/>
              <w:autoSpaceDN w:val="0"/>
              <w:adjustRightInd w:val="0"/>
              <w:snapToGrid w:val="0"/>
              <w:spacing w:before="107" w:line="194" w:lineRule="auto"/>
              <w:ind w:left="26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615" w:type="dxa"/>
            <w:vAlign w:val="top"/>
          </w:tcPr>
          <w:p w14:paraId="59FEF46E">
            <w:pPr>
              <w:widowControl/>
              <w:kinsoku w:val="0"/>
              <w:autoSpaceDE w:val="0"/>
              <w:autoSpaceDN w:val="0"/>
              <w:adjustRightInd w:val="0"/>
              <w:snapToGrid w:val="0"/>
              <w:spacing w:before="107" w:line="194" w:lineRule="auto"/>
              <w:ind w:left="23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15</w:t>
            </w:r>
          </w:p>
        </w:tc>
        <w:tc>
          <w:tcPr>
            <w:tcW w:w="732" w:type="dxa"/>
            <w:vAlign w:val="top"/>
          </w:tcPr>
          <w:p w14:paraId="5378662F">
            <w:pPr>
              <w:widowControl/>
              <w:kinsoku w:val="0"/>
              <w:autoSpaceDE w:val="0"/>
              <w:autoSpaceDN w:val="0"/>
              <w:adjustRightInd w:val="0"/>
              <w:snapToGrid w:val="0"/>
              <w:spacing w:before="107" w:line="194" w:lineRule="auto"/>
              <w:ind w:left="26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3"/>
                <w:kern w:val="0"/>
                <w:sz w:val="20"/>
                <w:szCs w:val="20"/>
                <w:lang w:eastAsia="en-US"/>
              </w:rPr>
              <w:t>45</w:t>
            </w:r>
          </w:p>
        </w:tc>
        <w:tc>
          <w:tcPr>
            <w:tcW w:w="1512" w:type="dxa"/>
            <w:tcBorders>
              <w:right w:val="single" w:color="000000" w:sz="10" w:space="0"/>
            </w:tcBorders>
            <w:vAlign w:val="top"/>
          </w:tcPr>
          <w:p w14:paraId="6641F2EF">
            <w:pPr>
              <w:kinsoku w:val="0"/>
              <w:autoSpaceDE w:val="0"/>
              <w:autoSpaceDN w:val="0"/>
              <w:adjustRightInd w:val="0"/>
              <w:snapToGrid w:val="0"/>
              <w:spacing w:before="70" w:line="205"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一般危险</w:t>
            </w:r>
          </w:p>
        </w:tc>
      </w:tr>
      <w:tr w14:paraId="3A1882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continue"/>
            <w:tcBorders>
              <w:top w:val="nil"/>
              <w:left w:val="single" w:color="000000" w:sz="10" w:space="0"/>
            </w:tcBorders>
            <w:vAlign w:val="top"/>
          </w:tcPr>
          <w:p w14:paraId="125E98E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1771" w:type="dxa"/>
            <w:vMerge w:val="continue"/>
            <w:tcBorders>
              <w:top w:val="nil"/>
            </w:tcBorders>
            <w:vAlign w:val="top"/>
          </w:tcPr>
          <w:p w14:paraId="7A53E94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63" w:type="dxa"/>
            <w:vAlign w:val="top"/>
          </w:tcPr>
          <w:p w14:paraId="3A609B24">
            <w:pPr>
              <w:kinsoku w:val="0"/>
              <w:autoSpaceDE w:val="0"/>
              <w:autoSpaceDN w:val="0"/>
              <w:adjustRightInd w:val="0"/>
              <w:snapToGrid w:val="0"/>
              <w:spacing w:before="72" w:line="204" w:lineRule="auto"/>
              <w:ind w:left="86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车辆伤害</w:t>
            </w:r>
          </w:p>
        </w:tc>
        <w:tc>
          <w:tcPr>
            <w:tcW w:w="673" w:type="dxa"/>
            <w:vAlign w:val="top"/>
          </w:tcPr>
          <w:p w14:paraId="69F26F8C">
            <w:pPr>
              <w:widowControl/>
              <w:kinsoku w:val="0"/>
              <w:autoSpaceDE w:val="0"/>
              <w:autoSpaceDN w:val="0"/>
              <w:adjustRightInd w:val="0"/>
              <w:snapToGrid w:val="0"/>
              <w:spacing w:before="108" w:line="193" w:lineRule="auto"/>
              <w:ind w:left="212"/>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0.5</w:t>
            </w:r>
          </w:p>
        </w:tc>
        <w:tc>
          <w:tcPr>
            <w:tcW w:w="615" w:type="dxa"/>
            <w:vAlign w:val="top"/>
          </w:tcPr>
          <w:p w14:paraId="01BF03B1">
            <w:pPr>
              <w:widowControl/>
              <w:kinsoku w:val="0"/>
              <w:autoSpaceDE w:val="0"/>
              <w:autoSpaceDN w:val="0"/>
              <w:adjustRightInd w:val="0"/>
              <w:snapToGrid w:val="0"/>
              <w:spacing w:before="108" w:line="193" w:lineRule="auto"/>
              <w:ind w:left="26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615" w:type="dxa"/>
            <w:vAlign w:val="top"/>
          </w:tcPr>
          <w:p w14:paraId="083F328D">
            <w:pPr>
              <w:widowControl/>
              <w:kinsoku w:val="0"/>
              <w:autoSpaceDE w:val="0"/>
              <w:autoSpaceDN w:val="0"/>
              <w:adjustRightInd w:val="0"/>
              <w:snapToGrid w:val="0"/>
              <w:spacing w:before="108" w:line="193" w:lineRule="auto"/>
              <w:ind w:left="23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15</w:t>
            </w:r>
          </w:p>
        </w:tc>
        <w:tc>
          <w:tcPr>
            <w:tcW w:w="732" w:type="dxa"/>
            <w:vAlign w:val="top"/>
          </w:tcPr>
          <w:p w14:paraId="0CDAA7D2">
            <w:pPr>
              <w:widowControl/>
              <w:kinsoku w:val="0"/>
              <w:autoSpaceDE w:val="0"/>
              <w:autoSpaceDN w:val="0"/>
              <w:adjustRightInd w:val="0"/>
              <w:snapToGrid w:val="0"/>
              <w:spacing w:before="108" w:line="193" w:lineRule="auto"/>
              <w:ind w:left="19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3"/>
                <w:kern w:val="0"/>
                <w:sz w:val="20"/>
                <w:szCs w:val="20"/>
                <w:lang w:eastAsia="en-US"/>
              </w:rPr>
              <w:t>22.5</w:t>
            </w:r>
          </w:p>
        </w:tc>
        <w:tc>
          <w:tcPr>
            <w:tcW w:w="1512" w:type="dxa"/>
            <w:tcBorders>
              <w:right w:val="single" w:color="000000" w:sz="10" w:space="0"/>
            </w:tcBorders>
            <w:vAlign w:val="top"/>
          </w:tcPr>
          <w:p w14:paraId="11CAD9E3">
            <w:pPr>
              <w:kinsoku w:val="0"/>
              <w:autoSpaceDE w:val="0"/>
              <w:autoSpaceDN w:val="0"/>
              <w:adjustRightInd w:val="0"/>
              <w:snapToGrid w:val="0"/>
              <w:spacing w:before="72" w:line="204"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一般危险</w:t>
            </w:r>
          </w:p>
        </w:tc>
      </w:tr>
      <w:tr w14:paraId="791C5B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restart"/>
            <w:tcBorders>
              <w:left w:val="single" w:color="000000" w:sz="10" w:space="0"/>
              <w:bottom w:val="nil"/>
            </w:tcBorders>
            <w:vAlign w:val="top"/>
          </w:tcPr>
          <w:p w14:paraId="748D6913">
            <w:pPr>
              <w:widowControl/>
              <w:kinsoku w:val="0"/>
              <w:autoSpaceDE w:val="0"/>
              <w:autoSpaceDN w:val="0"/>
              <w:adjustRightInd w:val="0"/>
              <w:snapToGrid w:val="0"/>
              <w:spacing w:line="333" w:lineRule="auto"/>
              <w:jc w:val="left"/>
              <w:textAlignment w:val="baseline"/>
              <w:rPr>
                <w:rFonts w:hint="eastAsia" w:ascii="宋体" w:hAnsi="宋体" w:eastAsia="宋体" w:cs="宋体"/>
                <w:snapToGrid w:val="0"/>
                <w:color w:val="000000"/>
                <w:kern w:val="0"/>
                <w:sz w:val="28"/>
                <w:szCs w:val="28"/>
                <w:lang w:eastAsia="en-US"/>
              </w:rPr>
            </w:pPr>
          </w:p>
          <w:p w14:paraId="6A3ABC6E">
            <w:pPr>
              <w:widowControl/>
              <w:kinsoku w:val="0"/>
              <w:autoSpaceDE w:val="0"/>
              <w:autoSpaceDN w:val="0"/>
              <w:adjustRightInd w:val="0"/>
              <w:snapToGrid w:val="0"/>
              <w:spacing w:line="334" w:lineRule="auto"/>
              <w:jc w:val="left"/>
              <w:textAlignment w:val="baseline"/>
              <w:rPr>
                <w:rFonts w:hint="eastAsia" w:ascii="宋体" w:hAnsi="宋体" w:eastAsia="宋体" w:cs="宋体"/>
                <w:snapToGrid w:val="0"/>
                <w:color w:val="000000"/>
                <w:kern w:val="0"/>
                <w:sz w:val="28"/>
                <w:szCs w:val="28"/>
                <w:lang w:eastAsia="en-US"/>
              </w:rPr>
            </w:pPr>
          </w:p>
          <w:p w14:paraId="47DE1506">
            <w:pPr>
              <w:widowControl/>
              <w:kinsoku w:val="0"/>
              <w:autoSpaceDE w:val="0"/>
              <w:autoSpaceDN w:val="0"/>
              <w:adjustRightInd w:val="0"/>
              <w:snapToGrid w:val="0"/>
              <w:spacing w:before="57" w:line="195" w:lineRule="auto"/>
              <w:ind w:left="277"/>
              <w:jc w:val="left"/>
              <w:textAlignment w:val="baseline"/>
              <w:rPr>
                <w:rFonts w:hint="eastAsia" w:ascii="宋体" w:hAnsi="宋体" w:eastAsia="宋体" w:cs="宋体"/>
                <w:snapToGrid w:val="0"/>
                <w:color w:val="000000"/>
                <w:kern w:val="0"/>
                <w:sz w:val="28"/>
                <w:szCs w:val="28"/>
                <w:lang w:eastAsia="en-US"/>
              </w:rPr>
            </w:pPr>
            <w:r>
              <w:rPr>
                <w:rFonts w:hint="eastAsia" w:ascii="宋体" w:hAnsi="宋体" w:eastAsia="宋体" w:cs="宋体"/>
                <w:snapToGrid w:val="0"/>
                <w:color w:val="000000"/>
                <w:kern w:val="0"/>
                <w:sz w:val="28"/>
                <w:szCs w:val="28"/>
                <w:lang w:eastAsia="en-US"/>
              </w:rPr>
              <w:t>3</w:t>
            </w:r>
          </w:p>
        </w:tc>
        <w:tc>
          <w:tcPr>
            <w:tcW w:w="1771" w:type="dxa"/>
            <w:vMerge w:val="restart"/>
            <w:tcBorders>
              <w:bottom w:val="nil"/>
            </w:tcBorders>
            <w:vAlign w:val="top"/>
          </w:tcPr>
          <w:p w14:paraId="52511008">
            <w:pPr>
              <w:widowControl/>
              <w:kinsoku w:val="0"/>
              <w:autoSpaceDE w:val="0"/>
              <w:autoSpaceDN w:val="0"/>
              <w:adjustRightInd w:val="0"/>
              <w:snapToGrid w:val="0"/>
              <w:spacing w:line="312" w:lineRule="auto"/>
              <w:jc w:val="left"/>
              <w:textAlignment w:val="baseline"/>
              <w:rPr>
                <w:rFonts w:ascii="Arial" w:hAnsi="Arial" w:eastAsia="Arial" w:cs="Arial"/>
                <w:snapToGrid w:val="0"/>
                <w:color w:val="000000"/>
                <w:kern w:val="0"/>
                <w:sz w:val="21"/>
                <w:lang w:eastAsia="en-US"/>
              </w:rPr>
            </w:pPr>
          </w:p>
          <w:p w14:paraId="7B94EF91">
            <w:pPr>
              <w:widowControl/>
              <w:kinsoku w:val="0"/>
              <w:autoSpaceDE w:val="0"/>
              <w:autoSpaceDN w:val="0"/>
              <w:adjustRightInd w:val="0"/>
              <w:snapToGrid w:val="0"/>
              <w:spacing w:line="312" w:lineRule="auto"/>
              <w:jc w:val="left"/>
              <w:textAlignment w:val="baseline"/>
              <w:rPr>
                <w:rFonts w:ascii="Arial" w:hAnsi="Arial" w:eastAsia="Arial" w:cs="Arial"/>
                <w:snapToGrid w:val="0"/>
                <w:color w:val="000000"/>
                <w:kern w:val="0"/>
                <w:sz w:val="21"/>
                <w:lang w:eastAsia="en-US"/>
              </w:rPr>
            </w:pPr>
          </w:p>
          <w:p w14:paraId="787D5137">
            <w:pPr>
              <w:kinsoku w:val="0"/>
              <w:autoSpaceDE w:val="0"/>
              <w:autoSpaceDN w:val="0"/>
              <w:adjustRightInd w:val="0"/>
              <w:snapToGrid w:val="0"/>
              <w:spacing w:before="65" w:line="228" w:lineRule="auto"/>
              <w:ind w:left="46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维修作业</w:t>
            </w:r>
          </w:p>
        </w:tc>
        <w:tc>
          <w:tcPr>
            <w:tcW w:w="2563" w:type="dxa"/>
            <w:vAlign w:val="top"/>
          </w:tcPr>
          <w:p w14:paraId="3D05E2F8">
            <w:pPr>
              <w:kinsoku w:val="0"/>
              <w:autoSpaceDE w:val="0"/>
              <w:autoSpaceDN w:val="0"/>
              <w:adjustRightInd w:val="0"/>
              <w:snapToGrid w:val="0"/>
              <w:spacing w:before="74" w:line="202" w:lineRule="auto"/>
              <w:ind w:left="107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触电</w:t>
            </w:r>
          </w:p>
        </w:tc>
        <w:tc>
          <w:tcPr>
            <w:tcW w:w="673" w:type="dxa"/>
            <w:vAlign w:val="top"/>
          </w:tcPr>
          <w:p w14:paraId="3CA41C33">
            <w:pPr>
              <w:widowControl/>
              <w:kinsoku w:val="0"/>
              <w:autoSpaceDE w:val="0"/>
              <w:autoSpaceDN w:val="0"/>
              <w:adjustRightInd w:val="0"/>
              <w:snapToGrid w:val="0"/>
              <w:spacing w:before="109" w:line="191" w:lineRule="auto"/>
              <w:ind w:left="30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15" w:type="dxa"/>
            <w:vAlign w:val="top"/>
          </w:tcPr>
          <w:p w14:paraId="111050A7">
            <w:pPr>
              <w:widowControl/>
              <w:kinsoku w:val="0"/>
              <w:autoSpaceDE w:val="0"/>
              <w:autoSpaceDN w:val="0"/>
              <w:adjustRightInd w:val="0"/>
              <w:snapToGrid w:val="0"/>
              <w:spacing w:before="109" w:line="191" w:lineRule="auto"/>
              <w:ind w:left="26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615" w:type="dxa"/>
            <w:vAlign w:val="top"/>
          </w:tcPr>
          <w:p w14:paraId="2B968DC0">
            <w:pPr>
              <w:widowControl/>
              <w:kinsoku w:val="0"/>
              <w:autoSpaceDE w:val="0"/>
              <w:autoSpaceDN w:val="0"/>
              <w:adjustRightInd w:val="0"/>
              <w:snapToGrid w:val="0"/>
              <w:spacing w:before="112" w:line="188" w:lineRule="auto"/>
              <w:ind w:left="26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732" w:type="dxa"/>
            <w:vAlign w:val="top"/>
          </w:tcPr>
          <w:p w14:paraId="260A584C">
            <w:pPr>
              <w:widowControl/>
              <w:kinsoku w:val="0"/>
              <w:autoSpaceDE w:val="0"/>
              <w:autoSpaceDN w:val="0"/>
              <w:adjustRightInd w:val="0"/>
              <w:snapToGrid w:val="0"/>
              <w:spacing w:before="109" w:line="191" w:lineRule="auto"/>
              <w:ind w:left="28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14</w:t>
            </w:r>
          </w:p>
        </w:tc>
        <w:tc>
          <w:tcPr>
            <w:tcW w:w="1512" w:type="dxa"/>
            <w:tcBorders>
              <w:right w:val="single" w:color="000000" w:sz="10" w:space="0"/>
            </w:tcBorders>
            <w:vAlign w:val="top"/>
          </w:tcPr>
          <w:p w14:paraId="227C2B2B">
            <w:pPr>
              <w:kinsoku w:val="0"/>
              <w:autoSpaceDE w:val="0"/>
              <w:autoSpaceDN w:val="0"/>
              <w:adjustRightInd w:val="0"/>
              <w:snapToGrid w:val="0"/>
              <w:spacing w:before="74" w:line="202" w:lineRule="auto"/>
              <w:ind w:left="34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稍有危险</w:t>
            </w:r>
          </w:p>
        </w:tc>
      </w:tr>
      <w:tr w14:paraId="743CE5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continue"/>
            <w:tcBorders>
              <w:top w:val="nil"/>
              <w:left w:val="single" w:color="000000" w:sz="10" w:space="0"/>
              <w:bottom w:val="nil"/>
            </w:tcBorders>
            <w:vAlign w:val="top"/>
          </w:tcPr>
          <w:p w14:paraId="5C3B76D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1771" w:type="dxa"/>
            <w:vMerge w:val="continue"/>
            <w:tcBorders>
              <w:top w:val="nil"/>
              <w:bottom w:val="nil"/>
            </w:tcBorders>
            <w:vAlign w:val="top"/>
          </w:tcPr>
          <w:p w14:paraId="34D454C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63" w:type="dxa"/>
            <w:vAlign w:val="top"/>
          </w:tcPr>
          <w:p w14:paraId="319EC0E9">
            <w:pPr>
              <w:kinsoku w:val="0"/>
              <w:autoSpaceDE w:val="0"/>
              <w:autoSpaceDN w:val="0"/>
              <w:adjustRightInd w:val="0"/>
              <w:snapToGrid w:val="0"/>
              <w:spacing w:before="75" w:line="201" w:lineRule="auto"/>
              <w:ind w:left="109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中毒</w:t>
            </w:r>
          </w:p>
        </w:tc>
        <w:tc>
          <w:tcPr>
            <w:tcW w:w="673" w:type="dxa"/>
            <w:vAlign w:val="top"/>
          </w:tcPr>
          <w:p w14:paraId="13325E16">
            <w:pPr>
              <w:widowControl/>
              <w:kinsoku w:val="0"/>
              <w:autoSpaceDE w:val="0"/>
              <w:autoSpaceDN w:val="0"/>
              <w:adjustRightInd w:val="0"/>
              <w:snapToGrid w:val="0"/>
              <w:spacing w:before="111" w:line="189" w:lineRule="auto"/>
              <w:ind w:left="30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15" w:type="dxa"/>
            <w:vAlign w:val="top"/>
          </w:tcPr>
          <w:p w14:paraId="580B8D18">
            <w:pPr>
              <w:widowControl/>
              <w:kinsoku w:val="0"/>
              <w:autoSpaceDE w:val="0"/>
              <w:autoSpaceDN w:val="0"/>
              <w:adjustRightInd w:val="0"/>
              <w:snapToGrid w:val="0"/>
              <w:spacing w:before="111" w:line="189" w:lineRule="auto"/>
              <w:ind w:left="26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615" w:type="dxa"/>
            <w:vAlign w:val="top"/>
          </w:tcPr>
          <w:p w14:paraId="7D74835C">
            <w:pPr>
              <w:widowControl/>
              <w:kinsoku w:val="0"/>
              <w:autoSpaceDE w:val="0"/>
              <w:autoSpaceDN w:val="0"/>
              <w:adjustRightInd w:val="0"/>
              <w:snapToGrid w:val="0"/>
              <w:spacing w:before="111" w:line="189" w:lineRule="auto"/>
              <w:ind w:left="26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732" w:type="dxa"/>
            <w:vAlign w:val="top"/>
          </w:tcPr>
          <w:p w14:paraId="1FC7A6B7">
            <w:pPr>
              <w:widowControl/>
              <w:kinsoku w:val="0"/>
              <w:autoSpaceDE w:val="0"/>
              <w:autoSpaceDN w:val="0"/>
              <w:adjustRightInd w:val="0"/>
              <w:snapToGrid w:val="0"/>
              <w:spacing w:before="111" w:line="189" w:lineRule="auto"/>
              <w:ind w:left="32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1512" w:type="dxa"/>
            <w:tcBorders>
              <w:right w:val="single" w:color="000000" w:sz="10" w:space="0"/>
            </w:tcBorders>
            <w:vAlign w:val="top"/>
          </w:tcPr>
          <w:p w14:paraId="47F05FCF">
            <w:pPr>
              <w:kinsoku w:val="0"/>
              <w:autoSpaceDE w:val="0"/>
              <w:autoSpaceDN w:val="0"/>
              <w:adjustRightInd w:val="0"/>
              <w:snapToGrid w:val="0"/>
              <w:spacing w:before="75" w:line="201" w:lineRule="auto"/>
              <w:ind w:left="34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稍有危险</w:t>
            </w:r>
          </w:p>
        </w:tc>
      </w:tr>
      <w:tr w14:paraId="2C80AF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continue"/>
            <w:tcBorders>
              <w:top w:val="nil"/>
              <w:left w:val="single" w:color="000000" w:sz="10" w:space="0"/>
              <w:bottom w:val="nil"/>
            </w:tcBorders>
            <w:vAlign w:val="top"/>
          </w:tcPr>
          <w:p w14:paraId="6AD154E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1771" w:type="dxa"/>
            <w:vMerge w:val="continue"/>
            <w:tcBorders>
              <w:top w:val="nil"/>
              <w:bottom w:val="nil"/>
            </w:tcBorders>
            <w:vAlign w:val="top"/>
          </w:tcPr>
          <w:p w14:paraId="6BD52E2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63" w:type="dxa"/>
            <w:vAlign w:val="top"/>
          </w:tcPr>
          <w:p w14:paraId="39AB7BB0">
            <w:pPr>
              <w:kinsoku w:val="0"/>
              <w:autoSpaceDE w:val="0"/>
              <w:autoSpaceDN w:val="0"/>
              <w:adjustRightInd w:val="0"/>
              <w:snapToGrid w:val="0"/>
              <w:spacing w:before="76" w:line="200" w:lineRule="auto"/>
              <w:ind w:left="86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物体打击</w:t>
            </w:r>
          </w:p>
        </w:tc>
        <w:tc>
          <w:tcPr>
            <w:tcW w:w="673" w:type="dxa"/>
            <w:vAlign w:val="top"/>
          </w:tcPr>
          <w:p w14:paraId="05450D50">
            <w:pPr>
              <w:widowControl/>
              <w:kinsoku w:val="0"/>
              <w:autoSpaceDE w:val="0"/>
              <w:autoSpaceDN w:val="0"/>
              <w:adjustRightInd w:val="0"/>
              <w:snapToGrid w:val="0"/>
              <w:spacing w:before="112" w:line="188" w:lineRule="auto"/>
              <w:ind w:left="30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15" w:type="dxa"/>
            <w:vAlign w:val="top"/>
          </w:tcPr>
          <w:p w14:paraId="3890DAE4">
            <w:pPr>
              <w:widowControl/>
              <w:kinsoku w:val="0"/>
              <w:autoSpaceDE w:val="0"/>
              <w:autoSpaceDN w:val="0"/>
              <w:adjustRightInd w:val="0"/>
              <w:snapToGrid w:val="0"/>
              <w:spacing w:before="112" w:line="188" w:lineRule="auto"/>
              <w:ind w:left="26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615" w:type="dxa"/>
            <w:vAlign w:val="top"/>
          </w:tcPr>
          <w:p w14:paraId="50CAAFEA">
            <w:pPr>
              <w:widowControl/>
              <w:kinsoku w:val="0"/>
              <w:autoSpaceDE w:val="0"/>
              <w:autoSpaceDN w:val="0"/>
              <w:adjustRightInd w:val="0"/>
              <w:snapToGrid w:val="0"/>
              <w:spacing w:before="112" w:line="188" w:lineRule="auto"/>
              <w:ind w:left="26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732" w:type="dxa"/>
            <w:vAlign w:val="top"/>
          </w:tcPr>
          <w:p w14:paraId="14D9B14C">
            <w:pPr>
              <w:widowControl/>
              <w:kinsoku w:val="0"/>
              <w:autoSpaceDE w:val="0"/>
              <w:autoSpaceDN w:val="0"/>
              <w:adjustRightInd w:val="0"/>
              <w:snapToGrid w:val="0"/>
              <w:spacing w:before="112" w:line="188" w:lineRule="auto"/>
              <w:ind w:left="32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1512" w:type="dxa"/>
            <w:tcBorders>
              <w:right w:val="single" w:color="000000" w:sz="10" w:space="0"/>
            </w:tcBorders>
            <w:vAlign w:val="top"/>
          </w:tcPr>
          <w:p w14:paraId="302E49B5">
            <w:pPr>
              <w:kinsoku w:val="0"/>
              <w:autoSpaceDE w:val="0"/>
              <w:autoSpaceDN w:val="0"/>
              <w:adjustRightInd w:val="0"/>
              <w:snapToGrid w:val="0"/>
              <w:spacing w:before="76" w:line="200" w:lineRule="auto"/>
              <w:ind w:left="34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稍有危险</w:t>
            </w:r>
          </w:p>
        </w:tc>
      </w:tr>
      <w:tr w14:paraId="60AB1C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continue"/>
            <w:tcBorders>
              <w:top w:val="nil"/>
              <w:left w:val="single" w:color="000000" w:sz="10" w:space="0"/>
              <w:bottom w:val="nil"/>
            </w:tcBorders>
            <w:vAlign w:val="top"/>
          </w:tcPr>
          <w:p w14:paraId="794822B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1771" w:type="dxa"/>
            <w:vMerge w:val="continue"/>
            <w:tcBorders>
              <w:top w:val="nil"/>
              <w:bottom w:val="nil"/>
            </w:tcBorders>
            <w:vAlign w:val="top"/>
          </w:tcPr>
          <w:p w14:paraId="1D65637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63" w:type="dxa"/>
            <w:vAlign w:val="top"/>
          </w:tcPr>
          <w:p w14:paraId="574D0CF4">
            <w:pPr>
              <w:kinsoku w:val="0"/>
              <w:autoSpaceDE w:val="0"/>
              <w:autoSpaceDN w:val="0"/>
              <w:adjustRightInd w:val="0"/>
              <w:snapToGrid w:val="0"/>
              <w:spacing w:before="78" w:line="198" w:lineRule="auto"/>
              <w:ind w:left="86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高处坠落</w:t>
            </w:r>
          </w:p>
        </w:tc>
        <w:tc>
          <w:tcPr>
            <w:tcW w:w="673" w:type="dxa"/>
            <w:vAlign w:val="top"/>
          </w:tcPr>
          <w:p w14:paraId="41018060">
            <w:pPr>
              <w:widowControl/>
              <w:kinsoku w:val="0"/>
              <w:autoSpaceDE w:val="0"/>
              <w:autoSpaceDN w:val="0"/>
              <w:adjustRightInd w:val="0"/>
              <w:snapToGrid w:val="0"/>
              <w:spacing w:before="114" w:line="186" w:lineRule="auto"/>
              <w:ind w:left="30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15" w:type="dxa"/>
            <w:vAlign w:val="top"/>
          </w:tcPr>
          <w:p w14:paraId="1D58933D">
            <w:pPr>
              <w:widowControl/>
              <w:kinsoku w:val="0"/>
              <w:autoSpaceDE w:val="0"/>
              <w:autoSpaceDN w:val="0"/>
              <w:adjustRightInd w:val="0"/>
              <w:snapToGrid w:val="0"/>
              <w:spacing w:before="114" w:line="186" w:lineRule="auto"/>
              <w:ind w:left="26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615" w:type="dxa"/>
            <w:vAlign w:val="top"/>
          </w:tcPr>
          <w:p w14:paraId="1CFD813F">
            <w:pPr>
              <w:widowControl/>
              <w:kinsoku w:val="0"/>
              <w:autoSpaceDE w:val="0"/>
              <w:autoSpaceDN w:val="0"/>
              <w:adjustRightInd w:val="0"/>
              <w:snapToGrid w:val="0"/>
              <w:spacing w:before="117" w:line="183" w:lineRule="auto"/>
              <w:ind w:left="26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732" w:type="dxa"/>
            <w:vAlign w:val="top"/>
          </w:tcPr>
          <w:p w14:paraId="456A2F77">
            <w:pPr>
              <w:widowControl/>
              <w:kinsoku w:val="0"/>
              <w:autoSpaceDE w:val="0"/>
              <w:autoSpaceDN w:val="0"/>
              <w:adjustRightInd w:val="0"/>
              <w:snapToGrid w:val="0"/>
              <w:spacing w:before="114" w:line="186" w:lineRule="auto"/>
              <w:ind w:left="28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14</w:t>
            </w:r>
          </w:p>
        </w:tc>
        <w:tc>
          <w:tcPr>
            <w:tcW w:w="1512" w:type="dxa"/>
            <w:tcBorders>
              <w:right w:val="single" w:color="000000" w:sz="10" w:space="0"/>
            </w:tcBorders>
            <w:vAlign w:val="top"/>
          </w:tcPr>
          <w:p w14:paraId="22BCC232">
            <w:pPr>
              <w:kinsoku w:val="0"/>
              <w:autoSpaceDE w:val="0"/>
              <w:autoSpaceDN w:val="0"/>
              <w:adjustRightInd w:val="0"/>
              <w:snapToGrid w:val="0"/>
              <w:spacing w:before="78" w:line="198" w:lineRule="auto"/>
              <w:ind w:left="34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稍有危险</w:t>
            </w:r>
          </w:p>
        </w:tc>
      </w:tr>
      <w:tr w14:paraId="2A8AF3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679" w:type="dxa"/>
            <w:vMerge w:val="continue"/>
            <w:tcBorders>
              <w:top w:val="nil"/>
              <w:left w:val="single" w:color="000000" w:sz="10" w:space="0"/>
            </w:tcBorders>
            <w:vAlign w:val="top"/>
          </w:tcPr>
          <w:p w14:paraId="53C4633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1771" w:type="dxa"/>
            <w:vMerge w:val="continue"/>
            <w:tcBorders>
              <w:top w:val="nil"/>
            </w:tcBorders>
            <w:vAlign w:val="top"/>
          </w:tcPr>
          <w:p w14:paraId="2E2DB27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2563" w:type="dxa"/>
            <w:vAlign w:val="top"/>
          </w:tcPr>
          <w:p w14:paraId="37AF9B62">
            <w:pPr>
              <w:kinsoku w:val="0"/>
              <w:autoSpaceDE w:val="0"/>
              <w:autoSpaceDN w:val="0"/>
              <w:adjustRightInd w:val="0"/>
              <w:snapToGrid w:val="0"/>
              <w:spacing w:before="82" w:line="194" w:lineRule="auto"/>
              <w:ind w:left="76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火灾，爆炸</w:t>
            </w:r>
          </w:p>
        </w:tc>
        <w:tc>
          <w:tcPr>
            <w:tcW w:w="673" w:type="dxa"/>
            <w:vAlign w:val="top"/>
          </w:tcPr>
          <w:p w14:paraId="41C40EB7">
            <w:pPr>
              <w:widowControl/>
              <w:kinsoku w:val="0"/>
              <w:autoSpaceDE w:val="0"/>
              <w:autoSpaceDN w:val="0"/>
              <w:adjustRightInd w:val="0"/>
              <w:snapToGrid w:val="0"/>
              <w:spacing w:before="118" w:line="182" w:lineRule="auto"/>
              <w:ind w:left="212"/>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0.5</w:t>
            </w:r>
          </w:p>
        </w:tc>
        <w:tc>
          <w:tcPr>
            <w:tcW w:w="615" w:type="dxa"/>
            <w:vAlign w:val="top"/>
          </w:tcPr>
          <w:p w14:paraId="6AFDB00B">
            <w:pPr>
              <w:widowControl/>
              <w:kinsoku w:val="0"/>
              <w:autoSpaceDE w:val="0"/>
              <w:autoSpaceDN w:val="0"/>
              <w:adjustRightInd w:val="0"/>
              <w:snapToGrid w:val="0"/>
              <w:spacing w:before="118" w:line="182" w:lineRule="auto"/>
              <w:ind w:left="26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615" w:type="dxa"/>
            <w:vAlign w:val="top"/>
          </w:tcPr>
          <w:p w14:paraId="059C071A">
            <w:pPr>
              <w:widowControl/>
              <w:kinsoku w:val="0"/>
              <w:autoSpaceDE w:val="0"/>
              <w:autoSpaceDN w:val="0"/>
              <w:adjustRightInd w:val="0"/>
              <w:snapToGrid w:val="0"/>
              <w:spacing w:before="118" w:line="182" w:lineRule="auto"/>
              <w:ind w:left="23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15</w:t>
            </w:r>
          </w:p>
        </w:tc>
        <w:tc>
          <w:tcPr>
            <w:tcW w:w="732" w:type="dxa"/>
            <w:vAlign w:val="top"/>
          </w:tcPr>
          <w:p w14:paraId="36AE37C3">
            <w:pPr>
              <w:widowControl/>
              <w:kinsoku w:val="0"/>
              <w:autoSpaceDE w:val="0"/>
              <w:autoSpaceDN w:val="0"/>
              <w:adjustRightInd w:val="0"/>
              <w:snapToGrid w:val="0"/>
              <w:spacing w:before="118" w:line="182" w:lineRule="auto"/>
              <w:ind w:left="26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3"/>
                <w:kern w:val="0"/>
                <w:sz w:val="20"/>
                <w:szCs w:val="20"/>
                <w:lang w:eastAsia="en-US"/>
              </w:rPr>
              <w:t>45</w:t>
            </w:r>
          </w:p>
        </w:tc>
        <w:tc>
          <w:tcPr>
            <w:tcW w:w="1512" w:type="dxa"/>
            <w:tcBorders>
              <w:right w:val="single" w:color="000000" w:sz="10" w:space="0"/>
            </w:tcBorders>
            <w:vAlign w:val="top"/>
          </w:tcPr>
          <w:p w14:paraId="371F56C9">
            <w:pPr>
              <w:kinsoku w:val="0"/>
              <w:autoSpaceDE w:val="0"/>
              <w:autoSpaceDN w:val="0"/>
              <w:adjustRightInd w:val="0"/>
              <w:snapToGrid w:val="0"/>
              <w:spacing w:before="82" w:line="194"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一般危险</w:t>
            </w:r>
          </w:p>
        </w:tc>
      </w:tr>
      <w:tr w14:paraId="2DA228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679" w:type="dxa"/>
            <w:tcBorders>
              <w:left w:val="single" w:color="000000" w:sz="10" w:space="0"/>
              <w:bottom w:val="single" w:color="000000" w:sz="10" w:space="0"/>
            </w:tcBorders>
            <w:vAlign w:val="top"/>
          </w:tcPr>
          <w:p w14:paraId="5F5F8509">
            <w:pPr>
              <w:widowControl/>
              <w:kinsoku w:val="0"/>
              <w:autoSpaceDE w:val="0"/>
              <w:autoSpaceDN w:val="0"/>
              <w:adjustRightInd w:val="0"/>
              <w:snapToGrid w:val="0"/>
              <w:spacing w:before="120" w:line="195" w:lineRule="auto"/>
              <w:ind w:left="272"/>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4</w:t>
            </w:r>
          </w:p>
        </w:tc>
        <w:tc>
          <w:tcPr>
            <w:tcW w:w="1771" w:type="dxa"/>
            <w:tcBorders>
              <w:bottom w:val="single" w:color="000000" w:sz="10" w:space="0"/>
            </w:tcBorders>
            <w:vAlign w:val="top"/>
          </w:tcPr>
          <w:p w14:paraId="4523D7E6">
            <w:pPr>
              <w:kinsoku w:val="0"/>
              <w:autoSpaceDE w:val="0"/>
              <w:autoSpaceDN w:val="0"/>
              <w:adjustRightInd w:val="0"/>
              <w:snapToGrid w:val="0"/>
              <w:spacing w:before="84" w:line="214" w:lineRule="auto"/>
              <w:ind w:left="46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配电作业</w:t>
            </w:r>
          </w:p>
        </w:tc>
        <w:tc>
          <w:tcPr>
            <w:tcW w:w="2563" w:type="dxa"/>
            <w:tcBorders>
              <w:bottom w:val="single" w:color="000000" w:sz="10" w:space="0"/>
            </w:tcBorders>
            <w:vAlign w:val="top"/>
          </w:tcPr>
          <w:p w14:paraId="5326C36D">
            <w:pPr>
              <w:kinsoku w:val="0"/>
              <w:autoSpaceDE w:val="0"/>
              <w:autoSpaceDN w:val="0"/>
              <w:adjustRightInd w:val="0"/>
              <w:snapToGrid w:val="0"/>
              <w:spacing w:before="84" w:line="214" w:lineRule="auto"/>
              <w:ind w:left="107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触电</w:t>
            </w:r>
          </w:p>
        </w:tc>
        <w:tc>
          <w:tcPr>
            <w:tcW w:w="673" w:type="dxa"/>
            <w:tcBorders>
              <w:bottom w:val="single" w:color="000000" w:sz="10" w:space="0"/>
            </w:tcBorders>
            <w:vAlign w:val="top"/>
          </w:tcPr>
          <w:p w14:paraId="42589B83">
            <w:pPr>
              <w:widowControl/>
              <w:kinsoku w:val="0"/>
              <w:autoSpaceDE w:val="0"/>
              <w:autoSpaceDN w:val="0"/>
              <w:adjustRightInd w:val="0"/>
              <w:snapToGrid w:val="0"/>
              <w:spacing w:before="120" w:line="195" w:lineRule="auto"/>
              <w:ind w:left="30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15" w:type="dxa"/>
            <w:tcBorders>
              <w:bottom w:val="single" w:color="000000" w:sz="10" w:space="0"/>
            </w:tcBorders>
            <w:vAlign w:val="top"/>
          </w:tcPr>
          <w:p w14:paraId="1F9FB1E8">
            <w:pPr>
              <w:widowControl/>
              <w:kinsoku w:val="0"/>
              <w:autoSpaceDE w:val="0"/>
              <w:autoSpaceDN w:val="0"/>
              <w:adjustRightInd w:val="0"/>
              <w:snapToGrid w:val="0"/>
              <w:spacing w:before="120" w:line="195" w:lineRule="auto"/>
              <w:ind w:left="26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615" w:type="dxa"/>
            <w:tcBorders>
              <w:bottom w:val="single" w:color="000000" w:sz="10" w:space="0"/>
            </w:tcBorders>
            <w:vAlign w:val="top"/>
          </w:tcPr>
          <w:p w14:paraId="7D05253D">
            <w:pPr>
              <w:widowControl/>
              <w:kinsoku w:val="0"/>
              <w:autoSpaceDE w:val="0"/>
              <w:autoSpaceDN w:val="0"/>
              <w:adjustRightInd w:val="0"/>
              <w:snapToGrid w:val="0"/>
              <w:spacing w:before="122" w:line="192" w:lineRule="auto"/>
              <w:ind w:left="26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732" w:type="dxa"/>
            <w:tcBorders>
              <w:bottom w:val="single" w:color="000000" w:sz="10" w:space="0"/>
            </w:tcBorders>
            <w:vAlign w:val="top"/>
          </w:tcPr>
          <w:p w14:paraId="596AD4E7">
            <w:pPr>
              <w:widowControl/>
              <w:kinsoku w:val="0"/>
              <w:autoSpaceDE w:val="0"/>
              <w:autoSpaceDN w:val="0"/>
              <w:adjustRightInd w:val="0"/>
              <w:snapToGrid w:val="0"/>
              <w:spacing w:before="120" w:line="195" w:lineRule="auto"/>
              <w:ind w:left="28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14</w:t>
            </w:r>
          </w:p>
        </w:tc>
        <w:tc>
          <w:tcPr>
            <w:tcW w:w="1512" w:type="dxa"/>
            <w:tcBorders>
              <w:bottom w:val="single" w:color="000000" w:sz="10" w:space="0"/>
              <w:right w:val="single" w:color="000000" w:sz="10" w:space="0"/>
            </w:tcBorders>
            <w:vAlign w:val="top"/>
          </w:tcPr>
          <w:p w14:paraId="36CF552F">
            <w:pPr>
              <w:kinsoku w:val="0"/>
              <w:autoSpaceDE w:val="0"/>
              <w:autoSpaceDN w:val="0"/>
              <w:adjustRightInd w:val="0"/>
              <w:snapToGrid w:val="0"/>
              <w:spacing w:before="84" w:line="214" w:lineRule="auto"/>
              <w:ind w:left="34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稍有危险</w:t>
            </w:r>
          </w:p>
        </w:tc>
      </w:tr>
    </w:tbl>
    <w:p w14:paraId="69AC75E2">
      <w:pPr>
        <w:keepNext w:val="0"/>
        <w:keepLines w:val="0"/>
        <w:pageBreakBefore w:val="0"/>
        <w:widowControl w:val="0"/>
        <w:kinsoku/>
        <w:wordWrap/>
        <w:overflowPunct/>
        <w:topLinePunct w:val="0"/>
        <w:autoSpaceDE/>
        <w:autoSpaceDN/>
        <w:bidi w:val="0"/>
        <w:adjustRightInd/>
        <w:snapToGrid/>
        <w:ind w:left="0" w:leftChars="0" w:firstLine="560" w:firstLineChars="200"/>
        <w:jc w:val="left"/>
        <w:textAlignment w:val="auto"/>
        <w:rPr>
          <w:rFonts w:hint="eastAsia" w:ascii="宋体" w:hAnsi="宋体" w:eastAsia="宋体" w:cs="宋体"/>
          <w:sz w:val="28"/>
          <w:szCs w:val="28"/>
          <w:lang w:eastAsia="en-US"/>
        </w:rPr>
      </w:pPr>
      <w:r>
        <w:rPr>
          <w:rFonts w:hint="eastAsia" w:ascii="宋体" w:hAnsi="宋体" w:eastAsia="宋体" w:cs="宋体"/>
          <w:sz w:val="28"/>
          <w:szCs w:val="28"/>
          <w:lang w:eastAsia="en-US"/>
        </w:rPr>
        <w:t>由表 5</w:t>
      </w:r>
      <w:r>
        <w:rPr>
          <w:rFonts w:hint="eastAsia" w:ascii="宋体" w:hAnsi="宋体" w:eastAsia="宋体" w:cs="宋体"/>
          <w:sz w:val="28"/>
          <w:szCs w:val="28"/>
          <w:lang w:val="en-US" w:eastAsia="zh-CN"/>
        </w:rPr>
        <w:t>-9</w:t>
      </w:r>
      <w:r>
        <w:rPr>
          <w:rFonts w:hint="eastAsia" w:ascii="宋体" w:hAnsi="宋体" w:eastAsia="宋体" w:cs="宋体"/>
          <w:sz w:val="28"/>
          <w:szCs w:val="28"/>
          <w:lang w:eastAsia="en-US"/>
        </w:rPr>
        <w:t xml:space="preserve"> 的评价结果可以看出，该</w:t>
      </w:r>
      <w:r>
        <w:rPr>
          <w:rFonts w:hint="eastAsia" w:ascii="宋体" w:hAnsi="宋体" w:eastAsia="宋体" w:cs="宋体"/>
          <w:sz w:val="28"/>
          <w:szCs w:val="28"/>
          <w:lang w:val="en-US" w:eastAsia="zh-CN"/>
        </w:rPr>
        <w:t>加油站</w:t>
      </w:r>
      <w:r>
        <w:rPr>
          <w:rFonts w:hint="eastAsia" w:ascii="宋体" w:hAnsi="宋体" w:eastAsia="宋体" w:cs="宋体"/>
          <w:sz w:val="28"/>
          <w:szCs w:val="28"/>
          <w:lang w:eastAsia="en-US"/>
        </w:rPr>
        <w:t>的作业条件相对比较安全。</w:t>
      </w:r>
    </w:p>
    <w:p w14:paraId="050C8039">
      <w:pPr>
        <w:keepNext w:val="0"/>
        <w:keepLines w:val="0"/>
        <w:pageBreakBefore w:val="0"/>
        <w:widowControl w:val="0"/>
        <w:kinsoku/>
        <w:wordWrap/>
        <w:overflowPunct/>
        <w:topLinePunct w:val="0"/>
        <w:autoSpaceDE/>
        <w:autoSpaceDN/>
        <w:bidi w:val="0"/>
        <w:adjustRightInd/>
        <w:snapToGrid/>
        <w:ind w:left="0" w:leftChars="0" w:firstLine="560" w:firstLineChars="200"/>
        <w:jc w:val="left"/>
        <w:textAlignment w:val="auto"/>
        <w:rPr>
          <w:rFonts w:hint="eastAsia" w:ascii="宋体" w:hAnsi="宋体" w:eastAsia="宋体" w:cs="宋体"/>
          <w:sz w:val="28"/>
          <w:szCs w:val="28"/>
          <w:lang w:eastAsia="en-US"/>
        </w:rPr>
      </w:pPr>
      <w:r>
        <w:rPr>
          <w:rFonts w:hint="eastAsia" w:ascii="宋体" w:hAnsi="宋体" w:eastAsia="宋体" w:cs="宋体"/>
          <w:sz w:val="28"/>
          <w:szCs w:val="28"/>
          <w:lang w:eastAsia="en-US"/>
        </w:rPr>
        <w:t>因此，该装置运行中应重点加强对加油作业和卸油作业的操作控制，严格 执行储罐中危险物质的储存规定，注重日常安全管理，加强输送易然液体管线 和储存危险物质容器的安全管理及检维修危险作业管理；其次要建立健全完善 的安全生产责任制、安全管理制度、安全操作规程、技术操作规程并确保其贯 彻落实；第三是要认真抓好操作及管理人员的安全知识和操作技能的培训，确 保人员具有与工程技术水平相适应的技术素质和安全素质，第四是加强对前来 加油的车辆和人员的管理、严禁烟火、严禁打手机等，保证安全作业。</w:t>
      </w:r>
    </w:p>
    <w:p w14:paraId="5BE6DD08">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33" w:name="bookmark66"/>
      <w:bookmarkEnd w:id="233"/>
      <w:bookmarkStart w:id="234" w:name="bookmark65"/>
      <w:bookmarkEnd w:id="234"/>
      <w:bookmarkStart w:id="235" w:name="_Toc30686"/>
      <w:r>
        <w:rPr>
          <w:rFonts w:hint="eastAsia" w:ascii="楷体" w:hAnsi="楷体" w:eastAsia="楷体" w:cs="楷体"/>
          <w:sz w:val="32"/>
          <w:szCs w:val="32"/>
          <w:lang w:eastAsia="en-US"/>
        </w:rPr>
        <w:t>5.5 辅助单元</w:t>
      </w:r>
      <w:bookmarkEnd w:id="235"/>
    </w:p>
    <w:p w14:paraId="559FCE3A">
      <w:pPr>
        <w:widowControl/>
        <w:kinsoku w:val="0"/>
        <w:autoSpaceDE w:val="0"/>
        <w:autoSpaceDN w:val="0"/>
        <w:adjustRightInd w:val="0"/>
        <w:snapToGrid w:val="0"/>
        <w:spacing w:before="204" w:line="402" w:lineRule="auto"/>
        <w:ind w:left="68" w:firstLine="560"/>
        <w:jc w:val="both"/>
        <w:textAlignment w:val="baseline"/>
        <w:rPr>
          <w:rFonts w:hint="eastAsia" w:ascii="宋体" w:hAnsi="宋体" w:eastAsia="宋体" w:cs="宋体"/>
          <w:snapToGrid w:val="0"/>
          <w:color w:val="000000"/>
          <w:spacing w:val="-3"/>
          <w:kern w:val="0"/>
          <w:sz w:val="28"/>
          <w:szCs w:val="28"/>
          <w:lang w:eastAsia="en-US"/>
        </w:rPr>
      </w:pPr>
      <w:r>
        <w:rPr>
          <w:rFonts w:hint="eastAsia" w:ascii="宋体" w:hAnsi="宋体" w:eastAsia="宋体" w:cs="宋体"/>
          <w:snapToGrid w:val="0"/>
          <w:color w:val="000000"/>
          <w:spacing w:val="-7"/>
          <w:kern w:val="0"/>
          <w:sz w:val="28"/>
          <w:szCs w:val="28"/>
          <w:lang w:eastAsia="en-US"/>
        </w:rPr>
        <w:t>根据《汽车加油加气加氢站技术标准》（GB50156-2021）的有关要求，</w:t>
      </w:r>
      <w:r>
        <w:rPr>
          <w:rFonts w:hint="eastAsia" w:ascii="宋体" w:hAnsi="宋体" w:eastAsia="宋体" w:cs="宋体"/>
          <w:snapToGrid w:val="0"/>
          <w:color w:val="000000"/>
          <w:spacing w:val="3"/>
          <w:kern w:val="0"/>
          <w:sz w:val="28"/>
          <w:szCs w:val="28"/>
          <w:lang w:eastAsia="en-US"/>
        </w:rPr>
        <w:t>采用《安全检查表法》对电气系统和给排水设施进行分析评价，评价结果</w:t>
      </w:r>
      <w:r>
        <w:rPr>
          <w:rFonts w:hint="eastAsia" w:ascii="宋体" w:hAnsi="宋体" w:eastAsia="宋体" w:cs="宋体"/>
          <w:snapToGrid w:val="0"/>
          <w:color w:val="000000"/>
          <w:spacing w:val="2"/>
          <w:kern w:val="0"/>
          <w:sz w:val="28"/>
          <w:szCs w:val="28"/>
          <w:lang w:eastAsia="en-US"/>
        </w:rPr>
        <w:t xml:space="preserve"> </w:t>
      </w:r>
      <w:r>
        <w:rPr>
          <w:rFonts w:hint="eastAsia" w:ascii="宋体" w:hAnsi="宋体" w:eastAsia="宋体" w:cs="宋体"/>
          <w:snapToGrid w:val="0"/>
          <w:color w:val="000000"/>
          <w:spacing w:val="-3"/>
          <w:kern w:val="0"/>
          <w:sz w:val="28"/>
          <w:szCs w:val="28"/>
          <w:lang w:eastAsia="en-US"/>
        </w:rPr>
        <w:t>见表</w:t>
      </w:r>
      <w:r>
        <w:rPr>
          <w:rFonts w:hint="eastAsia" w:ascii="宋体" w:hAnsi="宋体" w:eastAsia="宋体" w:cs="宋体"/>
          <w:snapToGrid w:val="0"/>
          <w:color w:val="000000"/>
          <w:spacing w:val="-57"/>
          <w:kern w:val="0"/>
          <w:sz w:val="28"/>
          <w:szCs w:val="28"/>
          <w:lang w:eastAsia="en-US"/>
        </w:rPr>
        <w:t xml:space="preserve"> </w:t>
      </w:r>
      <w:r>
        <w:rPr>
          <w:rFonts w:hint="eastAsia" w:ascii="宋体" w:hAnsi="宋体" w:eastAsia="宋体" w:cs="宋体"/>
          <w:snapToGrid w:val="0"/>
          <w:color w:val="000000"/>
          <w:spacing w:val="-3"/>
          <w:kern w:val="0"/>
          <w:sz w:val="28"/>
          <w:szCs w:val="28"/>
          <w:lang w:eastAsia="en-US"/>
        </w:rPr>
        <w:t>5</w:t>
      </w:r>
      <w:r>
        <w:rPr>
          <w:rFonts w:hint="eastAsia" w:ascii="宋体" w:hAnsi="宋体" w:eastAsia="宋体" w:cs="宋体"/>
          <w:snapToGrid w:val="0"/>
          <w:color w:val="000000"/>
          <w:spacing w:val="-3"/>
          <w:kern w:val="0"/>
          <w:sz w:val="28"/>
          <w:szCs w:val="28"/>
          <w:lang w:val="en-US" w:eastAsia="zh-CN"/>
        </w:rPr>
        <w:t>-10</w:t>
      </w:r>
      <w:r>
        <w:rPr>
          <w:rFonts w:hint="eastAsia" w:ascii="宋体" w:hAnsi="宋体" w:eastAsia="宋体" w:cs="宋体"/>
          <w:snapToGrid w:val="0"/>
          <w:color w:val="000000"/>
          <w:spacing w:val="-3"/>
          <w:kern w:val="0"/>
          <w:sz w:val="28"/>
          <w:szCs w:val="28"/>
          <w:lang w:eastAsia="en-US"/>
        </w:rPr>
        <w:t>。</w:t>
      </w:r>
    </w:p>
    <w:p w14:paraId="49160EDF">
      <w:pPr>
        <w:widowControl/>
        <w:kinsoku w:val="0"/>
        <w:autoSpaceDE w:val="0"/>
        <w:autoSpaceDN w:val="0"/>
        <w:adjustRightInd w:val="0"/>
        <w:snapToGrid w:val="0"/>
        <w:spacing w:before="144" w:line="219" w:lineRule="auto"/>
        <w:ind w:left="3117"/>
        <w:jc w:val="both"/>
        <w:textAlignment w:val="baseline"/>
        <w:rPr>
          <w:rFonts w:ascii="宋体" w:hAnsi="宋体" w:eastAsia="宋体" w:cs="宋体"/>
          <w:b/>
          <w:bCs/>
          <w:snapToGrid w:val="0"/>
          <w:color w:val="000000"/>
          <w:spacing w:val="-2"/>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hint="eastAsia" w:ascii="宋体" w:hAnsi="宋体" w:eastAsia="宋体" w:cs="宋体"/>
          <w:b/>
          <w:bCs/>
          <w:snapToGrid w:val="0"/>
          <w:color w:val="000000"/>
          <w:spacing w:val="-2"/>
          <w:kern w:val="0"/>
          <w:sz w:val="24"/>
          <w:szCs w:val="24"/>
          <w:lang w:val="en-US" w:eastAsia="zh-CN"/>
        </w:rPr>
        <w:t>5-10</w:t>
      </w:r>
      <w:r>
        <w:rPr>
          <w:rFonts w:ascii="宋体" w:hAnsi="宋体" w:eastAsia="宋体" w:cs="宋体"/>
          <w:b/>
          <w:bCs/>
          <w:snapToGrid w:val="0"/>
          <w:color w:val="000000"/>
          <w:spacing w:val="-2"/>
          <w:kern w:val="0"/>
          <w:sz w:val="24"/>
          <w:szCs w:val="24"/>
          <w:lang w:eastAsia="en-US"/>
        </w:rPr>
        <w:t>电气、报警和紧急切断系统安全检查表</w:t>
      </w:r>
    </w:p>
    <w:tbl>
      <w:tblPr>
        <w:tblStyle w:val="47"/>
        <w:tblW w:w="9281"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6"/>
        <w:gridCol w:w="6301"/>
        <w:gridCol w:w="1725"/>
        <w:gridCol w:w="589"/>
      </w:tblGrid>
      <w:tr w14:paraId="372109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top w:val="single" w:color="000000" w:sz="10" w:space="0"/>
              <w:left w:val="single" w:color="000000" w:sz="10" w:space="0"/>
            </w:tcBorders>
            <w:vAlign w:val="top"/>
          </w:tcPr>
          <w:p w14:paraId="6D9E0C11">
            <w:pPr>
              <w:kinsoku w:val="0"/>
              <w:autoSpaceDE w:val="0"/>
              <w:autoSpaceDN w:val="0"/>
              <w:adjustRightInd w:val="0"/>
              <w:snapToGrid w:val="0"/>
              <w:spacing w:before="106" w:line="222" w:lineRule="auto"/>
              <w:ind w:left="1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6301" w:type="dxa"/>
            <w:tcBorders>
              <w:top w:val="single" w:color="000000" w:sz="10" w:space="0"/>
            </w:tcBorders>
            <w:vAlign w:val="top"/>
          </w:tcPr>
          <w:p w14:paraId="73F0B022">
            <w:pPr>
              <w:kinsoku w:val="0"/>
              <w:autoSpaceDE w:val="0"/>
              <w:autoSpaceDN w:val="0"/>
              <w:adjustRightInd w:val="0"/>
              <w:snapToGrid w:val="0"/>
              <w:spacing w:before="107" w:line="220" w:lineRule="auto"/>
              <w:ind w:left="279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725" w:type="dxa"/>
            <w:tcBorders>
              <w:top w:val="single" w:color="000000" w:sz="10" w:space="0"/>
            </w:tcBorders>
            <w:vAlign w:val="top"/>
          </w:tcPr>
          <w:p w14:paraId="49895CF9">
            <w:pPr>
              <w:kinsoku w:val="0"/>
              <w:autoSpaceDE w:val="0"/>
              <w:autoSpaceDN w:val="0"/>
              <w:adjustRightInd w:val="0"/>
              <w:snapToGrid w:val="0"/>
              <w:spacing w:before="107" w:line="220" w:lineRule="auto"/>
              <w:ind w:left="5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589" w:type="dxa"/>
            <w:tcBorders>
              <w:top w:val="single" w:color="000000" w:sz="10" w:space="0"/>
              <w:right w:val="single" w:color="000000" w:sz="10" w:space="0"/>
            </w:tcBorders>
            <w:vAlign w:val="top"/>
          </w:tcPr>
          <w:p w14:paraId="4B869300">
            <w:pPr>
              <w:kinsoku w:val="0"/>
              <w:autoSpaceDE w:val="0"/>
              <w:autoSpaceDN w:val="0"/>
              <w:adjustRightInd w:val="0"/>
              <w:snapToGrid w:val="0"/>
              <w:spacing w:before="106" w:line="222" w:lineRule="auto"/>
              <w:ind w:left="12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53B618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81" w:type="dxa"/>
            <w:gridSpan w:val="4"/>
            <w:tcBorders>
              <w:left w:val="single" w:color="000000" w:sz="10" w:space="0"/>
              <w:right w:val="single" w:color="000000" w:sz="10" w:space="0"/>
            </w:tcBorders>
            <w:vAlign w:val="top"/>
          </w:tcPr>
          <w:p w14:paraId="6D620571">
            <w:pPr>
              <w:kinsoku w:val="0"/>
              <w:autoSpaceDE w:val="0"/>
              <w:autoSpaceDN w:val="0"/>
              <w:adjustRightInd w:val="0"/>
              <w:snapToGrid w:val="0"/>
              <w:spacing w:before="69" w:line="221" w:lineRule="auto"/>
              <w:ind w:left="40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5"/>
                <w:kern w:val="0"/>
                <w:sz w:val="20"/>
                <w:szCs w:val="20"/>
                <w:lang w:val="en-US" w:eastAsia="en-US" w:bidi="ar-SA"/>
              </w:rPr>
              <w:t>（一）供配电</w:t>
            </w:r>
          </w:p>
        </w:tc>
      </w:tr>
      <w:tr w14:paraId="3F7385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64F5CAD1">
            <w:pPr>
              <w:kinsoku w:val="0"/>
              <w:autoSpaceDE w:val="0"/>
              <w:autoSpaceDN w:val="0"/>
              <w:adjustRightInd w:val="0"/>
              <w:snapToGrid w:val="0"/>
              <w:spacing w:before="275" w:line="184" w:lineRule="auto"/>
              <w:ind w:left="29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1</w:t>
            </w:r>
          </w:p>
        </w:tc>
        <w:tc>
          <w:tcPr>
            <w:tcW w:w="6301" w:type="dxa"/>
            <w:vAlign w:val="top"/>
          </w:tcPr>
          <w:p w14:paraId="32A406A6">
            <w:pPr>
              <w:kinsoku w:val="0"/>
              <w:autoSpaceDE w:val="0"/>
              <w:autoSpaceDN w:val="0"/>
              <w:adjustRightInd w:val="0"/>
              <w:snapToGrid w:val="0"/>
              <w:spacing w:before="248" w:line="219"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汽车加油加气加氢站的供电负荷等级可分为三级，信息系统应设不间断</w:t>
            </w:r>
            <w:r>
              <w:rPr>
                <w:rFonts w:ascii="宋体" w:hAnsi="宋体" w:eastAsia="宋体" w:cs="宋体"/>
                <w:snapToGrid w:val="0"/>
                <w:color w:val="000000"/>
                <w:spacing w:val="-6"/>
                <w:kern w:val="0"/>
                <w:sz w:val="18"/>
                <w:szCs w:val="18"/>
                <w:lang w:val="en-US" w:eastAsia="en-US" w:bidi="ar-SA"/>
              </w:rPr>
              <w:t>供电电源。</w:t>
            </w:r>
          </w:p>
        </w:tc>
        <w:tc>
          <w:tcPr>
            <w:tcW w:w="1725" w:type="dxa"/>
            <w:vAlign w:val="top"/>
          </w:tcPr>
          <w:p w14:paraId="07153356">
            <w:pPr>
              <w:kinsoku w:val="0"/>
              <w:autoSpaceDE w:val="0"/>
              <w:autoSpaceDN w:val="0"/>
              <w:adjustRightInd w:val="0"/>
              <w:snapToGrid w:val="0"/>
              <w:spacing w:before="98" w:line="265" w:lineRule="auto"/>
              <w:ind w:left="158" w:hanging="14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三</w:t>
            </w:r>
            <w:r>
              <w:rPr>
                <w:rFonts w:ascii="宋体" w:hAnsi="宋体" w:eastAsia="宋体" w:cs="宋体"/>
                <w:snapToGrid w:val="0"/>
                <w:color w:val="000000"/>
                <w:spacing w:val="-10"/>
                <w:kern w:val="0"/>
                <w:sz w:val="18"/>
                <w:szCs w:val="18"/>
                <w:lang w:val="en-US" w:eastAsia="en-US" w:bidi="ar-SA"/>
              </w:rPr>
              <w:t>级负荷；信息系统</w:t>
            </w:r>
            <w:r>
              <w:rPr>
                <w:rFonts w:ascii="宋体" w:hAnsi="宋体" w:eastAsia="宋体" w:cs="宋体"/>
                <w:snapToGrid w:val="0"/>
                <w:color w:val="000000"/>
                <w:spacing w:val="-9"/>
                <w:kern w:val="0"/>
                <w:sz w:val="18"/>
                <w:szCs w:val="18"/>
                <w:lang w:val="en-US" w:eastAsia="en-US" w:bidi="ar-SA"/>
              </w:rPr>
              <w:t>设</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不间断供电电源。</w:t>
            </w:r>
          </w:p>
        </w:tc>
        <w:tc>
          <w:tcPr>
            <w:tcW w:w="589" w:type="dxa"/>
            <w:tcBorders>
              <w:right w:val="single" w:color="000000" w:sz="10" w:space="0"/>
            </w:tcBorders>
            <w:vAlign w:val="top"/>
          </w:tcPr>
          <w:p w14:paraId="13F7FD71">
            <w:pPr>
              <w:kinsoku w:val="0"/>
              <w:autoSpaceDE w:val="0"/>
              <w:autoSpaceDN w:val="0"/>
              <w:adjustRightInd w:val="0"/>
              <w:snapToGrid w:val="0"/>
              <w:spacing w:before="248"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59794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4EA516E4">
            <w:pPr>
              <w:kinsoku w:val="0"/>
              <w:autoSpaceDE w:val="0"/>
              <w:autoSpaceDN w:val="0"/>
              <w:adjustRightInd w:val="0"/>
              <w:snapToGrid w:val="0"/>
              <w:spacing w:before="277" w:line="183"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2</w:t>
            </w:r>
          </w:p>
        </w:tc>
        <w:tc>
          <w:tcPr>
            <w:tcW w:w="6301" w:type="dxa"/>
            <w:vAlign w:val="top"/>
          </w:tcPr>
          <w:p w14:paraId="5E9041BE">
            <w:pPr>
              <w:kinsoku w:val="0"/>
              <w:autoSpaceDE w:val="0"/>
              <w:autoSpaceDN w:val="0"/>
              <w:adjustRightInd w:val="0"/>
              <w:snapToGrid w:val="0"/>
              <w:spacing w:before="70" w:line="279"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加油站、</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kern w:val="0"/>
                <w:sz w:val="18"/>
                <w:szCs w:val="18"/>
                <w:lang w:val="en-US" w:eastAsia="en-US" w:bidi="ar-SA"/>
              </w:rPr>
              <w:t>加气站宜采用电压为</w:t>
            </w:r>
            <w:r>
              <w:rPr>
                <w:rFonts w:ascii="Times New Roman" w:hAnsi="Times New Roman" w:eastAsia="Times New Roman" w:cs="Times New Roman"/>
                <w:snapToGrid w:val="0"/>
                <w:color w:val="000000"/>
                <w:kern w:val="0"/>
                <w:sz w:val="18"/>
                <w:szCs w:val="18"/>
                <w:lang w:val="en-US" w:eastAsia="en-US" w:bidi="ar-SA"/>
              </w:rPr>
              <w:t>380/220V</w:t>
            </w:r>
            <w:r>
              <w:rPr>
                <w:rFonts w:ascii="宋体" w:hAnsi="宋体" w:eastAsia="宋体" w:cs="宋体"/>
                <w:snapToGrid w:val="0"/>
                <w:color w:val="000000"/>
                <w:kern w:val="0"/>
                <w:sz w:val="18"/>
                <w:szCs w:val="18"/>
                <w:lang w:val="en-US" w:eastAsia="en-US" w:bidi="ar-SA"/>
              </w:rPr>
              <w:t>的外</w:t>
            </w:r>
            <w:r>
              <w:rPr>
                <w:rFonts w:ascii="宋体" w:hAnsi="宋体" w:eastAsia="宋体" w:cs="宋体"/>
                <w:snapToGrid w:val="0"/>
                <w:color w:val="000000"/>
                <w:spacing w:val="-1"/>
                <w:kern w:val="0"/>
                <w:sz w:val="18"/>
                <w:szCs w:val="18"/>
                <w:lang w:val="en-US" w:eastAsia="en-US" w:bidi="ar-SA"/>
              </w:rPr>
              <w:t>接电源，</w:t>
            </w:r>
            <w:r>
              <w:rPr>
                <w:rFonts w:ascii="Times New Roman" w:hAnsi="Times New Roman" w:eastAsia="Times New Roman" w:cs="Times New Roman"/>
                <w:snapToGrid w:val="0"/>
                <w:color w:val="000000"/>
                <w:spacing w:val="-1"/>
                <w:kern w:val="0"/>
                <w:sz w:val="18"/>
                <w:szCs w:val="18"/>
                <w:lang w:val="en-US" w:eastAsia="en-US" w:bidi="ar-SA"/>
              </w:rPr>
              <w:t>CNG</w:t>
            </w:r>
            <w:r>
              <w:rPr>
                <w:rFonts w:ascii="宋体" w:hAnsi="宋体" w:eastAsia="宋体" w:cs="宋体"/>
                <w:snapToGrid w:val="0"/>
                <w:color w:val="000000"/>
                <w:spacing w:val="-1"/>
                <w:kern w:val="0"/>
                <w:sz w:val="18"/>
                <w:szCs w:val="18"/>
                <w:lang w:val="en-US" w:eastAsia="en-US" w:bidi="ar-SA"/>
              </w:rPr>
              <w:t>加气站、</w:t>
            </w:r>
            <w:r>
              <w:rPr>
                <w:rFonts w:ascii="Times New Roman" w:hAnsi="Times New Roman" w:eastAsia="Times New Roman" w:cs="Times New Roman"/>
                <w:snapToGrid w:val="0"/>
                <w:color w:val="000000"/>
                <w:spacing w:val="-1"/>
                <w:kern w:val="0"/>
                <w:sz w:val="18"/>
                <w:szCs w:val="18"/>
                <w:lang w:val="en-US" w:eastAsia="en-US" w:bidi="ar-SA"/>
              </w:rPr>
              <w:t>LNG</w:t>
            </w:r>
            <w:r>
              <w:rPr>
                <w:rFonts w:ascii="宋体" w:hAnsi="宋体" w:eastAsia="宋体" w:cs="宋体"/>
                <w:snapToGrid w:val="0"/>
                <w:color w:val="000000"/>
                <w:spacing w:val="-1"/>
                <w:kern w:val="0"/>
                <w:sz w:val="18"/>
                <w:szCs w:val="18"/>
                <w:lang w:val="en-US" w:eastAsia="en-US" w:bidi="ar-SA"/>
              </w:rPr>
              <w:t>加气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站、加氢合建站宜采用电压为</w:t>
            </w:r>
            <w:r>
              <w:rPr>
                <w:rFonts w:ascii="Times New Roman" w:hAnsi="Times New Roman" w:eastAsia="Times New Roman" w:cs="Times New Roman"/>
                <w:snapToGrid w:val="0"/>
                <w:color w:val="000000"/>
                <w:spacing w:val="-1"/>
                <w:kern w:val="0"/>
                <w:sz w:val="18"/>
                <w:szCs w:val="18"/>
                <w:lang w:val="en-US" w:eastAsia="en-US" w:bidi="ar-SA"/>
              </w:rPr>
              <w:t>10kV</w:t>
            </w:r>
            <w:r>
              <w:rPr>
                <w:rFonts w:ascii="宋体" w:hAnsi="宋体" w:eastAsia="宋体" w:cs="宋体"/>
                <w:snapToGrid w:val="0"/>
                <w:color w:val="000000"/>
                <w:spacing w:val="-1"/>
                <w:kern w:val="0"/>
                <w:sz w:val="18"/>
                <w:szCs w:val="18"/>
                <w:lang w:val="en-US" w:eastAsia="en-US" w:bidi="ar-SA"/>
              </w:rPr>
              <w:t>的外接电源。</w:t>
            </w:r>
          </w:p>
        </w:tc>
        <w:tc>
          <w:tcPr>
            <w:tcW w:w="1725" w:type="dxa"/>
            <w:vAlign w:val="top"/>
          </w:tcPr>
          <w:p w14:paraId="3C097C91">
            <w:pPr>
              <w:kinsoku w:val="0"/>
              <w:autoSpaceDE w:val="0"/>
              <w:autoSpaceDN w:val="0"/>
              <w:adjustRightInd w:val="0"/>
              <w:snapToGrid w:val="0"/>
              <w:spacing w:before="70" w:line="279" w:lineRule="auto"/>
              <w:ind w:left="782" w:hanging="76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采用</w:t>
            </w:r>
            <w:r>
              <w:rPr>
                <w:rFonts w:ascii="宋体" w:hAnsi="宋体" w:eastAsia="宋体" w:cs="宋体"/>
                <w:snapToGrid w:val="0"/>
                <w:color w:val="000000"/>
                <w:spacing w:val="-30"/>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380/220V</w:t>
            </w:r>
            <w:r>
              <w:rPr>
                <w:rFonts w:ascii="Times New Roman" w:hAnsi="Times New Roman" w:eastAsia="Times New Roman" w:cs="Times New Roman"/>
                <w:snapToGrid w:val="0"/>
                <w:color w:val="000000"/>
                <w:spacing w:val="11"/>
                <w:w w:val="10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外接电</w:t>
            </w:r>
            <w:r>
              <w:rPr>
                <w:rFonts w:ascii="宋体" w:hAnsi="宋体" w:eastAsia="宋体" w:cs="宋体"/>
                <w:snapToGrid w:val="0"/>
                <w:color w:val="000000"/>
                <w:kern w:val="0"/>
                <w:sz w:val="18"/>
                <w:szCs w:val="18"/>
                <w:lang w:val="en-US" w:eastAsia="en-US" w:bidi="ar-SA"/>
              </w:rPr>
              <w:t xml:space="preserve"> 源</w:t>
            </w:r>
          </w:p>
        </w:tc>
        <w:tc>
          <w:tcPr>
            <w:tcW w:w="589" w:type="dxa"/>
            <w:tcBorders>
              <w:right w:val="single" w:color="000000" w:sz="10" w:space="0"/>
            </w:tcBorders>
            <w:vAlign w:val="top"/>
          </w:tcPr>
          <w:p w14:paraId="0BCFC808">
            <w:pPr>
              <w:kinsoku w:val="0"/>
              <w:autoSpaceDE w:val="0"/>
              <w:autoSpaceDN w:val="0"/>
              <w:adjustRightInd w:val="0"/>
              <w:snapToGrid w:val="0"/>
              <w:spacing w:before="249"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D0350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31B8D288">
            <w:pPr>
              <w:kinsoku w:val="0"/>
              <w:autoSpaceDE w:val="0"/>
              <w:autoSpaceDN w:val="0"/>
              <w:adjustRightInd w:val="0"/>
              <w:snapToGrid w:val="0"/>
              <w:spacing w:before="278" w:line="183" w:lineRule="auto"/>
              <w:ind w:left="28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3</w:t>
            </w:r>
          </w:p>
        </w:tc>
        <w:tc>
          <w:tcPr>
            <w:tcW w:w="6301" w:type="dxa"/>
            <w:vAlign w:val="top"/>
          </w:tcPr>
          <w:p w14:paraId="3180EE85">
            <w:pPr>
              <w:kinsoku w:val="0"/>
              <w:autoSpaceDE w:val="0"/>
              <w:autoSpaceDN w:val="0"/>
              <w:adjustRightInd w:val="0"/>
              <w:snapToGrid w:val="0"/>
              <w:spacing w:before="98" w:line="265" w:lineRule="auto"/>
              <w:ind w:left="2" w:hanging="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汽车加油加气加氢站的消防泵房、罩棚、营业室、</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kern w:val="0"/>
                <w:sz w:val="18"/>
                <w:szCs w:val="18"/>
                <w:lang w:val="en-US" w:eastAsia="en-US" w:bidi="ar-SA"/>
              </w:rPr>
              <w:t>泵房、压缩机间等处均应</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设应急照明，连续供电时间不应少于</w:t>
            </w:r>
            <w:r>
              <w:rPr>
                <w:rFonts w:ascii="Times New Roman" w:hAnsi="Times New Roman" w:eastAsia="Times New Roman" w:cs="Times New Roman"/>
                <w:snapToGrid w:val="0"/>
                <w:color w:val="000000"/>
                <w:spacing w:val="-1"/>
                <w:kern w:val="0"/>
                <w:sz w:val="18"/>
                <w:szCs w:val="18"/>
                <w:lang w:val="en-US" w:eastAsia="en-US" w:bidi="ar-SA"/>
              </w:rPr>
              <w:t>90min</w:t>
            </w:r>
            <w:r>
              <w:rPr>
                <w:rFonts w:ascii="宋体" w:hAnsi="宋体" w:eastAsia="宋体" w:cs="宋体"/>
                <w:snapToGrid w:val="0"/>
                <w:color w:val="000000"/>
                <w:spacing w:val="-1"/>
                <w:kern w:val="0"/>
                <w:sz w:val="18"/>
                <w:szCs w:val="18"/>
                <w:lang w:val="en-US" w:eastAsia="en-US" w:bidi="ar-SA"/>
              </w:rPr>
              <w:t>。</w:t>
            </w:r>
          </w:p>
        </w:tc>
        <w:tc>
          <w:tcPr>
            <w:tcW w:w="1725" w:type="dxa"/>
            <w:vAlign w:val="top"/>
          </w:tcPr>
          <w:p w14:paraId="7B285AF7">
            <w:pPr>
              <w:kinsoku w:val="0"/>
              <w:autoSpaceDE w:val="0"/>
              <w:autoSpaceDN w:val="0"/>
              <w:adjustRightInd w:val="0"/>
              <w:snapToGrid w:val="0"/>
              <w:spacing w:before="98" w:line="265" w:lineRule="auto"/>
              <w:ind w:left="337" w:hanging="32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罩棚、营业室、配电间</w:t>
            </w:r>
            <w:r>
              <w:rPr>
                <w:rFonts w:ascii="宋体" w:hAnsi="宋体" w:eastAsia="宋体" w:cs="宋体"/>
                <w:snapToGrid w:val="0"/>
                <w:color w:val="000000"/>
                <w:spacing w:val="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设置应急照明</w:t>
            </w:r>
          </w:p>
        </w:tc>
        <w:tc>
          <w:tcPr>
            <w:tcW w:w="589" w:type="dxa"/>
            <w:tcBorders>
              <w:right w:val="single" w:color="000000" w:sz="10" w:space="0"/>
            </w:tcBorders>
            <w:vAlign w:val="top"/>
          </w:tcPr>
          <w:p w14:paraId="0E52FB32">
            <w:pPr>
              <w:kinsoku w:val="0"/>
              <w:autoSpaceDE w:val="0"/>
              <w:autoSpaceDN w:val="0"/>
              <w:adjustRightInd w:val="0"/>
              <w:snapToGrid w:val="0"/>
              <w:spacing w:before="250"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48E7FF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4AFB9265">
            <w:pPr>
              <w:widowControl/>
              <w:kinsoku w:val="0"/>
              <w:autoSpaceDE w:val="0"/>
              <w:autoSpaceDN w:val="0"/>
              <w:adjustRightInd w:val="0"/>
              <w:snapToGrid w:val="0"/>
              <w:spacing w:line="337" w:lineRule="auto"/>
              <w:jc w:val="left"/>
              <w:textAlignment w:val="baseline"/>
              <w:rPr>
                <w:rFonts w:ascii="Arial" w:hAnsi="Arial" w:eastAsia="Arial" w:cs="Arial"/>
                <w:snapToGrid w:val="0"/>
                <w:color w:val="000000"/>
                <w:kern w:val="0"/>
                <w:sz w:val="21"/>
                <w:lang w:eastAsia="en-US"/>
              </w:rPr>
            </w:pPr>
          </w:p>
          <w:p w14:paraId="7A289C96">
            <w:pPr>
              <w:widowControl/>
              <w:kinsoku w:val="0"/>
              <w:autoSpaceDE w:val="0"/>
              <w:autoSpaceDN w:val="0"/>
              <w:adjustRightInd w:val="0"/>
              <w:snapToGrid w:val="0"/>
              <w:spacing w:line="338" w:lineRule="auto"/>
              <w:jc w:val="left"/>
              <w:textAlignment w:val="baseline"/>
              <w:rPr>
                <w:rFonts w:ascii="Arial" w:hAnsi="Arial" w:eastAsia="Arial" w:cs="Arial"/>
                <w:snapToGrid w:val="0"/>
                <w:color w:val="000000"/>
                <w:kern w:val="0"/>
                <w:sz w:val="21"/>
                <w:lang w:eastAsia="en-US"/>
              </w:rPr>
            </w:pPr>
          </w:p>
          <w:p w14:paraId="127660A2">
            <w:pPr>
              <w:kinsoku w:val="0"/>
              <w:autoSpaceDE w:val="0"/>
              <w:autoSpaceDN w:val="0"/>
              <w:adjustRightInd w:val="0"/>
              <w:snapToGrid w:val="0"/>
              <w:spacing w:before="59" w:line="183" w:lineRule="auto"/>
              <w:ind w:left="28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4</w:t>
            </w:r>
          </w:p>
        </w:tc>
        <w:tc>
          <w:tcPr>
            <w:tcW w:w="6301" w:type="dxa"/>
            <w:vAlign w:val="top"/>
          </w:tcPr>
          <w:p w14:paraId="099A9B9F">
            <w:pPr>
              <w:kinsoku w:val="0"/>
              <w:autoSpaceDE w:val="0"/>
              <w:autoSpaceDN w:val="0"/>
              <w:adjustRightInd w:val="0"/>
              <w:snapToGrid w:val="0"/>
              <w:spacing w:before="109" w:line="299" w:lineRule="auto"/>
              <w:ind w:left="4" w:firstLine="5"/>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当引用外电源有困难时，汽车加油加气加氢</w:t>
            </w:r>
            <w:r>
              <w:rPr>
                <w:rFonts w:ascii="宋体" w:hAnsi="宋体" w:eastAsia="宋体" w:cs="宋体"/>
                <w:snapToGrid w:val="0"/>
                <w:color w:val="000000"/>
                <w:spacing w:val="-1"/>
                <w:kern w:val="0"/>
                <w:sz w:val="18"/>
                <w:szCs w:val="18"/>
                <w:lang w:val="en-US" w:eastAsia="en-US" w:bidi="ar-SA"/>
              </w:rPr>
              <w:t>站可设置小型内燃发电机组。内燃机</w:t>
            </w:r>
            <w:r>
              <w:rPr>
                <w:rFonts w:ascii="宋体" w:hAnsi="宋体" w:eastAsia="宋体" w:cs="宋体"/>
                <w:snapToGrid w:val="0"/>
                <w:color w:val="000000"/>
                <w:kern w:val="0"/>
                <w:sz w:val="18"/>
                <w:szCs w:val="18"/>
                <w:lang w:val="en-US" w:eastAsia="en-US" w:bidi="ar-SA"/>
              </w:rPr>
              <w:t xml:space="preserve"> 的排烟管口应安装阻火器。排烟管口至各爆炸危险区域边</w:t>
            </w:r>
            <w:r>
              <w:rPr>
                <w:rFonts w:ascii="宋体" w:hAnsi="宋体" w:eastAsia="宋体" w:cs="宋体"/>
                <w:snapToGrid w:val="0"/>
                <w:color w:val="000000"/>
                <w:spacing w:val="-1"/>
                <w:kern w:val="0"/>
                <w:sz w:val="18"/>
                <w:szCs w:val="18"/>
                <w:lang w:val="en-US" w:eastAsia="en-US" w:bidi="ar-SA"/>
              </w:rPr>
              <w:t>界的水平距离，应符合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下列规定：</w:t>
            </w:r>
          </w:p>
          <w:p w14:paraId="36C61B71">
            <w:pPr>
              <w:kinsoku w:val="0"/>
              <w:autoSpaceDE w:val="0"/>
              <w:autoSpaceDN w:val="0"/>
              <w:adjustRightInd w:val="0"/>
              <w:snapToGrid w:val="0"/>
              <w:spacing w:before="25" w:line="220" w:lineRule="auto"/>
              <w:ind w:left="1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1  </w:t>
            </w:r>
            <w:r>
              <w:rPr>
                <w:rFonts w:ascii="宋体" w:hAnsi="宋体" w:eastAsia="宋体" w:cs="宋体"/>
                <w:snapToGrid w:val="0"/>
                <w:color w:val="000000"/>
                <w:spacing w:val="-1"/>
                <w:kern w:val="0"/>
                <w:sz w:val="18"/>
                <w:szCs w:val="18"/>
                <w:lang w:val="en-US" w:eastAsia="en-US" w:bidi="ar-SA"/>
              </w:rPr>
              <w:t>排烟口高出地面</w:t>
            </w:r>
            <w:r>
              <w:rPr>
                <w:rFonts w:ascii="Times New Roman" w:hAnsi="Times New Roman" w:eastAsia="Times New Roman" w:cs="Times New Roman"/>
                <w:snapToGrid w:val="0"/>
                <w:color w:val="000000"/>
                <w:spacing w:val="-1"/>
                <w:kern w:val="0"/>
                <w:sz w:val="18"/>
                <w:szCs w:val="18"/>
                <w:lang w:val="en-US" w:eastAsia="en-US" w:bidi="ar-SA"/>
              </w:rPr>
              <w:t>4.5m</w:t>
            </w:r>
            <w:r>
              <w:rPr>
                <w:rFonts w:ascii="宋体" w:hAnsi="宋体" w:eastAsia="宋体" w:cs="宋体"/>
                <w:snapToGrid w:val="0"/>
                <w:color w:val="000000"/>
                <w:spacing w:val="-1"/>
                <w:kern w:val="0"/>
                <w:sz w:val="18"/>
                <w:szCs w:val="18"/>
                <w:lang w:val="en-US" w:eastAsia="en-US" w:bidi="ar-SA"/>
              </w:rPr>
              <w:t>以下时，不应小于</w:t>
            </w:r>
            <w:r>
              <w:rPr>
                <w:rFonts w:ascii="Times New Roman" w:hAnsi="Times New Roman" w:eastAsia="Times New Roman" w:cs="Times New Roman"/>
                <w:snapToGrid w:val="0"/>
                <w:color w:val="000000"/>
                <w:spacing w:val="-1"/>
                <w:kern w:val="0"/>
                <w:sz w:val="18"/>
                <w:szCs w:val="18"/>
                <w:lang w:val="en-US" w:eastAsia="en-US" w:bidi="ar-SA"/>
              </w:rPr>
              <w:t>5m</w:t>
            </w:r>
            <w:r>
              <w:rPr>
                <w:rFonts w:ascii="宋体" w:hAnsi="宋体" w:eastAsia="宋体" w:cs="宋体"/>
                <w:snapToGrid w:val="0"/>
                <w:color w:val="000000"/>
                <w:spacing w:val="-1"/>
                <w:kern w:val="0"/>
                <w:sz w:val="18"/>
                <w:szCs w:val="18"/>
                <w:lang w:val="en-US" w:eastAsia="en-US" w:bidi="ar-SA"/>
              </w:rPr>
              <w:t>；</w:t>
            </w:r>
          </w:p>
          <w:p w14:paraId="271DD495">
            <w:pPr>
              <w:kinsoku w:val="0"/>
              <w:autoSpaceDE w:val="0"/>
              <w:autoSpaceDN w:val="0"/>
              <w:adjustRightInd w:val="0"/>
              <w:snapToGrid w:val="0"/>
              <w:spacing w:before="85" w:line="220"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2  </w:t>
            </w:r>
            <w:r>
              <w:rPr>
                <w:rFonts w:ascii="宋体" w:hAnsi="宋体" w:eastAsia="宋体" w:cs="宋体"/>
                <w:snapToGrid w:val="0"/>
                <w:color w:val="000000"/>
                <w:spacing w:val="-1"/>
                <w:kern w:val="0"/>
                <w:sz w:val="18"/>
                <w:szCs w:val="18"/>
                <w:lang w:val="en-US" w:eastAsia="en-US" w:bidi="ar-SA"/>
              </w:rPr>
              <w:t>排烟口高出地面</w:t>
            </w:r>
            <w:r>
              <w:rPr>
                <w:rFonts w:ascii="Times New Roman" w:hAnsi="Times New Roman" w:eastAsia="Times New Roman" w:cs="Times New Roman"/>
                <w:snapToGrid w:val="0"/>
                <w:color w:val="000000"/>
                <w:spacing w:val="-1"/>
                <w:kern w:val="0"/>
                <w:sz w:val="18"/>
                <w:szCs w:val="18"/>
                <w:lang w:val="en-US" w:eastAsia="en-US" w:bidi="ar-SA"/>
              </w:rPr>
              <w:t>4.5m</w:t>
            </w:r>
            <w:r>
              <w:rPr>
                <w:rFonts w:ascii="宋体" w:hAnsi="宋体" w:eastAsia="宋体" w:cs="宋体"/>
                <w:snapToGrid w:val="0"/>
                <w:color w:val="000000"/>
                <w:spacing w:val="-1"/>
                <w:kern w:val="0"/>
                <w:sz w:val="18"/>
                <w:szCs w:val="18"/>
                <w:lang w:val="en-US" w:eastAsia="en-US" w:bidi="ar-SA"/>
              </w:rPr>
              <w:t>及以上时，不应小于</w:t>
            </w:r>
            <w:r>
              <w:rPr>
                <w:rFonts w:ascii="Times New Roman" w:hAnsi="Times New Roman" w:eastAsia="Times New Roman" w:cs="Times New Roman"/>
                <w:snapToGrid w:val="0"/>
                <w:color w:val="000000"/>
                <w:spacing w:val="-1"/>
                <w:kern w:val="0"/>
                <w:sz w:val="18"/>
                <w:szCs w:val="18"/>
                <w:lang w:val="en-US" w:eastAsia="en-US" w:bidi="ar-SA"/>
              </w:rPr>
              <w:t>3m</w:t>
            </w:r>
            <w:r>
              <w:rPr>
                <w:rFonts w:ascii="宋体" w:hAnsi="宋体" w:eastAsia="宋体" w:cs="宋体"/>
                <w:snapToGrid w:val="0"/>
                <w:color w:val="000000"/>
                <w:spacing w:val="-1"/>
                <w:kern w:val="0"/>
                <w:sz w:val="18"/>
                <w:szCs w:val="18"/>
                <w:lang w:val="en-US" w:eastAsia="en-US" w:bidi="ar-SA"/>
              </w:rPr>
              <w:t>。</w:t>
            </w:r>
          </w:p>
        </w:tc>
        <w:tc>
          <w:tcPr>
            <w:tcW w:w="1725" w:type="dxa"/>
            <w:vAlign w:val="top"/>
          </w:tcPr>
          <w:p w14:paraId="793398B6">
            <w:pPr>
              <w:widowControl/>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lang w:eastAsia="en-US"/>
              </w:rPr>
            </w:pPr>
          </w:p>
          <w:p w14:paraId="6D82D473">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51FFEC0B">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12C85DAF">
            <w:pPr>
              <w:widowControl/>
              <w:kinsoku w:val="0"/>
              <w:autoSpaceDE w:val="0"/>
              <w:autoSpaceDN w:val="0"/>
              <w:adjustRightInd w:val="0"/>
              <w:snapToGrid w:val="0"/>
              <w:spacing w:before="51" w:line="87" w:lineRule="exact"/>
              <w:ind w:left="845"/>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c>
          <w:tcPr>
            <w:tcW w:w="589" w:type="dxa"/>
            <w:tcBorders>
              <w:right w:val="single" w:color="000000" w:sz="10" w:space="0"/>
            </w:tcBorders>
            <w:vAlign w:val="top"/>
          </w:tcPr>
          <w:p w14:paraId="53C3769C">
            <w:pPr>
              <w:widowControl/>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lang w:eastAsia="en-US"/>
              </w:rPr>
            </w:pPr>
          </w:p>
          <w:p w14:paraId="40E0CCAC">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3CCECB08">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66379364">
            <w:pPr>
              <w:widowControl/>
              <w:kinsoku w:val="0"/>
              <w:autoSpaceDE w:val="0"/>
              <w:autoSpaceDN w:val="0"/>
              <w:adjustRightInd w:val="0"/>
              <w:snapToGrid w:val="0"/>
              <w:spacing w:before="51" w:line="87" w:lineRule="exact"/>
              <w:ind w:left="270"/>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position w:val="-1"/>
                <w:sz w:val="18"/>
                <w:szCs w:val="18"/>
                <w:lang w:eastAsia="en-US"/>
              </w:rPr>
              <w:t>-</w:t>
            </w:r>
          </w:p>
        </w:tc>
      </w:tr>
      <w:tr w14:paraId="27F3B1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6AE33CF0">
            <w:pPr>
              <w:kinsoku w:val="0"/>
              <w:autoSpaceDE w:val="0"/>
              <w:autoSpaceDN w:val="0"/>
              <w:adjustRightInd w:val="0"/>
              <w:snapToGrid w:val="0"/>
              <w:spacing w:before="282" w:line="182" w:lineRule="auto"/>
              <w:ind w:left="28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5</w:t>
            </w:r>
          </w:p>
        </w:tc>
        <w:tc>
          <w:tcPr>
            <w:tcW w:w="6301" w:type="dxa"/>
            <w:vAlign w:val="top"/>
          </w:tcPr>
          <w:p w14:paraId="03424F81">
            <w:pPr>
              <w:kinsoku w:val="0"/>
              <w:autoSpaceDE w:val="0"/>
              <w:autoSpaceDN w:val="0"/>
              <w:adjustRightInd w:val="0"/>
              <w:snapToGrid w:val="0"/>
              <w:spacing w:before="104" w:line="262" w:lineRule="auto"/>
              <w:ind w:left="6" w:hanging="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汽车加油加气加氢站的电缆宜采用直埋或电缆穿管敷设。电缆穿越</w:t>
            </w:r>
            <w:r>
              <w:rPr>
                <w:rFonts w:ascii="宋体" w:hAnsi="宋体" w:eastAsia="宋体" w:cs="宋体"/>
                <w:snapToGrid w:val="0"/>
                <w:color w:val="000000"/>
                <w:spacing w:val="-1"/>
                <w:kern w:val="0"/>
                <w:sz w:val="18"/>
                <w:szCs w:val="18"/>
                <w:lang w:val="en-US" w:eastAsia="en-US" w:bidi="ar-SA"/>
              </w:rPr>
              <w:t>行车道部分应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穿钢管保护。</w:t>
            </w:r>
          </w:p>
        </w:tc>
        <w:tc>
          <w:tcPr>
            <w:tcW w:w="1725" w:type="dxa"/>
            <w:vAlign w:val="top"/>
          </w:tcPr>
          <w:p w14:paraId="1566623E">
            <w:pPr>
              <w:kinsoku w:val="0"/>
              <w:autoSpaceDE w:val="0"/>
              <w:autoSpaceDN w:val="0"/>
              <w:adjustRightInd w:val="0"/>
              <w:snapToGrid w:val="0"/>
              <w:spacing w:before="104" w:line="262" w:lineRule="auto"/>
              <w:ind w:left="432" w:right="41" w:hanging="36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穿越行车道部分电缆</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穿钢管保护</w:t>
            </w:r>
          </w:p>
        </w:tc>
        <w:tc>
          <w:tcPr>
            <w:tcW w:w="589" w:type="dxa"/>
            <w:tcBorders>
              <w:right w:val="single" w:color="000000" w:sz="10" w:space="0"/>
            </w:tcBorders>
            <w:vAlign w:val="top"/>
          </w:tcPr>
          <w:p w14:paraId="7E775DD3">
            <w:pPr>
              <w:kinsoku w:val="0"/>
              <w:autoSpaceDE w:val="0"/>
              <w:autoSpaceDN w:val="0"/>
              <w:adjustRightInd w:val="0"/>
              <w:snapToGrid w:val="0"/>
              <w:spacing w:before="253"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D1EA4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1996E165">
            <w:pPr>
              <w:kinsoku w:val="0"/>
              <w:autoSpaceDE w:val="0"/>
              <w:autoSpaceDN w:val="0"/>
              <w:adjustRightInd w:val="0"/>
              <w:snapToGrid w:val="0"/>
              <w:spacing w:before="282" w:line="183" w:lineRule="auto"/>
              <w:ind w:left="28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6</w:t>
            </w:r>
          </w:p>
        </w:tc>
        <w:tc>
          <w:tcPr>
            <w:tcW w:w="6301" w:type="dxa"/>
            <w:vAlign w:val="top"/>
          </w:tcPr>
          <w:p w14:paraId="7F6B9860">
            <w:pPr>
              <w:kinsoku w:val="0"/>
              <w:autoSpaceDE w:val="0"/>
              <w:autoSpaceDN w:val="0"/>
              <w:adjustRightInd w:val="0"/>
              <w:snapToGrid w:val="0"/>
              <w:spacing w:before="106" w:line="261" w:lineRule="auto"/>
              <w:ind w:left="2" w:firstLine="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当采用电缆沟敷设电缆时，作业区内的电缆沟</w:t>
            </w:r>
            <w:r>
              <w:rPr>
                <w:rFonts w:ascii="宋体" w:hAnsi="宋体" w:eastAsia="宋体" w:cs="宋体"/>
                <w:snapToGrid w:val="0"/>
                <w:color w:val="000000"/>
                <w:spacing w:val="-6"/>
                <w:kern w:val="0"/>
                <w:sz w:val="18"/>
                <w:szCs w:val="18"/>
                <w:lang w:val="en-US" w:eastAsia="en-US" w:bidi="ar-SA"/>
              </w:rPr>
              <w:t>内必须充沙填实。电缆不得与氢气、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油品、</w:t>
            </w:r>
            <w:r>
              <w:rPr>
                <w:rFonts w:ascii="Times New Roman" w:hAnsi="Times New Roman" w:eastAsia="Times New Roman" w:cs="Times New Roman"/>
                <w:snapToGrid w:val="0"/>
                <w:color w:val="000000"/>
                <w:spacing w:val="-3"/>
                <w:kern w:val="0"/>
                <w:sz w:val="18"/>
                <w:szCs w:val="18"/>
                <w:lang w:val="en-US" w:eastAsia="en-US" w:bidi="ar-SA"/>
              </w:rPr>
              <w:t>LPG</w:t>
            </w:r>
            <w:r>
              <w:rPr>
                <w:rFonts w:ascii="Times New Roman" w:hAnsi="Times New Roman" w:eastAsia="Times New Roman" w:cs="Times New Roman"/>
                <w:snapToGrid w:val="0"/>
                <w:color w:val="000000"/>
                <w:spacing w:val="-1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w:t>
            </w:r>
            <w:r>
              <w:rPr>
                <w:rFonts w:ascii="Times New Roman" w:hAnsi="Times New Roman" w:eastAsia="Times New Roman" w:cs="Times New Roman"/>
                <w:snapToGrid w:val="0"/>
                <w:color w:val="000000"/>
                <w:spacing w:val="-3"/>
                <w:kern w:val="0"/>
                <w:sz w:val="18"/>
                <w:szCs w:val="18"/>
                <w:lang w:val="en-US" w:eastAsia="en-US" w:bidi="ar-SA"/>
              </w:rPr>
              <w:t>LNG</w:t>
            </w:r>
            <w:r>
              <w:rPr>
                <w:rFonts w:ascii="宋体" w:hAnsi="宋体" w:eastAsia="宋体" w:cs="宋体"/>
                <w:snapToGrid w:val="0"/>
                <w:color w:val="000000"/>
                <w:spacing w:val="-3"/>
                <w:kern w:val="0"/>
                <w:sz w:val="18"/>
                <w:szCs w:val="18"/>
                <w:lang w:val="en-US" w:eastAsia="en-US" w:bidi="ar-SA"/>
              </w:rPr>
              <w:t>和</w:t>
            </w:r>
            <w:r>
              <w:rPr>
                <w:rFonts w:ascii="Times New Roman" w:hAnsi="Times New Roman" w:eastAsia="Times New Roman" w:cs="Times New Roman"/>
                <w:snapToGrid w:val="0"/>
                <w:color w:val="000000"/>
                <w:spacing w:val="-3"/>
                <w:kern w:val="0"/>
                <w:sz w:val="18"/>
                <w:szCs w:val="18"/>
                <w:lang w:val="en-US" w:eastAsia="en-US" w:bidi="ar-SA"/>
              </w:rPr>
              <w:t>CNG</w:t>
            </w:r>
            <w:r>
              <w:rPr>
                <w:rFonts w:ascii="宋体" w:hAnsi="宋体" w:eastAsia="宋体" w:cs="宋体"/>
                <w:snapToGrid w:val="0"/>
                <w:color w:val="000000"/>
                <w:spacing w:val="-3"/>
                <w:kern w:val="0"/>
                <w:sz w:val="18"/>
                <w:szCs w:val="18"/>
                <w:lang w:val="en-US" w:eastAsia="en-US" w:bidi="ar-SA"/>
              </w:rPr>
              <w:t>管道以及热力管道敷设在同一沟内。</w:t>
            </w:r>
          </w:p>
        </w:tc>
        <w:tc>
          <w:tcPr>
            <w:tcW w:w="1725" w:type="dxa"/>
            <w:vAlign w:val="top"/>
          </w:tcPr>
          <w:p w14:paraId="0B944B22">
            <w:pPr>
              <w:kinsoku w:val="0"/>
              <w:autoSpaceDE w:val="0"/>
              <w:autoSpaceDN w:val="0"/>
              <w:adjustRightInd w:val="0"/>
              <w:snapToGrid w:val="0"/>
              <w:spacing w:before="106" w:line="261" w:lineRule="auto"/>
              <w:ind w:left="246" w:hanging="22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直埋敷设；电缆与油品</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管道不同沟敷设</w:t>
            </w:r>
          </w:p>
        </w:tc>
        <w:tc>
          <w:tcPr>
            <w:tcW w:w="589" w:type="dxa"/>
            <w:tcBorders>
              <w:right w:val="single" w:color="000000" w:sz="10" w:space="0"/>
            </w:tcBorders>
            <w:vAlign w:val="top"/>
          </w:tcPr>
          <w:p w14:paraId="6A1D0017">
            <w:pPr>
              <w:kinsoku w:val="0"/>
              <w:autoSpaceDE w:val="0"/>
              <w:autoSpaceDN w:val="0"/>
              <w:adjustRightInd w:val="0"/>
              <w:snapToGrid w:val="0"/>
              <w:spacing w:before="254"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3141CF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718E4CD7">
            <w:pPr>
              <w:kinsoku w:val="0"/>
              <w:autoSpaceDE w:val="0"/>
              <w:autoSpaceDN w:val="0"/>
              <w:adjustRightInd w:val="0"/>
              <w:snapToGrid w:val="0"/>
              <w:spacing w:before="285" w:line="182" w:lineRule="auto"/>
              <w:ind w:left="28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7</w:t>
            </w:r>
          </w:p>
        </w:tc>
        <w:tc>
          <w:tcPr>
            <w:tcW w:w="6301" w:type="dxa"/>
            <w:vAlign w:val="top"/>
          </w:tcPr>
          <w:p w14:paraId="7CFAEF01">
            <w:pPr>
              <w:kinsoku w:val="0"/>
              <w:autoSpaceDE w:val="0"/>
              <w:autoSpaceDN w:val="0"/>
              <w:adjustRightInd w:val="0"/>
              <w:snapToGrid w:val="0"/>
              <w:spacing w:before="106" w:line="261" w:lineRule="auto"/>
              <w:ind w:left="5" w:hanging="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爆炸危险区域内的电气设备选型、安装、电力线路敷设应符合现行</w:t>
            </w:r>
            <w:r>
              <w:rPr>
                <w:rFonts w:ascii="宋体" w:hAnsi="宋体" w:eastAsia="宋体" w:cs="宋体"/>
                <w:snapToGrid w:val="0"/>
                <w:color w:val="000000"/>
                <w:spacing w:val="-1"/>
                <w:kern w:val="0"/>
                <w:sz w:val="18"/>
                <w:szCs w:val="18"/>
                <w:lang w:val="en-US" w:eastAsia="en-US" w:bidi="ar-SA"/>
              </w:rPr>
              <w:t>国家标准《爆</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炸危险环境电力装置设计规范》</w:t>
            </w:r>
            <w:r>
              <w:rPr>
                <w:rFonts w:ascii="Times New Roman" w:hAnsi="Times New Roman" w:eastAsia="Times New Roman" w:cs="Times New Roman"/>
                <w:snapToGrid w:val="0"/>
                <w:color w:val="000000"/>
                <w:spacing w:val="-1"/>
                <w:kern w:val="0"/>
                <w:sz w:val="18"/>
                <w:szCs w:val="18"/>
                <w:lang w:val="en-US" w:eastAsia="en-US" w:bidi="ar-SA"/>
              </w:rPr>
              <w:t>GB 50058</w:t>
            </w:r>
            <w:r>
              <w:rPr>
                <w:rFonts w:ascii="宋体" w:hAnsi="宋体" w:eastAsia="宋体" w:cs="宋体"/>
                <w:snapToGrid w:val="0"/>
                <w:color w:val="000000"/>
                <w:spacing w:val="-1"/>
                <w:kern w:val="0"/>
                <w:sz w:val="18"/>
                <w:szCs w:val="18"/>
                <w:lang w:val="en-US" w:eastAsia="en-US" w:bidi="ar-SA"/>
              </w:rPr>
              <w:t>的有关规定。</w:t>
            </w:r>
          </w:p>
        </w:tc>
        <w:tc>
          <w:tcPr>
            <w:tcW w:w="1725" w:type="dxa"/>
            <w:vAlign w:val="top"/>
          </w:tcPr>
          <w:p w14:paraId="3D844FAC">
            <w:pPr>
              <w:kinsoku w:val="0"/>
              <w:autoSpaceDE w:val="0"/>
              <w:autoSpaceDN w:val="0"/>
              <w:adjustRightInd w:val="0"/>
              <w:snapToGrid w:val="0"/>
              <w:spacing w:before="255" w:line="219" w:lineRule="auto"/>
              <w:ind w:left="15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符合防爆标准要求</w:t>
            </w:r>
          </w:p>
        </w:tc>
        <w:tc>
          <w:tcPr>
            <w:tcW w:w="589" w:type="dxa"/>
            <w:tcBorders>
              <w:right w:val="single" w:color="000000" w:sz="10" w:space="0"/>
            </w:tcBorders>
            <w:vAlign w:val="top"/>
          </w:tcPr>
          <w:p w14:paraId="3B254BD7">
            <w:pPr>
              <w:kinsoku w:val="0"/>
              <w:autoSpaceDE w:val="0"/>
              <w:autoSpaceDN w:val="0"/>
              <w:adjustRightInd w:val="0"/>
              <w:snapToGrid w:val="0"/>
              <w:spacing w:before="255"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D1CA3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61ACFB73">
            <w:pPr>
              <w:kinsoku w:val="0"/>
              <w:autoSpaceDE w:val="0"/>
              <w:autoSpaceDN w:val="0"/>
              <w:adjustRightInd w:val="0"/>
              <w:snapToGrid w:val="0"/>
              <w:spacing w:before="285" w:line="183" w:lineRule="auto"/>
              <w:ind w:left="28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8</w:t>
            </w:r>
          </w:p>
        </w:tc>
        <w:tc>
          <w:tcPr>
            <w:tcW w:w="6301" w:type="dxa"/>
            <w:vAlign w:val="top"/>
          </w:tcPr>
          <w:p w14:paraId="71695A3C">
            <w:pPr>
              <w:kinsoku w:val="0"/>
              <w:autoSpaceDE w:val="0"/>
              <w:autoSpaceDN w:val="0"/>
              <w:adjustRightInd w:val="0"/>
              <w:snapToGrid w:val="0"/>
              <w:spacing w:before="107" w:line="260" w:lineRule="auto"/>
              <w:ind w:left="2" w:hanging="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汽车加油加气加氢站内爆炸危险区域以外的照明灯具可选用非防爆</w:t>
            </w:r>
            <w:r>
              <w:rPr>
                <w:rFonts w:ascii="宋体" w:hAnsi="宋体" w:eastAsia="宋体" w:cs="宋体"/>
                <w:snapToGrid w:val="0"/>
                <w:color w:val="000000"/>
                <w:spacing w:val="-1"/>
                <w:kern w:val="0"/>
                <w:sz w:val="18"/>
                <w:szCs w:val="18"/>
                <w:lang w:val="en-US" w:eastAsia="en-US" w:bidi="ar-SA"/>
              </w:rPr>
              <w:t>型。罩棚下处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于非爆炸危险区域的灯具应选用防护等级不低于</w:t>
            </w:r>
            <w:r>
              <w:rPr>
                <w:rFonts w:ascii="Times New Roman" w:hAnsi="Times New Roman" w:eastAsia="Times New Roman" w:cs="Times New Roman"/>
                <w:snapToGrid w:val="0"/>
                <w:color w:val="000000"/>
                <w:spacing w:val="-1"/>
                <w:kern w:val="0"/>
                <w:sz w:val="18"/>
                <w:szCs w:val="18"/>
                <w:lang w:val="en-US" w:eastAsia="en-US" w:bidi="ar-SA"/>
              </w:rPr>
              <w:t>IP44</w:t>
            </w:r>
            <w:r>
              <w:rPr>
                <w:rFonts w:ascii="宋体" w:hAnsi="宋体" w:eastAsia="宋体" w:cs="宋体"/>
                <w:snapToGrid w:val="0"/>
                <w:color w:val="000000"/>
                <w:spacing w:val="-1"/>
                <w:kern w:val="0"/>
                <w:sz w:val="18"/>
                <w:szCs w:val="18"/>
                <w:lang w:val="en-US" w:eastAsia="en-US" w:bidi="ar-SA"/>
              </w:rPr>
              <w:t>级的照明灯具。</w:t>
            </w:r>
          </w:p>
        </w:tc>
        <w:tc>
          <w:tcPr>
            <w:tcW w:w="1725" w:type="dxa"/>
            <w:vAlign w:val="top"/>
          </w:tcPr>
          <w:p w14:paraId="21A01ADB">
            <w:pPr>
              <w:kinsoku w:val="0"/>
              <w:autoSpaceDE w:val="0"/>
              <w:autoSpaceDN w:val="0"/>
              <w:adjustRightInd w:val="0"/>
              <w:snapToGrid w:val="0"/>
              <w:spacing w:before="256" w:line="221" w:lineRule="auto"/>
              <w:ind w:left="58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LED</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灯</w:t>
            </w:r>
          </w:p>
        </w:tc>
        <w:tc>
          <w:tcPr>
            <w:tcW w:w="589" w:type="dxa"/>
            <w:tcBorders>
              <w:right w:val="single" w:color="000000" w:sz="10" w:space="0"/>
            </w:tcBorders>
            <w:vAlign w:val="top"/>
          </w:tcPr>
          <w:p w14:paraId="0DEC611C">
            <w:pPr>
              <w:kinsoku w:val="0"/>
              <w:autoSpaceDE w:val="0"/>
              <w:autoSpaceDN w:val="0"/>
              <w:adjustRightInd w:val="0"/>
              <w:snapToGrid w:val="0"/>
              <w:spacing w:before="256"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A51D2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81" w:type="dxa"/>
            <w:gridSpan w:val="4"/>
            <w:tcBorders>
              <w:left w:val="single" w:color="000000" w:sz="10" w:space="0"/>
              <w:right w:val="single" w:color="000000" w:sz="10" w:space="0"/>
            </w:tcBorders>
            <w:vAlign w:val="top"/>
          </w:tcPr>
          <w:p w14:paraId="0E354D5D">
            <w:pPr>
              <w:kinsoku w:val="0"/>
              <w:autoSpaceDE w:val="0"/>
              <w:autoSpaceDN w:val="0"/>
              <w:adjustRightInd w:val="0"/>
              <w:snapToGrid w:val="0"/>
              <w:spacing w:before="131" w:line="228" w:lineRule="auto"/>
              <w:ind w:left="369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（二）防雷、防静电</w:t>
            </w:r>
          </w:p>
        </w:tc>
      </w:tr>
      <w:tr w14:paraId="5F35A9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3AAAC424">
            <w:pPr>
              <w:kinsoku w:val="0"/>
              <w:autoSpaceDE w:val="0"/>
              <w:autoSpaceDN w:val="0"/>
              <w:adjustRightInd w:val="0"/>
              <w:snapToGrid w:val="0"/>
              <w:spacing w:before="106" w:line="208" w:lineRule="auto"/>
              <w:ind w:left="1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6"/>
                <w:kern w:val="0"/>
                <w:sz w:val="18"/>
                <w:szCs w:val="18"/>
                <w:lang w:val="en-US" w:eastAsia="en-US" w:bidi="ar-SA"/>
              </w:rPr>
              <w:t>序号</w:t>
            </w:r>
          </w:p>
        </w:tc>
        <w:tc>
          <w:tcPr>
            <w:tcW w:w="6301" w:type="dxa"/>
            <w:vAlign w:val="top"/>
          </w:tcPr>
          <w:p w14:paraId="2DA88492">
            <w:pPr>
              <w:kinsoku w:val="0"/>
              <w:autoSpaceDE w:val="0"/>
              <w:autoSpaceDN w:val="0"/>
              <w:adjustRightInd w:val="0"/>
              <w:snapToGrid w:val="0"/>
              <w:spacing w:before="106" w:line="208" w:lineRule="auto"/>
              <w:ind w:left="279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检查内容</w:t>
            </w:r>
          </w:p>
        </w:tc>
        <w:tc>
          <w:tcPr>
            <w:tcW w:w="1725" w:type="dxa"/>
            <w:vAlign w:val="top"/>
          </w:tcPr>
          <w:p w14:paraId="41F6C76D">
            <w:pPr>
              <w:kinsoku w:val="0"/>
              <w:autoSpaceDE w:val="0"/>
              <w:autoSpaceDN w:val="0"/>
              <w:adjustRightInd w:val="0"/>
              <w:snapToGrid w:val="0"/>
              <w:spacing w:before="106" w:line="208" w:lineRule="auto"/>
              <w:ind w:left="51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4"/>
                <w:kern w:val="0"/>
                <w:sz w:val="18"/>
                <w:szCs w:val="18"/>
                <w:lang w:val="en-US" w:eastAsia="en-US" w:bidi="ar-SA"/>
              </w:rPr>
              <w:t>检查记录</w:t>
            </w:r>
          </w:p>
        </w:tc>
        <w:tc>
          <w:tcPr>
            <w:tcW w:w="589" w:type="dxa"/>
            <w:tcBorders>
              <w:right w:val="single" w:color="000000" w:sz="10" w:space="0"/>
            </w:tcBorders>
            <w:vAlign w:val="top"/>
          </w:tcPr>
          <w:p w14:paraId="3C99791F">
            <w:pPr>
              <w:kinsoku w:val="0"/>
              <w:autoSpaceDE w:val="0"/>
              <w:autoSpaceDN w:val="0"/>
              <w:adjustRightInd w:val="0"/>
              <w:snapToGrid w:val="0"/>
              <w:spacing w:before="106" w:line="208" w:lineRule="auto"/>
              <w:ind w:left="12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b/>
                <w:bCs/>
                <w:snapToGrid w:val="0"/>
                <w:color w:val="000000"/>
                <w:spacing w:val="-8"/>
                <w:kern w:val="0"/>
                <w:sz w:val="18"/>
                <w:szCs w:val="18"/>
                <w:lang w:val="en-US" w:eastAsia="en-US" w:bidi="ar-SA"/>
              </w:rPr>
              <w:t>结论</w:t>
            </w:r>
          </w:p>
        </w:tc>
      </w:tr>
      <w:tr w14:paraId="7D7580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41EDDE1A">
            <w:pPr>
              <w:widowControl/>
              <w:kinsoku w:val="0"/>
              <w:autoSpaceDE w:val="0"/>
              <w:autoSpaceDN w:val="0"/>
              <w:adjustRightInd w:val="0"/>
              <w:snapToGrid w:val="0"/>
              <w:spacing w:line="380" w:lineRule="auto"/>
              <w:jc w:val="left"/>
              <w:textAlignment w:val="baseline"/>
              <w:rPr>
                <w:rFonts w:ascii="Arial" w:hAnsi="Arial" w:eastAsia="Arial" w:cs="Arial"/>
                <w:snapToGrid w:val="0"/>
                <w:color w:val="000000"/>
                <w:kern w:val="0"/>
                <w:sz w:val="21"/>
                <w:lang w:eastAsia="en-US"/>
              </w:rPr>
            </w:pPr>
          </w:p>
          <w:p w14:paraId="643736EE">
            <w:pPr>
              <w:kinsoku w:val="0"/>
              <w:autoSpaceDE w:val="0"/>
              <w:autoSpaceDN w:val="0"/>
              <w:adjustRightInd w:val="0"/>
              <w:snapToGrid w:val="0"/>
              <w:spacing w:before="58" w:line="184" w:lineRule="auto"/>
              <w:ind w:left="29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1</w:t>
            </w:r>
          </w:p>
        </w:tc>
        <w:tc>
          <w:tcPr>
            <w:tcW w:w="6301" w:type="dxa"/>
            <w:vAlign w:val="top"/>
          </w:tcPr>
          <w:p w14:paraId="66D6981C">
            <w:pPr>
              <w:kinsoku w:val="0"/>
              <w:autoSpaceDE w:val="0"/>
              <w:autoSpaceDN w:val="0"/>
              <w:adjustRightInd w:val="0"/>
              <w:snapToGrid w:val="0"/>
              <w:spacing w:before="114" w:line="275" w:lineRule="auto"/>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钢制油罐、</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kern w:val="0"/>
                <w:sz w:val="18"/>
                <w:szCs w:val="18"/>
                <w:lang w:val="en-US" w:eastAsia="en-US" w:bidi="ar-SA"/>
              </w:rPr>
              <w:t>储罐、</w:t>
            </w:r>
            <w:r>
              <w:rPr>
                <w:rFonts w:ascii="Times New Roman" w:hAnsi="Times New Roman" w:eastAsia="Times New Roman" w:cs="Times New Roman"/>
                <w:snapToGrid w:val="0"/>
                <w:color w:val="000000"/>
                <w:kern w:val="0"/>
                <w:sz w:val="18"/>
                <w:szCs w:val="18"/>
                <w:lang w:val="en-US" w:eastAsia="en-US" w:bidi="ar-SA"/>
              </w:rPr>
              <w:t>LNG</w:t>
            </w:r>
            <w:r>
              <w:rPr>
                <w:rFonts w:ascii="宋体" w:hAnsi="宋体" w:eastAsia="宋体" w:cs="宋体"/>
                <w:snapToGrid w:val="0"/>
                <w:color w:val="000000"/>
                <w:kern w:val="0"/>
                <w:sz w:val="18"/>
                <w:szCs w:val="18"/>
                <w:lang w:val="en-US" w:eastAsia="en-US" w:bidi="ar-SA"/>
              </w:rPr>
              <w:t>储罐、</w:t>
            </w:r>
            <w:r>
              <w:rPr>
                <w:rFonts w:ascii="Times New Roman" w:hAnsi="Times New Roman" w:eastAsia="Times New Roman" w:cs="Times New Roman"/>
                <w:snapToGrid w:val="0"/>
                <w:color w:val="000000"/>
                <w:kern w:val="0"/>
                <w:sz w:val="18"/>
                <w:szCs w:val="18"/>
                <w:lang w:val="en-US" w:eastAsia="en-US" w:bidi="ar-SA"/>
              </w:rPr>
              <w:t>CNG</w:t>
            </w:r>
            <w:r>
              <w:rPr>
                <w:rFonts w:ascii="宋体" w:hAnsi="宋体" w:eastAsia="宋体" w:cs="宋体"/>
                <w:snapToGrid w:val="0"/>
                <w:color w:val="000000"/>
                <w:kern w:val="0"/>
                <w:sz w:val="18"/>
                <w:szCs w:val="18"/>
                <w:lang w:val="en-US" w:eastAsia="en-US" w:bidi="ar-SA"/>
              </w:rPr>
              <w:t>储气</w:t>
            </w:r>
            <w:r>
              <w:rPr>
                <w:rFonts w:ascii="宋体" w:hAnsi="宋体" w:eastAsia="宋体" w:cs="宋体"/>
                <w:snapToGrid w:val="0"/>
                <w:color w:val="000000"/>
                <w:spacing w:val="-1"/>
                <w:kern w:val="0"/>
                <w:sz w:val="18"/>
                <w:szCs w:val="18"/>
                <w:lang w:val="en-US" w:eastAsia="en-US" w:bidi="ar-SA"/>
              </w:rPr>
              <w:t>瓶（组）、储氢容器和液氢储罐必须</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进行防雷接地，接地点不应少于两处。</w:t>
            </w:r>
            <w:r>
              <w:rPr>
                <w:rFonts w:ascii="Times New Roman" w:hAnsi="Times New Roman" w:eastAsia="Times New Roman" w:cs="Times New Roman"/>
                <w:snapToGrid w:val="0"/>
                <w:color w:val="000000"/>
                <w:spacing w:val="-1"/>
                <w:kern w:val="0"/>
                <w:sz w:val="18"/>
                <w:szCs w:val="18"/>
                <w:lang w:val="en-US" w:eastAsia="en-US" w:bidi="ar-SA"/>
              </w:rPr>
              <w:t>CNG</w:t>
            </w:r>
            <w:r>
              <w:rPr>
                <w:rFonts w:ascii="宋体" w:hAnsi="宋体" w:eastAsia="宋体" w:cs="宋体"/>
                <w:snapToGrid w:val="0"/>
                <w:color w:val="000000"/>
                <w:spacing w:val="-1"/>
                <w:kern w:val="0"/>
                <w:sz w:val="18"/>
                <w:szCs w:val="18"/>
                <w:lang w:val="en-US" w:eastAsia="en-US" w:bidi="ar-SA"/>
              </w:rPr>
              <w:t>和氢气的长管拖车或管束式集装箱停</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放场地、卸车点车辆停放场地应设两处临时用固定防雷接地装置。</w:t>
            </w:r>
          </w:p>
        </w:tc>
        <w:tc>
          <w:tcPr>
            <w:tcW w:w="1725" w:type="dxa"/>
            <w:vAlign w:val="top"/>
          </w:tcPr>
          <w:p w14:paraId="6F798E23">
            <w:pPr>
              <w:widowControl/>
              <w:kinsoku w:val="0"/>
              <w:autoSpaceDE w:val="0"/>
              <w:autoSpaceDN w:val="0"/>
              <w:adjustRightInd w:val="0"/>
              <w:snapToGrid w:val="0"/>
              <w:spacing w:line="352" w:lineRule="auto"/>
              <w:jc w:val="left"/>
              <w:textAlignment w:val="baseline"/>
              <w:rPr>
                <w:rFonts w:ascii="Arial" w:hAnsi="Arial" w:eastAsia="Arial" w:cs="Arial"/>
                <w:snapToGrid w:val="0"/>
                <w:color w:val="000000"/>
                <w:kern w:val="0"/>
                <w:sz w:val="21"/>
                <w:lang w:eastAsia="en-US"/>
              </w:rPr>
            </w:pPr>
          </w:p>
          <w:p w14:paraId="1B7DD864">
            <w:pPr>
              <w:kinsoku w:val="0"/>
              <w:autoSpaceDE w:val="0"/>
              <w:autoSpaceDN w:val="0"/>
              <w:adjustRightInd w:val="0"/>
              <w:snapToGrid w:val="0"/>
              <w:spacing w:before="59" w:line="220" w:lineRule="auto"/>
              <w:ind w:left="33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油罐两处接地</w:t>
            </w:r>
          </w:p>
        </w:tc>
        <w:tc>
          <w:tcPr>
            <w:tcW w:w="589" w:type="dxa"/>
            <w:tcBorders>
              <w:right w:val="single" w:color="000000" w:sz="10" w:space="0"/>
            </w:tcBorders>
            <w:vAlign w:val="top"/>
          </w:tcPr>
          <w:p w14:paraId="68D8E2DA">
            <w:pPr>
              <w:widowControl/>
              <w:kinsoku w:val="0"/>
              <w:autoSpaceDE w:val="0"/>
              <w:autoSpaceDN w:val="0"/>
              <w:adjustRightInd w:val="0"/>
              <w:snapToGrid w:val="0"/>
              <w:spacing w:line="352" w:lineRule="auto"/>
              <w:jc w:val="left"/>
              <w:textAlignment w:val="baseline"/>
              <w:rPr>
                <w:rFonts w:ascii="Arial" w:hAnsi="Arial" w:eastAsia="Arial" w:cs="Arial"/>
                <w:snapToGrid w:val="0"/>
                <w:color w:val="000000"/>
                <w:kern w:val="0"/>
                <w:sz w:val="21"/>
                <w:lang w:eastAsia="en-US"/>
              </w:rPr>
            </w:pPr>
          </w:p>
          <w:p w14:paraId="3338E739">
            <w:pPr>
              <w:kinsoku w:val="0"/>
              <w:autoSpaceDE w:val="0"/>
              <w:autoSpaceDN w:val="0"/>
              <w:adjustRightInd w:val="0"/>
              <w:snapToGrid w:val="0"/>
              <w:spacing w:before="59"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112BA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2764BD9C">
            <w:pPr>
              <w:kinsoku w:val="0"/>
              <w:autoSpaceDE w:val="0"/>
              <w:autoSpaceDN w:val="0"/>
              <w:adjustRightInd w:val="0"/>
              <w:snapToGrid w:val="0"/>
              <w:spacing w:before="290" w:line="183" w:lineRule="auto"/>
              <w:ind w:left="28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2</w:t>
            </w:r>
          </w:p>
        </w:tc>
        <w:tc>
          <w:tcPr>
            <w:tcW w:w="6301" w:type="dxa"/>
            <w:vAlign w:val="top"/>
          </w:tcPr>
          <w:p w14:paraId="7C5339D8">
            <w:pPr>
              <w:kinsoku w:val="0"/>
              <w:autoSpaceDE w:val="0"/>
              <w:autoSpaceDN w:val="0"/>
              <w:adjustRightInd w:val="0"/>
              <w:snapToGrid w:val="0"/>
              <w:spacing w:before="113" w:line="257"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汽车加油加气加氢站的防雷接地防静电接地、电气设备的工作接地</w:t>
            </w:r>
            <w:r>
              <w:rPr>
                <w:rFonts w:ascii="宋体" w:hAnsi="宋体" w:eastAsia="宋体" w:cs="宋体"/>
                <w:snapToGrid w:val="0"/>
                <w:color w:val="000000"/>
                <w:spacing w:val="-1"/>
                <w:kern w:val="0"/>
                <w:sz w:val="18"/>
                <w:szCs w:val="18"/>
                <w:lang w:val="en-US" w:eastAsia="en-US" w:bidi="ar-SA"/>
              </w:rPr>
              <w:t>、保护接地及</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信息系统的接地等宜共用接地装置，接地电阻不应大于</w:t>
            </w:r>
            <w:r>
              <w:rPr>
                <w:rFonts w:ascii="Times New Roman" w:hAnsi="Times New Roman" w:eastAsia="Times New Roman" w:cs="Times New Roman"/>
                <w:snapToGrid w:val="0"/>
                <w:color w:val="000000"/>
                <w:spacing w:val="-1"/>
                <w:kern w:val="0"/>
                <w:sz w:val="18"/>
                <w:szCs w:val="18"/>
                <w:lang w:val="en-US" w:eastAsia="en-US" w:bidi="ar-SA"/>
              </w:rPr>
              <w:t>4Ω</w:t>
            </w:r>
            <w:r>
              <w:rPr>
                <w:rFonts w:ascii="宋体" w:hAnsi="宋体" w:eastAsia="宋体" w:cs="宋体"/>
                <w:snapToGrid w:val="0"/>
                <w:color w:val="000000"/>
                <w:spacing w:val="-1"/>
                <w:kern w:val="0"/>
                <w:sz w:val="18"/>
                <w:szCs w:val="18"/>
                <w:lang w:val="en-US" w:eastAsia="en-US" w:bidi="ar-SA"/>
              </w:rPr>
              <w:t>。</w:t>
            </w:r>
          </w:p>
        </w:tc>
        <w:tc>
          <w:tcPr>
            <w:tcW w:w="1725" w:type="dxa"/>
            <w:vAlign w:val="top"/>
          </w:tcPr>
          <w:p w14:paraId="22F2665B">
            <w:pPr>
              <w:kinsoku w:val="0"/>
              <w:autoSpaceDE w:val="0"/>
              <w:autoSpaceDN w:val="0"/>
              <w:adjustRightInd w:val="0"/>
              <w:snapToGrid w:val="0"/>
              <w:spacing w:before="113" w:line="257" w:lineRule="auto"/>
              <w:ind w:left="690" w:hanging="67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符合要求，见防雷检测</w:t>
            </w:r>
            <w:r>
              <w:rPr>
                <w:rFonts w:ascii="宋体" w:hAnsi="宋体" w:eastAsia="宋体" w:cs="宋体"/>
                <w:snapToGrid w:val="0"/>
                <w:color w:val="000000"/>
                <w:spacing w:val="-4"/>
                <w:kern w:val="0"/>
                <w:sz w:val="18"/>
                <w:szCs w:val="18"/>
                <w:lang w:val="en-US" w:eastAsia="en-US" w:bidi="ar-SA"/>
              </w:rPr>
              <w:t>报告</w:t>
            </w:r>
          </w:p>
        </w:tc>
        <w:tc>
          <w:tcPr>
            <w:tcW w:w="589" w:type="dxa"/>
            <w:tcBorders>
              <w:right w:val="single" w:color="000000" w:sz="10" w:space="0"/>
            </w:tcBorders>
            <w:vAlign w:val="top"/>
          </w:tcPr>
          <w:p w14:paraId="33477B71">
            <w:pPr>
              <w:kinsoku w:val="0"/>
              <w:autoSpaceDE w:val="0"/>
              <w:autoSpaceDN w:val="0"/>
              <w:adjustRightInd w:val="0"/>
              <w:snapToGrid w:val="0"/>
              <w:spacing w:before="262"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5B220E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1880FDAA">
            <w:pPr>
              <w:kinsoku w:val="0"/>
              <w:autoSpaceDE w:val="0"/>
              <w:autoSpaceDN w:val="0"/>
              <w:adjustRightInd w:val="0"/>
              <w:snapToGrid w:val="0"/>
              <w:spacing w:before="291" w:line="183" w:lineRule="auto"/>
              <w:ind w:left="28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3</w:t>
            </w:r>
          </w:p>
        </w:tc>
        <w:tc>
          <w:tcPr>
            <w:tcW w:w="6301" w:type="dxa"/>
            <w:vAlign w:val="top"/>
          </w:tcPr>
          <w:p w14:paraId="0D203715">
            <w:pPr>
              <w:kinsoku w:val="0"/>
              <w:autoSpaceDE w:val="0"/>
              <w:autoSpaceDN w:val="0"/>
              <w:adjustRightInd w:val="0"/>
              <w:snapToGrid w:val="0"/>
              <w:spacing w:before="114" w:line="256" w:lineRule="auto"/>
              <w:ind w:firstLine="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埋地钢制油罐、埋地</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kern w:val="0"/>
                <w:sz w:val="18"/>
                <w:szCs w:val="18"/>
                <w:lang w:val="en-US" w:eastAsia="en-US" w:bidi="ar-SA"/>
              </w:rPr>
              <w:t>储罐以及非金属油罐顶部的金属部件和罐内的各金属部</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件，必须与非埋地部分的工艺金属管道相互做电气连接并接地。</w:t>
            </w:r>
          </w:p>
        </w:tc>
        <w:tc>
          <w:tcPr>
            <w:tcW w:w="1725" w:type="dxa"/>
            <w:vAlign w:val="top"/>
          </w:tcPr>
          <w:p w14:paraId="0267D81A">
            <w:pPr>
              <w:kinsoku w:val="0"/>
              <w:autoSpaceDE w:val="0"/>
              <w:autoSpaceDN w:val="0"/>
              <w:adjustRightInd w:val="0"/>
              <w:snapToGrid w:val="0"/>
              <w:spacing w:before="263" w:line="220" w:lineRule="auto"/>
              <w:ind w:left="15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有电气连接并接地</w:t>
            </w:r>
          </w:p>
        </w:tc>
        <w:tc>
          <w:tcPr>
            <w:tcW w:w="589" w:type="dxa"/>
            <w:tcBorders>
              <w:right w:val="single" w:color="000000" w:sz="10" w:space="0"/>
            </w:tcBorders>
            <w:vAlign w:val="top"/>
          </w:tcPr>
          <w:p w14:paraId="6179D6A8">
            <w:pPr>
              <w:kinsoku w:val="0"/>
              <w:autoSpaceDE w:val="0"/>
              <w:autoSpaceDN w:val="0"/>
              <w:adjustRightInd w:val="0"/>
              <w:snapToGrid w:val="0"/>
              <w:spacing w:before="263"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2E3CF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28250326">
            <w:pPr>
              <w:kinsoku w:val="0"/>
              <w:autoSpaceDE w:val="0"/>
              <w:autoSpaceDN w:val="0"/>
              <w:adjustRightInd w:val="0"/>
              <w:snapToGrid w:val="0"/>
              <w:spacing w:before="293" w:line="183" w:lineRule="auto"/>
              <w:ind w:left="28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4</w:t>
            </w:r>
          </w:p>
        </w:tc>
        <w:tc>
          <w:tcPr>
            <w:tcW w:w="6301" w:type="dxa"/>
            <w:vAlign w:val="top"/>
          </w:tcPr>
          <w:p w14:paraId="5A3DB9C2">
            <w:pPr>
              <w:kinsoku w:val="0"/>
              <w:autoSpaceDE w:val="0"/>
              <w:autoSpaceDN w:val="0"/>
              <w:adjustRightInd w:val="0"/>
              <w:snapToGrid w:val="0"/>
              <w:spacing w:before="113" w:line="257"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汽车加油加气加氢站内油气放空管在接入全站共用接地装置后，可</w:t>
            </w:r>
            <w:r>
              <w:rPr>
                <w:rFonts w:ascii="宋体" w:hAnsi="宋体" w:eastAsia="宋体" w:cs="宋体"/>
                <w:snapToGrid w:val="0"/>
                <w:color w:val="000000"/>
                <w:spacing w:val="-1"/>
                <w:kern w:val="0"/>
                <w:sz w:val="18"/>
                <w:szCs w:val="18"/>
                <w:lang w:val="en-US" w:eastAsia="en-US" w:bidi="ar-SA"/>
              </w:rPr>
              <w:t>不单独做防雷</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接地。</w:t>
            </w:r>
          </w:p>
        </w:tc>
        <w:tc>
          <w:tcPr>
            <w:tcW w:w="1725" w:type="dxa"/>
            <w:vAlign w:val="top"/>
          </w:tcPr>
          <w:p w14:paraId="42550CD7">
            <w:pPr>
              <w:kinsoku w:val="0"/>
              <w:autoSpaceDE w:val="0"/>
              <w:autoSpaceDN w:val="0"/>
              <w:adjustRightInd w:val="0"/>
              <w:snapToGrid w:val="0"/>
              <w:spacing w:before="265" w:line="220" w:lineRule="auto"/>
              <w:ind w:left="5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符合要求</w:t>
            </w:r>
          </w:p>
        </w:tc>
        <w:tc>
          <w:tcPr>
            <w:tcW w:w="589" w:type="dxa"/>
            <w:tcBorders>
              <w:right w:val="single" w:color="000000" w:sz="10" w:space="0"/>
            </w:tcBorders>
            <w:vAlign w:val="top"/>
          </w:tcPr>
          <w:p w14:paraId="0356962D">
            <w:pPr>
              <w:kinsoku w:val="0"/>
              <w:autoSpaceDE w:val="0"/>
              <w:autoSpaceDN w:val="0"/>
              <w:adjustRightInd w:val="0"/>
              <w:snapToGrid w:val="0"/>
              <w:spacing w:before="265"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D4C37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170FAF82">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6C2F3D81">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1B627969">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3A77357A">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6D8A6A0D">
            <w:pPr>
              <w:kinsoku w:val="0"/>
              <w:autoSpaceDE w:val="0"/>
              <w:autoSpaceDN w:val="0"/>
              <w:adjustRightInd w:val="0"/>
              <w:snapToGrid w:val="0"/>
              <w:spacing w:before="59" w:line="182" w:lineRule="auto"/>
              <w:ind w:left="28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5</w:t>
            </w:r>
          </w:p>
        </w:tc>
        <w:tc>
          <w:tcPr>
            <w:tcW w:w="6301" w:type="dxa"/>
            <w:vAlign w:val="top"/>
          </w:tcPr>
          <w:p w14:paraId="4C4412FB">
            <w:pPr>
              <w:kinsoku w:val="0"/>
              <w:autoSpaceDE w:val="0"/>
              <w:autoSpaceDN w:val="0"/>
              <w:adjustRightInd w:val="0"/>
              <w:snapToGrid w:val="0"/>
              <w:spacing w:before="129" w:line="294" w:lineRule="auto"/>
              <w:ind w:firstLine="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5"/>
                <w:kern w:val="0"/>
                <w:sz w:val="18"/>
                <w:szCs w:val="18"/>
                <w:lang w:val="en-US" w:eastAsia="en-US" w:bidi="ar-SA"/>
              </w:rPr>
              <w:t>当汽车加油加气加氢站内的站房和罩棚等建筑物需要防直击雷时，应采用接闪带（网）</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spacing w:val="-10"/>
                <w:kern w:val="0"/>
                <w:sz w:val="18"/>
                <w:szCs w:val="18"/>
                <w:lang w:val="en-US" w:eastAsia="en-US" w:bidi="ar-SA"/>
              </w:rPr>
              <w:t>保护。当罩棚采用金属屋面时，宜利用屋面作为接闪器，但应符合下列规定：</w:t>
            </w:r>
          </w:p>
          <w:p w14:paraId="54628FE9">
            <w:pPr>
              <w:kinsoku w:val="0"/>
              <w:autoSpaceDE w:val="0"/>
              <w:autoSpaceDN w:val="0"/>
              <w:adjustRightInd w:val="0"/>
              <w:snapToGrid w:val="0"/>
              <w:spacing w:before="27" w:line="264" w:lineRule="auto"/>
              <w:ind w:firstLine="1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0"/>
                <w:kern w:val="0"/>
                <w:sz w:val="18"/>
                <w:szCs w:val="18"/>
                <w:lang w:val="en-US" w:eastAsia="en-US" w:bidi="ar-SA"/>
              </w:rPr>
              <w:t xml:space="preserve">1  </w:t>
            </w:r>
            <w:r>
              <w:rPr>
                <w:rFonts w:ascii="宋体" w:hAnsi="宋体" w:eastAsia="宋体" w:cs="宋体"/>
                <w:snapToGrid w:val="0"/>
                <w:color w:val="000000"/>
                <w:spacing w:val="-10"/>
                <w:kern w:val="0"/>
                <w:sz w:val="18"/>
                <w:szCs w:val="18"/>
                <w:lang w:val="en-US" w:eastAsia="en-US" w:bidi="ar-SA"/>
              </w:rPr>
              <w:t>板间的连接应是持久的电气贯通，可采用铜锌合金焊、熔焊、卷边压接、缝接、螺</w:t>
            </w:r>
            <w:r>
              <w:rPr>
                <w:rFonts w:ascii="宋体" w:hAnsi="宋体" w:eastAsia="宋体" w:cs="宋体"/>
                <w:snapToGrid w:val="0"/>
                <w:color w:val="000000"/>
                <w:spacing w:val="10"/>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钉或螺栓连接；</w:t>
            </w:r>
          </w:p>
          <w:p w14:paraId="78F0C479">
            <w:pPr>
              <w:kinsoku w:val="0"/>
              <w:autoSpaceDE w:val="0"/>
              <w:autoSpaceDN w:val="0"/>
              <w:adjustRightInd w:val="0"/>
              <w:snapToGrid w:val="0"/>
              <w:spacing w:before="83" w:line="264" w:lineRule="auto"/>
              <w:ind w:left="8" w:hanging="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9"/>
                <w:kern w:val="0"/>
                <w:sz w:val="18"/>
                <w:szCs w:val="18"/>
                <w:lang w:val="en-US" w:eastAsia="en-US" w:bidi="ar-SA"/>
              </w:rPr>
              <w:t>2</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金属板下面不应有易燃物品，热镀锌钢板的厚度不应小于</w:t>
            </w:r>
            <w:r>
              <w:rPr>
                <w:rFonts w:ascii="Times New Roman" w:hAnsi="Times New Roman" w:eastAsia="Times New Roman" w:cs="Times New Roman"/>
                <w:snapToGrid w:val="0"/>
                <w:color w:val="000000"/>
                <w:spacing w:val="-8"/>
                <w:kern w:val="0"/>
                <w:sz w:val="18"/>
                <w:szCs w:val="18"/>
                <w:lang w:val="en-US" w:eastAsia="en-US" w:bidi="ar-SA"/>
              </w:rPr>
              <w:t>0.5mm</w:t>
            </w:r>
            <w:r>
              <w:rPr>
                <w:rFonts w:ascii="宋体" w:hAnsi="宋体" w:eastAsia="宋体" w:cs="宋体"/>
                <w:snapToGrid w:val="0"/>
                <w:color w:val="000000"/>
                <w:spacing w:val="-8"/>
                <w:kern w:val="0"/>
                <w:sz w:val="18"/>
                <w:szCs w:val="18"/>
                <w:lang w:val="en-US" w:eastAsia="en-US" w:bidi="ar-SA"/>
              </w:rPr>
              <w:t>，铝板的厚</w:t>
            </w:r>
            <w:r>
              <w:rPr>
                <w:rFonts w:ascii="宋体" w:hAnsi="宋体" w:eastAsia="宋体" w:cs="宋体"/>
                <w:snapToGrid w:val="0"/>
                <w:color w:val="000000"/>
                <w:spacing w:val="-9"/>
                <w:kern w:val="0"/>
                <w:sz w:val="18"/>
                <w:szCs w:val="18"/>
                <w:lang w:val="en-US" w:eastAsia="en-US" w:bidi="ar-SA"/>
              </w:rPr>
              <w:t>度不</w:t>
            </w:r>
            <w:r>
              <w:rPr>
                <w:rFonts w:ascii="宋体" w:hAnsi="宋体" w:eastAsia="宋体" w:cs="宋体"/>
                <w:snapToGrid w:val="0"/>
                <w:color w:val="000000"/>
                <w:spacing w:val="-8"/>
                <w:kern w:val="0"/>
                <w:sz w:val="18"/>
                <w:szCs w:val="18"/>
                <w:lang w:val="en-US" w:eastAsia="en-US" w:bidi="ar-SA"/>
              </w:rPr>
              <w:t>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小于</w:t>
            </w:r>
            <w:r>
              <w:rPr>
                <w:rFonts w:ascii="Times New Roman" w:hAnsi="Times New Roman" w:eastAsia="Times New Roman" w:cs="Times New Roman"/>
                <w:snapToGrid w:val="0"/>
                <w:color w:val="000000"/>
                <w:spacing w:val="-7"/>
                <w:kern w:val="0"/>
                <w:sz w:val="18"/>
                <w:szCs w:val="18"/>
                <w:lang w:val="en-US" w:eastAsia="en-US" w:bidi="ar-SA"/>
              </w:rPr>
              <w:t>0.65mm</w:t>
            </w:r>
            <w:r>
              <w:rPr>
                <w:rFonts w:ascii="宋体" w:hAnsi="宋体" w:eastAsia="宋体" w:cs="宋体"/>
                <w:snapToGrid w:val="0"/>
                <w:color w:val="000000"/>
                <w:spacing w:val="-7"/>
                <w:kern w:val="0"/>
                <w:sz w:val="18"/>
                <w:szCs w:val="18"/>
                <w:lang w:val="en-US" w:eastAsia="en-US" w:bidi="ar-SA"/>
              </w:rPr>
              <w:t>，锌板的厚度不应小于</w:t>
            </w:r>
            <w:r>
              <w:rPr>
                <w:rFonts w:ascii="Times New Roman" w:hAnsi="Times New Roman" w:eastAsia="Times New Roman" w:cs="Times New Roman"/>
                <w:snapToGrid w:val="0"/>
                <w:color w:val="000000"/>
                <w:spacing w:val="-7"/>
                <w:kern w:val="0"/>
                <w:sz w:val="18"/>
                <w:szCs w:val="18"/>
                <w:lang w:val="en-US" w:eastAsia="en-US" w:bidi="ar-SA"/>
              </w:rPr>
              <w:t>0.7mm</w:t>
            </w:r>
            <w:r>
              <w:rPr>
                <w:rFonts w:ascii="宋体" w:hAnsi="宋体" w:eastAsia="宋体" w:cs="宋体"/>
                <w:snapToGrid w:val="0"/>
                <w:color w:val="000000"/>
                <w:spacing w:val="-7"/>
                <w:kern w:val="0"/>
                <w:sz w:val="18"/>
                <w:szCs w:val="18"/>
                <w:lang w:val="en-US" w:eastAsia="en-US" w:bidi="ar-SA"/>
              </w:rPr>
              <w:t>；</w:t>
            </w:r>
          </w:p>
          <w:p w14:paraId="32786B0D">
            <w:pPr>
              <w:kinsoku w:val="0"/>
              <w:autoSpaceDE w:val="0"/>
              <w:autoSpaceDN w:val="0"/>
              <w:adjustRightInd w:val="0"/>
              <w:snapToGrid w:val="0"/>
              <w:spacing w:before="85" w:line="215" w:lineRule="auto"/>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 xml:space="preserve">3  </w:t>
            </w:r>
            <w:r>
              <w:rPr>
                <w:rFonts w:ascii="宋体" w:hAnsi="宋体" w:eastAsia="宋体" w:cs="宋体"/>
                <w:snapToGrid w:val="0"/>
                <w:color w:val="000000"/>
                <w:spacing w:val="-7"/>
                <w:kern w:val="0"/>
                <w:sz w:val="18"/>
                <w:szCs w:val="18"/>
                <w:lang w:val="en-US" w:eastAsia="en-US" w:bidi="ar-SA"/>
              </w:rPr>
              <w:t>金属板应无绝缘被覆层。</w:t>
            </w:r>
          </w:p>
        </w:tc>
        <w:tc>
          <w:tcPr>
            <w:tcW w:w="1725" w:type="dxa"/>
            <w:vAlign w:val="top"/>
          </w:tcPr>
          <w:p w14:paraId="21594ECC">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0EFE2770">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031B222C">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562EA938">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48778BBB">
            <w:pPr>
              <w:kinsoku w:val="0"/>
              <w:autoSpaceDE w:val="0"/>
              <w:autoSpaceDN w:val="0"/>
              <w:adjustRightInd w:val="0"/>
              <w:snapToGrid w:val="0"/>
              <w:spacing w:before="59" w:line="219"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采用接闪带（网）保护</w:t>
            </w:r>
          </w:p>
        </w:tc>
        <w:tc>
          <w:tcPr>
            <w:tcW w:w="589" w:type="dxa"/>
            <w:tcBorders>
              <w:right w:val="single" w:color="000000" w:sz="10" w:space="0"/>
            </w:tcBorders>
            <w:vAlign w:val="top"/>
          </w:tcPr>
          <w:p w14:paraId="77B2EE2E">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6165C9B1">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61D19FCD">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3967A94C">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067E4E1E">
            <w:pPr>
              <w:kinsoku w:val="0"/>
              <w:autoSpaceDE w:val="0"/>
              <w:autoSpaceDN w:val="0"/>
              <w:adjustRightInd w:val="0"/>
              <w:snapToGrid w:val="0"/>
              <w:spacing w:before="58"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CA331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bottom w:val="single" w:color="000000" w:sz="10" w:space="0"/>
            </w:tcBorders>
            <w:vAlign w:val="top"/>
          </w:tcPr>
          <w:p w14:paraId="2A456EAF">
            <w:pPr>
              <w:kinsoku w:val="0"/>
              <w:autoSpaceDE w:val="0"/>
              <w:autoSpaceDN w:val="0"/>
              <w:adjustRightInd w:val="0"/>
              <w:snapToGrid w:val="0"/>
              <w:spacing w:before="298" w:line="183" w:lineRule="auto"/>
              <w:ind w:left="28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6</w:t>
            </w:r>
          </w:p>
        </w:tc>
        <w:tc>
          <w:tcPr>
            <w:tcW w:w="6301" w:type="dxa"/>
            <w:tcBorders>
              <w:bottom w:val="single" w:color="000000" w:sz="10" w:space="0"/>
            </w:tcBorders>
            <w:vAlign w:val="top"/>
          </w:tcPr>
          <w:p w14:paraId="431DF20B">
            <w:pPr>
              <w:kinsoku w:val="0"/>
              <w:autoSpaceDE w:val="0"/>
              <w:autoSpaceDN w:val="0"/>
              <w:adjustRightInd w:val="0"/>
              <w:snapToGrid w:val="0"/>
              <w:spacing w:before="121" w:line="264"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汽车加油加气加氢站的信息系统应采用铠装电缆或导线穿钢管配线</w:t>
            </w:r>
            <w:r>
              <w:rPr>
                <w:rFonts w:ascii="宋体" w:hAnsi="宋体" w:eastAsia="宋体" w:cs="宋体"/>
                <w:snapToGrid w:val="0"/>
                <w:color w:val="000000"/>
                <w:spacing w:val="-1"/>
                <w:kern w:val="0"/>
                <w:sz w:val="18"/>
                <w:szCs w:val="18"/>
                <w:lang w:val="en-US" w:eastAsia="en-US" w:bidi="ar-SA"/>
              </w:rPr>
              <w:t>。配线电缆铠</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装金属层两端、保护钢管两端均应接地。</w:t>
            </w:r>
          </w:p>
        </w:tc>
        <w:tc>
          <w:tcPr>
            <w:tcW w:w="1725" w:type="dxa"/>
            <w:tcBorders>
              <w:bottom w:val="single" w:color="000000" w:sz="10" w:space="0"/>
            </w:tcBorders>
            <w:vAlign w:val="top"/>
          </w:tcPr>
          <w:p w14:paraId="4713C55C">
            <w:pPr>
              <w:kinsoku w:val="0"/>
              <w:autoSpaceDE w:val="0"/>
              <w:autoSpaceDN w:val="0"/>
              <w:adjustRightInd w:val="0"/>
              <w:snapToGrid w:val="0"/>
              <w:spacing w:before="270" w:line="220" w:lineRule="auto"/>
              <w:ind w:left="5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符合要求</w:t>
            </w:r>
          </w:p>
        </w:tc>
        <w:tc>
          <w:tcPr>
            <w:tcW w:w="589" w:type="dxa"/>
            <w:tcBorders>
              <w:bottom w:val="single" w:color="000000" w:sz="10" w:space="0"/>
              <w:right w:val="single" w:color="000000" w:sz="10" w:space="0"/>
            </w:tcBorders>
            <w:vAlign w:val="top"/>
          </w:tcPr>
          <w:p w14:paraId="1261063E">
            <w:pPr>
              <w:kinsoku w:val="0"/>
              <w:autoSpaceDE w:val="0"/>
              <w:autoSpaceDN w:val="0"/>
              <w:adjustRightInd w:val="0"/>
              <w:snapToGrid w:val="0"/>
              <w:spacing w:before="270"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B3B2B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top w:val="single" w:color="000000" w:sz="10" w:space="0"/>
              <w:left w:val="single" w:color="000000" w:sz="10" w:space="0"/>
            </w:tcBorders>
            <w:vAlign w:val="top"/>
          </w:tcPr>
          <w:p w14:paraId="05159313">
            <w:pPr>
              <w:kinsoku w:val="0"/>
              <w:autoSpaceDE w:val="0"/>
              <w:autoSpaceDN w:val="0"/>
              <w:adjustRightInd w:val="0"/>
              <w:snapToGrid w:val="0"/>
              <w:spacing w:before="280" w:line="182" w:lineRule="auto"/>
              <w:ind w:left="28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7</w:t>
            </w:r>
          </w:p>
        </w:tc>
        <w:tc>
          <w:tcPr>
            <w:tcW w:w="6301" w:type="dxa"/>
            <w:tcBorders>
              <w:top w:val="single" w:color="000000" w:sz="10" w:space="0"/>
            </w:tcBorders>
            <w:vAlign w:val="top"/>
          </w:tcPr>
          <w:p w14:paraId="7FF0130D">
            <w:pPr>
              <w:kinsoku w:val="0"/>
              <w:autoSpaceDE w:val="0"/>
              <w:autoSpaceDN w:val="0"/>
              <w:adjustRightInd w:val="0"/>
              <w:snapToGrid w:val="0"/>
              <w:spacing w:before="100" w:line="266" w:lineRule="auto"/>
              <w:ind w:left="20" w:hanging="2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汽车加油加气加氢站信息系统的配电线路首、末端与电子器件连接</w:t>
            </w:r>
            <w:r>
              <w:rPr>
                <w:rFonts w:ascii="宋体" w:hAnsi="宋体" w:eastAsia="宋体" w:cs="宋体"/>
                <w:snapToGrid w:val="0"/>
                <w:color w:val="000000"/>
                <w:spacing w:val="-1"/>
                <w:kern w:val="0"/>
                <w:sz w:val="18"/>
                <w:szCs w:val="18"/>
                <w:lang w:val="en-US" w:eastAsia="en-US" w:bidi="ar-SA"/>
              </w:rPr>
              <w:t>时，应装设与</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电子器件耐压水平相适应的过电压（电涌）保护器。</w:t>
            </w:r>
          </w:p>
        </w:tc>
        <w:tc>
          <w:tcPr>
            <w:tcW w:w="1725" w:type="dxa"/>
            <w:tcBorders>
              <w:top w:val="single" w:color="000000" w:sz="10" w:space="0"/>
            </w:tcBorders>
            <w:vAlign w:val="top"/>
          </w:tcPr>
          <w:p w14:paraId="409CA2BE">
            <w:pPr>
              <w:kinsoku w:val="0"/>
              <w:autoSpaceDE w:val="0"/>
              <w:autoSpaceDN w:val="0"/>
              <w:adjustRightInd w:val="0"/>
              <w:snapToGrid w:val="0"/>
              <w:spacing w:before="251" w:line="220" w:lineRule="auto"/>
              <w:ind w:left="5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符合要求</w:t>
            </w:r>
          </w:p>
        </w:tc>
        <w:tc>
          <w:tcPr>
            <w:tcW w:w="589" w:type="dxa"/>
            <w:tcBorders>
              <w:top w:val="single" w:color="000000" w:sz="10" w:space="0"/>
              <w:right w:val="single" w:color="000000" w:sz="10" w:space="0"/>
            </w:tcBorders>
            <w:vAlign w:val="top"/>
          </w:tcPr>
          <w:p w14:paraId="7386E151">
            <w:pPr>
              <w:kinsoku w:val="0"/>
              <w:autoSpaceDE w:val="0"/>
              <w:autoSpaceDN w:val="0"/>
              <w:adjustRightInd w:val="0"/>
              <w:snapToGrid w:val="0"/>
              <w:spacing w:before="251"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8D7E2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4CF555C4">
            <w:pPr>
              <w:widowControl/>
              <w:kinsoku w:val="0"/>
              <w:autoSpaceDE w:val="0"/>
              <w:autoSpaceDN w:val="0"/>
              <w:adjustRightInd w:val="0"/>
              <w:snapToGrid w:val="0"/>
              <w:spacing w:line="379" w:lineRule="auto"/>
              <w:jc w:val="left"/>
              <w:textAlignment w:val="baseline"/>
              <w:rPr>
                <w:rFonts w:ascii="Arial" w:hAnsi="Arial" w:eastAsia="Arial" w:cs="Arial"/>
                <w:snapToGrid w:val="0"/>
                <w:color w:val="000000"/>
                <w:kern w:val="0"/>
                <w:sz w:val="21"/>
                <w:lang w:eastAsia="en-US"/>
              </w:rPr>
            </w:pPr>
          </w:p>
          <w:p w14:paraId="191A1A24">
            <w:pPr>
              <w:kinsoku w:val="0"/>
              <w:autoSpaceDE w:val="0"/>
              <w:autoSpaceDN w:val="0"/>
              <w:adjustRightInd w:val="0"/>
              <w:snapToGrid w:val="0"/>
              <w:spacing w:before="58" w:line="183" w:lineRule="auto"/>
              <w:ind w:left="28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8</w:t>
            </w:r>
          </w:p>
        </w:tc>
        <w:tc>
          <w:tcPr>
            <w:tcW w:w="6301" w:type="dxa"/>
            <w:vAlign w:val="top"/>
          </w:tcPr>
          <w:p w14:paraId="7165AA87">
            <w:pPr>
              <w:kinsoku w:val="0"/>
              <w:autoSpaceDE w:val="0"/>
              <w:autoSpaceDN w:val="0"/>
              <w:adjustRightInd w:val="0"/>
              <w:snapToGrid w:val="0"/>
              <w:spacing w:before="81" w:line="293" w:lineRule="auto"/>
              <w:ind w:left="3" w:hanging="3"/>
              <w:jc w:val="both"/>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380/220V</w:t>
            </w:r>
            <w:r>
              <w:rPr>
                <w:rFonts w:ascii="宋体" w:hAnsi="宋体" w:eastAsia="宋体" w:cs="宋体"/>
                <w:snapToGrid w:val="0"/>
                <w:color w:val="000000"/>
                <w:spacing w:val="1"/>
                <w:kern w:val="0"/>
                <w:sz w:val="18"/>
                <w:szCs w:val="18"/>
                <w:lang w:val="en-US" w:eastAsia="en-US" w:bidi="ar-SA"/>
              </w:rPr>
              <w:t>供配电系统宜采用</w:t>
            </w:r>
            <w:r>
              <w:rPr>
                <w:rFonts w:ascii="Times New Roman" w:hAnsi="Times New Roman" w:eastAsia="Times New Roman" w:cs="Times New Roman"/>
                <w:snapToGrid w:val="0"/>
                <w:color w:val="000000"/>
                <w:kern w:val="0"/>
                <w:sz w:val="18"/>
                <w:szCs w:val="18"/>
                <w:lang w:val="en-US" w:eastAsia="en-US" w:bidi="ar-SA"/>
              </w:rPr>
              <w:t>TN</w:t>
            </w:r>
            <w:r>
              <w:rPr>
                <w:rFonts w:ascii="Times New Roman" w:hAnsi="Times New Roman" w:eastAsia="Times New Roman" w:cs="Times New Roman"/>
                <w:snapToGrid w:val="0"/>
                <w:color w:val="000000"/>
                <w:spacing w:val="1"/>
                <w:kern w:val="0"/>
                <w:sz w:val="18"/>
                <w:szCs w:val="18"/>
                <w:lang w:val="en-US" w:eastAsia="en-US" w:bidi="ar-SA"/>
              </w:rPr>
              <w:t>-S</w:t>
            </w:r>
            <w:r>
              <w:rPr>
                <w:rFonts w:ascii="宋体" w:hAnsi="宋体" w:eastAsia="宋体" w:cs="宋体"/>
                <w:snapToGrid w:val="0"/>
                <w:color w:val="000000"/>
                <w:spacing w:val="1"/>
                <w:kern w:val="0"/>
                <w:sz w:val="18"/>
                <w:szCs w:val="18"/>
                <w:lang w:val="en-US" w:eastAsia="en-US" w:bidi="ar-SA"/>
              </w:rPr>
              <w:t>系统，当外供电源为</w:t>
            </w:r>
            <w:r>
              <w:rPr>
                <w:rFonts w:ascii="Times New Roman" w:hAnsi="Times New Roman" w:eastAsia="Times New Roman" w:cs="Times New Roman"/>
                <w:snapToGrid w:val="0"/>
                <w:color w:val="000000"/>
                <w:spacing w:val="1"/>
                <w:kern w:val="0"/>
                <w:sz w:val="18"/>
                <w:szCs w:val="18"/>
                <w:lang w:val="en-US" w:eastAsia="en-US" w:bidi="ar-SA"/>
              </w:rPr>
              <w:t>380V</w:t>
            </w:r>
            <w:r>
              <w:rPr>
                <w:rFonts w:ascii="宋体" w:hAnsi="宋体" w:eastAsia="宋体" w:cs="宋体"/>
                <w:snapToGrid w:val="0"/>
                <w:color w:val="000000"/>
                <w:spacing w:val="1"/>
                <w:kern w:val="0"/>
                <w:sz w:val="18"/>
                <w:szCs w:val="18"/>
                <w:lang w:val="en-US" w:eastAsia="en-US" w:bidi="ar-SA"/>
              </w:rPr>
              <w:t>时，可采用</w:t>
            </w:r>
            <w:r>
              <w:rPr>
                <w:rFonts w:ascii="Times New Roman" w:hAnsi="Times New Roman" w:eastAsia="Times New Roman" w:cs="Times New Roman"/>
                <w:snapToGrid w:val="0"/>
                <w:color w:val="000000"/>
                <w:kern w:val="0"/>
                <w:sz w:val="18"/>
                <w:szCs w:val="18"/>
                <w:lang w:val="en-US" w:eastAsia="en-US" w:bidi="ar-SA"/>
              </w:rPr>
              <w:t>TN</w:t>
            </w:r>
            <w:r>
              <w:rPr>
                <w:rFonts w:ascii="Times New Roman" w:hAnsi="Times New Roman" w:eastAsia="Times New Roman" w:cs="Times New Roman"/>
                <w:snapToGrid w:val="0"/>
                <w:color w:val="000000"/>
                <w:spacing w:val="1"/>
                <w:kern w:val="0"/>
                <w:sz w:val="18"/>
                <w:szCs w:val="18"/>
                <w:lang w:val="en-US" w:eastAsia="en-US" w:bidi="ar-SA"/>
              </w:rPr>
              <w:t>-C-S</w:t>
            </w:r>
            <w:r>
              <w:rPr>
                <w:rFonts w:ascii="宋体" w:hAnsi="宋体" w:eastAsia="宋体" w:cs="宋体"/>
                <w:snapToGrid w:val="0"/>
                <w:color w:val="000000"/>
                <w:spacing w:val="1"/>
                <w:kern w:val="0"/>
                <w:sz w:val="18"/>
                <w:szCs w:val="18"/>
                <w:lang w:val="en-US" w:eastAsia="en-US" w:bidi="ar-SA"/>
              </w:rPr>
              <w:t>系</w:t>
            </w:r>
            <w:r>
              <w:rPr>
                <w:rFonts w:ascii="宋体" w:hAnsi="宋体" w:eastAsia="宋体" w:cs="宋体"/>
                <w:snapToGrid w:val="0"/>
                <w:color w:val="000000"/>
                <w:spacing w:val="1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统。供电系统的电缆金属外皮或电缆金属保护管两端均应接</w:t>
            </w:r>
            <w:r>
              <w:rPr>
                <w:rFonts w:ascii="宋体" w:hAnsi="宋体" w:eastAsia="宋体" w:cs="宋体"/>
                <w:snapToGrid w:val="0"/>
                <w:color w:val="000000"/>
                <w:spacing w:val="-1"/>
                <w:kern w:val="0"/>
                <w:sz w:val="18"/>
                <w:szCs w:val="18"/>
                <w:lang w:val="en-US" w:eastAsia="en-US" w:bidi="ar-SA"/>
              </w:rPr>
              <w:t>地，在供配电系统的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电源端应安装与设备耐压水平相适应的过电压（电）保护器。</w:t>
            </w:r>
          </w:p>
        </w:tc>
        <w:tc>
          <w:tcPr>
            <w:tcW w:w="1725" w:type="dxa"/>
            <w:vAlign w:val="top"/>
          </w:tcPr>
          <w:p w14:paraId="194B7410">
            <w:pPr>
              <w:widowControl/>
              <w:kinsoku w:val="0"/>
              <w:autoSpaceDE w:val="0"/>
              <w:autoSpaceDN w:val="0"/>
              <w:adjustRightInd w:val="0"/>
              <w:snapToGrid w:val="0"/>
              <w:spacing w:line="351" w:lineRule="auto"/>
              <w:jc w:val="left"/>
              <w:textAlignment w:val="baseline"/>
              <w:rPr>
                <w:rFonts w:ascii="Arial" w:hAnsi="Arial" w:eastAsia="Arial" w:cs="Arial"/>
                <w:snapToGrid w:val="0"/>
                <w:color w:val="000000"/>
                <w:kern w:val="0"/>
                <w:sz w:val="21"/>
                <w:lang w:eastAsia="en-US"/>
              </w:rPr>
            </w:pPr>
          </w:p>
          <w:p w14:paraId="0D0D41F9">
            <w:pPr>
              <w:kinsoku w:val="0"/>
              <w:autoSpaceDE w:val="0"/>
              <w:autoSpaceDN w:val="0"/>
              <w:adjustRightInd w:val="0"/>
              <w:snapToGrid w:val="0"/>
              <w:spacing w:before="58" w:line="219" w:lineRule="auto"/>
              <w:ind w:left="27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采用</w:t>
            </w:r>
            <w:r>
              <w:rPr>
                <w:rFonts w:ascii="宋体" w:hAnsi="宋体" w:eastAsia="宋体" w:cs="宋体"/>
                <w:snapToGrid w:val="0"/>
                <w:color w:val="000000"/>
                <w:spacing w:val="-33"/>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TN-S</w:t>
            </w:r>
            <w:r>
              <w:rPr>
                <w:rFonts w:ascii="Times New Roman" w:hAnsi="Times New Roman" w:eastAsia="Times New Roman" w:cs="Times New Roman"/>
                <w:snapToGrid w:val="0"/>
                <w:color w:val="000000"/>
                <w:spacing w:val="12"/>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系统</w:t>
            </w:r>
          </w:p>
        </w:tc>
        <w:tc>
          <w:tcPr>
            <w:tcW w:w="589" w:type="dxa"/>
            <w:tcBorders>
              <w:right w:val="single" w:color="000000" w:sz="10" w:space="0"/>
            </w:tcBorders>
            <w:vAlign w:val="top"/>
          </w:tcPr>
          <w:p w14:paraId="37206FD7">
            <w:pPr>
              <w:widowControl/>
              <w:kinsoku w:val="0"/>
              <w:autoSpaceDE w:val="0"/>
              <w:autoSpaceDN w:val="0"/>
              <w:adjustRightInd w:val="0"/>
              <w:snapToGrid w:val="0"/>
              <w:spacing w:line="351" w:lineRule="auto"/>
              <w:jc w:val="left"/>
              <w:textAlignment w:val="baseline"/>
              <w:rPr>
                <w:rFonts w:ascii="Arial" w:hAnsi="Arial" w:eastAsia="Arial" w:cs="Arial"/>
                <w:snapToGrid w:val="0"/>
                <w:color w:val="000000"/>
                <w:kern w:val="0"/>
                <w:sz w:val="21"/>
                <w:lang w:eastAsia="en-US"/>
              </w:rPr>
            </w:pPr>
          </w:p>
          <w:p w14:paraId="34D65D8A">
            <w:pPr>
              <w:kinsoku w:val="0"/>
              <w:autoSpaceDE w:val="0"/>
              <w:autoSpaceDN w:val="0"/>
              <w:adjustRightInd w:val="0"/>
              <w:snapToGrid w:val="0"/>
              <w:spacing w:before="58"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AFE4B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686E6E1D">
            <w:pPr>
              <w:widowControl/>
              <w:kinsoku w:val="0"/>
              <w:autoSpaceDE w:val="0"/>
              <w:autoSpaceDN w:val="0"/>
              <w:adjustRightInd w:val="0"/>
              <w:snapToGrid w:val="0"/>
              <w:spacing w:line="371" w:lineRule="auto"/>
              <w:jc w:val="left"/>
              <w:textAlignment w:val="baseline"/>
              <w:rPr>
                <w:rFonts w:ascii="Arial" w:hAnsi="Arial" w:eastAsia="Arial" w:cs="Arial"/>
                <w:snapToGrid w:val="0"/>
                <w:color w:val="000000"/>
                <w:kern w:val="0"/>
                <w:sz w:val="21"/>
                <w:lang w:eastAsia="en-US"/>
              </w:rPr>
            </w:pPr>
          </w:p>
          <w:p w14:paraId="406F8094">
            <w:pPr>
              <w:kinsoku w:val="0"/>
              <w:autoSpaceDE w:val="0"/>
              <w:autoSpaceDN w:val="0"/>
              <w:adjustRightInd w:val="0"/>
              <w:snapToGrid w:val="0"/>
              <w:spacing w:before="58" w:line="183" w:lineRule="auto"/>
              <w:ind w:left="28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9</w:t>
            </w:r>
          </w:p>
        </w:tc>
        <w:tc>
          <w:tcPr>
            <w:tcW w:w="6301" w:type="dxa"/>
            <w:vAlign w:val="top"/>
          </w:tcPr>
          <w:p w14:paraId="0E575938">
            <w:pPr>
              <w:kinsoku w:val="0"/>
              <w:autoSpaceDE w:val="0"/>
              <w:autoSpaceDN w:val="0"/>
              <w:adjustRightInd w:val="0"/>
              <w:snapToGrid w:val="0"/>
              <w:spacing w:before="252" w:line="294"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地上或管沟敷设的油品管道、</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kern w:val="0"/>
                <w:sz w:val="18"/>
                <w:szCs w:val="18"/>
                <w:lang w:val="en-US" w:eastAsia="en-US" w:bidi="ar-SA"/>
              </w:rPr>
              <w:t>管道，</w:t>
            </w:r>
            <w:r>
              <w:rPr>
                <w:rFonts w:ascii="Times New Roman" w:hAnsi="Times New Roman" w:eastAsia="Times New Roman" w:cs="Times New Roman"/>
                <w:snapToGrid w:val="0"/>
                <w:color w:val="000000"/>
                <w:kern w:val="0"/>
                <w:sz w:val="18"/>
                <w:szCs w:val="18"/>
                <w:lang w:val="en-US" w:eastAsia="en-US" w:bidi="ar-SA"/>
              </w:rPr>
              <w:t>LNG</w:t>
            </w:r>
            <w:r>
              <w:rPr>
                <w:rFonts w:ascii="宋体" w:hAnsi="宋体" w:eastAsia="宋体" w:cs="宋体"/>
                <w:snapToGrid w:val="0"/>
                <w:color w:val="000000"/>
                <w:spacing w:val="-1"/>
                <w:kern w:val="0"/>
                <w:sz w:val="18"/>
                <w:szCs w:val="18"/>
                <w:lang w:val="en-US" w:eastAsia="en-US" w:bidi="ar-SA"/>
              </w:rPr>
              <w:t>管道</w:t>
            </w:r>
            <w:r>
              <w:rPr>
                <w:rFonts w:ascii="Times New Roman" w:hAnsi="Times New Roman" w:eastAsia="Times New Roman" w:cs="Times New Roman"/>
                <w:snapToGrid w:val="0"/>
                <w:color w:val="000000"/>
                <w:spacing w:val="-1"/>
                <w:kern w:val="0"/>
                <w:sz w:val="18"/>
                <w:szCs w:val="18"/>
                <w:lang w:val="en-US" w:eastAsia="en-US" w:bidi="ar-SA"/>
              </w:rPr>
              <w:t>CNG</w:t>
            </w:r>
            <w:r>
              <w:rPr>
                <w:rFonts w:ascii="宋体" w:hAnsi="宋体" w:eastAsia="宋体" w:cs="宋体"/>
                <w:snapToGrid w:val="0"/>
                <w:color w:val="000000"/>
                <w:spacing w:val="-1"/>
                <w:kern w:val="0"/>
                <w:sz w:val="18"/>
                <w:szCs w:val="18"/>
                <w:lang w:val="en-US" w:eastAsia="en-US" w:bidi="ar-SA"/>
              </w:rPr>
              <w:t>管道、氢气管道和液氢管</w:t>
            </w:r>
            <w:r>
              <w:rPr>
                <w:rFonts w:ascii="宋体" w:hAnsi="宋体" w:eastAsia="宋体" w:cs="宋体"/>
                <w:snapToGrid w:val="0"/>
                <w:color w:val="000000"/>
                <w:kern w:val="0"/>
                <w:sz w:val="18"/>
                <w:szCs w:val="18"/>
                <w:lang w:val="en-US" w:eastAsia="en-US" w:bidi="ar-SA"/>
              </w:rPr>
              <w:t xml:space="preserve"> 道应设防静电和防感应雷的共用接地装置，</w:t>
            </w:r>
            <w:r>
              <w:rPr>
                <w:rFonts w:ascii="宋体" w:hAnsi="宋体" w:eastAsia="宋体" w:cs="宋体"/>
                <w:snapToGrid w:val="0"/>
                <w:color w:val="000000"/>
                <w:spacing w:val="-1"/>
                <w:kern w:val="0"/>
                <w:sz w:val="18"/>
                <w:szCs w:val="18"/>
                <w:lang w:val="en-US" w:eastAsia="en-US" w:bidi="ar-SA"/>
              </w:rPr>
              <w:t>接地电阻不应大于</w:t>
            </w:r>
            <w:r>
              <w:rPr>
                <w:rFonts w:ascii="Times New Roman" w:hAnsi="Times New Roman" w:eastAsia="Times New Roman" w:cs="Times New Roman"/>
                <w:snapToGrid w:val="0"/>
                <w:color w:val="000000"/>
                <w:spacing w:val="-1"/>
                <w:kern w:val="0"/>
                <w:sz w:val="18"/>
                <w:szCs w:val="18"/>
                <w:lang w:val="en-US" w:eastAsia="en-US" w:bidi="ar-SA"/>
              </w:rPr>
              <w:t>30Ω</w:t>
            </w:r>
            <w:r>
              <w:rPr>
                <w:rFonts w:ascii="宋体" w:hAnsi="宋体" w:eastAsia="宋体" w:cs="宋体"/>
                <w:snapToGrid w:val="0"/>
                <w:color w:val="000000"/>
                <w:spacing w:val="-1"/>
                <w:kern w:val="0"/>
                <w:sz w:val="18"/>
                <w:szCs w:val="18"/>
                <w:lang w:val="en-US" w:eastAsia="en-US" w:bidi="ar-SA"/>
              </w:rPr>
              <w:t>。</w:t>
            </w:r>
          </w:p>
        </w:tc>
        <w:tc>
          <w:tcPr>
            <w:tcW w:w="1725" w:type="dxa"/>
            <w:vAlign w:val="top"/>
          </w:tcPr>
          <w:p w14:paraId="4B1DD844">
            <w:pPr>
              <w:kinsoku w:val="0"/>
              <w:autoSpaceDE w:val="0"/>
              <w:autoSpaceDN w:val="0"/>
              <w:adjustRightInd w:val="0"/>
              <w:snapToGrid w:val="0"/>
              <w:spacing w:before="103" w:line="220" w:lineRule="auto"/>
              <w:ind w:left="6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油品管道接地电阻不</w:t>
            </w:r>
          </w:p>
          <w:p w14:paraId="7969805A">
            <w:pPr>
              <w:kinsoku w:val="0"/>
              <w:autoSpaceDE w:val="0"/>
              <w:autoSpaceDN w:val="0"/>
              <w:adjustRightInd w:val="0"/>
              <w:snapToGrid w:val="0"/>
              <w:spacing w:before="85" w:line="217" w:lineRule="auto"/>
              <w:jc w:val="righ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9"/>
                <w:kern w:val="0"/>
                <w:sz w:val="18"/>
                <w:szCs w:val="18"/>
                <w:lang w:val="en-US" w:eastAsia="en-US" w:bidi="ar-SA"/>
              </w:rPr>
              <w:t>大于</w:t>
            </w:r>
            <w:r>
              <w:rPr>
                <w:rFonts w:ascii="宋体" w:hAnsi="宋体" w:eastAsia="宋体" w:cs="宋体"/>
                <w:snapToGrid w:val="0"/>
                <w:color w:val="000000"/>
                <w:spacing w:val="-35"/>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30Ω</w:t>
            </w:r>
            <w:r>
              <w:rPr>
                <w:rFonts w:ascii="Times New Roman" w:hAnsi="Times New Roman" w:eastAsia="Times New Roman" w:cs="Times New Roman"/>
                <w:snapToGrid w:val="0"/>
                <w:color w:val="000000"/>
                <w:spacing w:val="-25"/>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w:t>
            </w:r>
            <w:r>
              <w:rPr>
                <w:rFonts w:ascii="宋体" w:hAnsi="宋体" w:eastAsia="宋体" w:cs="宋体"/>
                <w:snapToGrid w:val="0"/>
                <w:color w:val="000000"/>
                <w:spacing w:val="-31"/>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见防雷检测</w:t>
            </w:r>
          </w:p>
          <w:p w14:paraId="06BD8C7A">
            <w:pPr>
              <w:kinsoku w:val="0"/>
              <w:autoSpaceDE w:val="0"/>
              <w:autoSpaceDN w:val="0"/>
              <w:adjustRightInd w:val="0"/>
              <w:snapToGrid w:val="0"/>
              <w:spacing w:before="87" w:line="219" w:lineRule="auto"/>
              <w:ind w:left="69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报告</w:t>
            </w:r>
          </w:p>
        </w:tc>
        <w:tc>
          <w:tcPr>
            <w:tcW w:w="589" w:type="dxa"/>
            <w:tcBorders>
              <w:right w:val="single" w:color="000000" w:sz="10" w:space="0"/>
            </w:tcBorders>
            <w:vAlign w:val="top"/>
          </w:tcPr>
          <w:p w14:paraId="1AEB5076">
            <w:pPr>
              <w:widowControl/>
              <w:kinsoku w:val="0"/>
              <w:autoSpaceDE w:val="0"/>
              <w:autoSpaceDN w:val="0"/>
              <w:adjustRightInd w:val="0"/>
              <w:snapToGrid w:val="0"/>
              <w:spacing w:line="342" w:lineRule="auto"/>
              <w:jc w:val="left"/>
              <w:textAlignment w:val="baseline"/>
              <w:rPr>
                <w:rFonts w:ascii="Arial" w:hAnsi="Arial" w:eastAsia="Arial" w:cs="Arial"/>
                <w:snapToGrid w:val="0"/>
                <w:color w:val="000000"/>
                <w:kern w:val="0"/>
                <w:sz w:val="21"/>
                <w:lang w:eastAsia="en-US"/>
              </w:rPr>
            </w:pPr>
          </w:p>
          <w:p w14:paraId="6BC0FEC1">
            <w:pPr>
              <w:kinsoku w:val="0"/>
              <w:autoSpaceDE w:val="0"/>
              <w:autoSpaceDN w:val="0"/>
              <w:adjustRightInd w:val="0"/>
              <w:snapToGrid w:val="0"/>
              <w:spacing w:before="59"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1CE2DE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02A1A203">
            <w:pPr>
              <w:widowControl/>
              <w:kinsoku w:val="0"/>
              <w:autoSpaceDE w:val="0"/>
              <w:autoSpaceDN w:val="0"/>
              <w:adjustRightInd w:val="0"/>
              <w:snapToGrid w:val="0"/>
              <w:spacing w:line="372" w:lineRule="auto"/>
              <w:jc w:val="left"/>
              <w:textAlignment w:val="baseline"/>
              <w:rPr>
                <w:rFonts w:ascii="Arial" w:hAnsi="Arial" w:eastAsia="Arial" w:cs="Arial"/>
                <w:snapToGrid w:val="0"/>
                <w:color w:val="000000"/>
                <w:kern w:val="0"/>
                <w:sz w:val="21"/>
                <w:lang w:eastAsia="en-US"/>
              </w:rPr>
            </w:pPr>
          </w:p>
          <w:p w14:paraId="0DF33F98">
            <w:pPr>
              <w:kinsoku w:val="0"/>
              <w:autoSpaceDE w:val="0"/>
              <w:autoSpaceDN w:val="0"/>
              <w:adjustRightInd w:val="0"/>
              <w:snapToGrid w:val="0"/>
              <w:spacing w:before="58" w:line="184" w:lineRule="auto"/>
              <w:ind w:left="2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10</w:t>
            </w:r>
          </w:p>
        </w:tc>
        <w:tc>
          <w:tcPr>
            <w:tcW w:w="6301" w:type="dxa"/>
            <w:vAlign w:val="top"/>
          </w:tcPr>
          <w:p w14:paraId="32F6C3F8">
            <w:pPr>
              <w:kinsoku w:val="0"/>
              <w:autoSpaceDE w:val="0"/>
              <w:autoSpaceDN w:val="0"/>
              <w:adjustRightInd w:val="0"/>
              <w:snapToGrid w:val="0"/>
              <w:spacing w:before="105" w:line="278" w:lineRule="auto"/>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加油加気加氢站的油罐车</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kern w:val="0"/>
                <w:sz w:val="18"/>
                <w:szCs w:val="18"/>
                <w:lang w:val="en-US" w:eastAsia="en-US" w:bidi="ar-SA"/>
              </w:rPr>
              <w:t>罐车、</w:t>
            </w:r>
            <w:r>
              <w:rPr>
                <w:rFonts w:ascii="Times New Roman" w:hAnsi="Times New Roman" w:eastAsia="Times New Roman" w:cs="Times New Roman"/>
                <w:snapToGrid w:val="0"/>
                <w:color w:val="000000"/>
                <w:kern w:val="0"/>
                <w:sz w:val="18"/>
                <w:szCs w:val="18"/>
                <w:lang w:val="en-US" w:eastAsia="en-US" w:bidi="ar-SA"/>
              </w:rPr>
              <w:t>LNG</w:t>
            </w:r>
            <w:r>
              <w:rPr>
                <w:rFonts w:ascii="宋体" w:hAnsi="宋体" w:eastAsia="宋体" w:cs="宋体"/>
                <w:snapToGrid w:val="0"/>
                <w:color w:val="000000"/>
                <w:kern w:val="0"/>
                <w:sz w:val="18"/>
                <w:szCs w:val="18"/>
                <w:lang w:val="en-US" w:eastAsia="en-US" w:bidi="ar-SA"/>
              </w:rPr>
              <w:t>罐车和液氢罐车卸车场地应设卸车或卸</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气临时用的防静电接地装置，并应设置能检测跨接线及监视接地装</w:t>
            </w:r>
            <w:r>
              <w:rPr>
                <w:rFonts w:ascii="宋体" w:hAnsi="宋体" w:eastAsia="宋体" w:cs="宋体"/>
                <w:snapToGrid w:val="0"/>
                <w:color w:val="000000"/>
                <w:spacing w:val="-1"/>
                <w:kern w:val="0"/>
                <w:sz w:val="18"/>
                <w:szCs w:val="18"/>
                <w:lang w:val="en-US" w:eastAsia="en-US" w:bidi="ar-SA"/>
              </w:rPr>
              <w:t>置状态的静电</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接地仪。</w:t>
            </w:r>
          </w:p>
        </w:tc>
        <w:tc>
          <w:tcPr>
            <w:tcW w:w="1725" w:type="dxa"/>
            <w:vAlign w:val="top"/>
          </w:tcPr>
          <w:p w14:paraId="52EFCCC5">
            <w:pPr>
              <w:widowControl/>
              <w:kinsoku w:val="0"/>
              <w:autoSpaceDE w:val="0"/>
              <w:autoSpaceDN w:val="0"/>
              <w:adjustRightInd w:val="0"/>
              <w:snapToGrid w:val="0"/>
              <w:spacing w:line="345" w:lineRule="auto"/>
              <w:jc w:val="left"/>
              <w:textAlignment w:val="baseline"/>
              <w:rPr>
                <w:rFonts w:ascii="Arial" w:hAnsi="Arial" w:eastAsia="Arial" w:cs="Arial"/>
                <w:snapToGrid w:val="0"/>
                <w:color w:val="000000"/>
                <w:kern w:val="0"/>
                <w:sz w:val="21"/>
                <w:lang w:eastAsia="en-US"/>
              </w:rPr>
            </w:pPr>
          </w:p>
          <w:p w14:paraId="10435A14">
            <w:pPr>
              <w:kinsoku w:val="0"/>
              <w:autoSpaceDE w:val="0"/>
              <w:autoSpaceDN w:val="0"/>
              <w:adjustRightInd w:val="0"/>
              <w:snapToGrid w:val="0"/>
              <w:spacing w:before="58" w:line="219" w:lineRule="auto"/>
              <w:ind w:left="15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有防静电接地装置</w:t>
            </w:r>
          </w:p>
        </w:tc>
        <w:tc>
          <w:tcPr>
            <w:tcW w:w="589" w:type="dxa"/>
            <w:tcBorders>
              <w:right w:val="single" w:color="000000" w:sz="10" w:space="0"/>
            </w:tcBorders>
            <w:vAlign w:val="top"/>
          </w:tcPr>
          <w:p w14:paraId="476A0EDF">
            <w:pPr>
              <w:widowControl/>
              <w:kinsoku w:val="0"/>
              <w:autoSpaceDE w:val="0"/>
              <w:autoSpaceDN w:val="0"/>
              <w:adjustRightInd w:val="0"/>
              <w:snapToGrid w:val="0"/>
              <w:spacing w:line="344" w:lineRule="auto"/>
              <w:jc w:val="left"/>
              <w:textAlignment w:val="baseline"/>
              <w:rPr>
                <w:rFonts w:ascii="Arial" w:hAnsi="Arial" w:eastAsia="Arial" w:cs="Arial"/>
                <w:snapToGrid w:val="0"/>
                <w:color w:val="000000"/>
                <w:kern w:val="0"/>
                <w:sz w:val="21"/>
                <w:lang w:eastAsia="en-US"/>
              </w:rPr>
            </w:pPr>
          </w:p>
          <w:p w14:paraId="01F7324C">
            <w:pPr>
              <w:kinsoku w:val="0"/>
              <w:autoSpaceDE w:val="0"/>
              <w:autoSpaceDN w:val="0"/>
              <w:adjustRightInd w:val="0"/>
              <w:snapToGrid w:val="0"/>
              <w:spacing w:before="59"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5DF3C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2ACCF3FE">
            <w:pPr>
              <w:kinsoku w:val="0"/>
              <w:autoSpaceDE w:val="0"/>
              <w:autoSpaceDN w:val="0"/>
              <w:adjustRightInd w:val="0"/>
              <w:snapToGrid w:val="0"/>
              <w:spacing w:before="281" w:line="184" w:lineRule="auto"/>
              <w:ind w:left="2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11</w:t>
            </w:r>
          </w:p>
        </w:tc>
        <w:tc>
          <w:tcPr>
            <w:tcW w:w="6301" w:type="dxa"/>
            <w:vAlign w:val="top"/>
          </w:tcPr>
          <w:p w14:paraId="1F753C3D">
            <w:pPr>
              <w:kinsoku w:val="0"/>
              <w:autoSpaceDE w:val="0"/>
              <w:autoSpaceDN w:val="0"/>
              <w:adjustRightInd w:val="0"/>
              <w:snapToGrid w:val="0"/>
              <w:spacing w:before="104" w:line="262"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在爆炸危险区域内工艺管道上的法兰、胶管两端等连接处应用金属</w:t>
            </w:r>
            <w:r>
              <w:rPr>
                <w:rFonts w:ascii="宋体" w:hAnsi="宋体" w:eastAsia="宋体" w:cs="宋体"/>
                <w:snapToGrid w:val="0"/>
                <w:color w:val="000000"/>
                <w:spacing w:val="-1"/>
                <w:kern w:val="0"/>
                <w:sz w:val="18"/>
                <w:szCs w:val="18"/>
                <w:lang w:val="en-US" w:eastAsia="en-US" w:bidi="ar-SA"/>
              </w:rPr>
              <w:t>线跨接。当法</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兰的连接螺栓不少于</w:t>
            </w:r>
            <w:r>
              <w:rPr>
                <w:rFonts w:ascii="Times New Roman" w:hAnsi="Times New Roman" w:eastAsia="Times New Roman" w:cs="Times New Roman"/>
                <w:snapToGrid w:val="0"/>
                <w:color w:val="000000"/>
                <w:spacing w:val="-1"/>
                <w:kern w:val="0"/>
                <w:sz w:val="18"/>
                <w:szCs w:val="18"/>
                <w:lang w:val="en-US" w:eastAsia="en-US" w:bidi="ar-SA"/>
              </w:rPr>
              <w:t>5</w:t>
            </w:r>
            <w:r>
              <w:rPr>
                <w:rFonts w:ascii="宋体" w:hAnsi="宋体" w:eastAsia="宋体" w:cs="宋体"/>
                <w:snapToGrid w:val="0"/>
                <w:color w:val="000000"/>
                <w:spacing w:val="-1"/>
                <w:kern w:val="0"/>
                <w:sz w:val="18"/>
                <w:szCs w:val="18"/>
                <w:lang w:val="en-US" w:eastAsia="en-US" w:bidi="ar-SA"/>
              </w:rPr>
              <w:t>根时，在非腐蚀环境下可不跨接。</w:t>
            </w:r>
          </w:p>
        </w:tc>
        <w:tc>
          <w:tcPr>
            <w:tcW w:w="1725" w:type="dxa"/>
            <w:vAlign w:val="top"/>
          </w:tcPr>
          <w:p w14:paraId="4A0C15FE">
            <w:pPr>
              <w:kinsoku w:val="0"/>
              <w:autoSpaceDE w:val="0"/>
              <w:autoSpaceDN w:val="0"/>
              <w:adjustRightInd w:val="0"/>
              <w:snapToGrid w:val="0"/>
              <w:spacing w:before="253" w:line="220" w:lineRule="auto"/>
              <w:ind w:left="42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按要求跨接</w:t>
            </w:r>
          </w:p>
        </w:tc>
        <w:tc>
          <w:tcPr>
            <w:tcW w:w="589" w:type="dxa"/>
            <w:tcBorders>
              <w:right w:val="single" w:color="000000" w:sz="10" w:space="0"/>
            </w:tcBorders>
            <w:vAlign w:val="top"/>
          </w:tcPr>
          <w:p w14:paraId="26EF7B84">
            <w:pPr>
              <w:kinsoku w:val="0"/>
              <w:autoSpaceDE w:val="0"/>
              <w:autoSpaceDN w:val="0"/>
              <w:adjustRightInd w:val="0"/>
              <w:snapToGrid w:val="0"/>
              <w:spacing w:before="253"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0E193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657CDE6D">
            <w:pPr>
              <w:kinsoku w:val="0"/>
              <w:autoSpaceDE w:val="0"/>
              <w:autoSpaceDN w:val="0"/>
              <w:adjustRightInd w:val="0"/>
              <w:snapToGrid w:val="0"/>
              <w:spacing w:before="128" w:line="184" w:lineRule="auto"/>
              <w:ind w:left="2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12</w:t>
            </w:r>
          </w:p>
        </w:tc>
        <w:tc>
          <w:tcPr>
            <w:tcW w:w="6301" w:type="dxa"/>
            <w:vAlign w:val="top"/>
          </w:tcPr>
          <w:p w14:paraId="7CD154A9">
            <w:pPr>
              <w:kinsoku w:val="0"/>
              <w:autoSpaceDE w:val="0"/>
              <w:autoSpaceDN w:val="0"/>
              <w:adjustRightInd w:val="0"/>
              <w:snapToGrid w:val="0"/>
              <w:spacing w:before="101" w:line="213" w:lineRule="auto"/>
              <w:ind w:left="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油罐车卸油用的卸油软管、油气回收软管与两端接头，</w:t>
            </w:r>
            <w:r>
              <w:rPr>
                <w:rFonts w:ascii="宋体" w:hAnsi="宋体" w:eastAsia="宋体" w:cs="宋体"/>
                <w:snapToGrid w:val="0"/>
                <w:color w:val="000000"/>
                <w:spacing w:val="-1"/>
                <w:kern w:val="0"/>
                <w:sz w:val="18"/>
                <w:szCs w:val="18"/>
                <w:lang w:val="en-US" w:eastAsia="en-US" w:bidi="ar-SA"/>
              </w:rPr>
              <w:t>应保证可靠的电气连接。</w:t>
            </w:r>
          </w:p>
        </w:tc>
        <w:tc>
          <w:tcPr>
            <w:tcW w:w="1725" w:type="dxa"/>
            <w:vAlign w:val="top"/>
          </w:tcPr>
          <w:p w14:paraId="3839DE4C">
            <w:pPr>
              <w:kinsoku w:val="0"/>
              <w:autoSpaceDE w:val="0"/>
              <w:autoSpaceDN w:val="0"/>
              <w:adjustRightInd w:val="0"/>
              <w:snapToGrid w:val="0"/>
              <w:spacing w:before="101" w:line="213" w:lineRule="auto"/>
              <w:ind w:left="35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电气可靠连接</w:t>
            </w:r>
          </w:p>
        </w:tc>
        <w:tc>
          <w:tcPr>
            <w:tcW w:w="589" w:type="dxa"/>
            <w:tcBorders>
              <w:right w:val="single" w:color="000000" w:sz="10" w:space="0"/>
            </w:tcBorders>
            <w:vAlign w:val="top"/>
          </w:tcPr>
          <w:p w14:paraId="2E545240">
            <w:pPr>
              <w:kinsoku w:val="0"/>
              <w:autoSpaceDE w:val="0"/>
              <w:autoSpaceDN w:val="0"/>
              <w:adjustRightInd w:val="0"/>
              <w:snapToGrid w:val="0"/>
              <w:spacing w:before="101" w:line="213"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37210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5F48D46D">
            <w:pPr>
              <w:widowControl/>
              <w:kinsoku w:val="0"/>
              <w:autoSpaceDE w:val="0"/>
              <w:autoSpaceDN w:val="0"/>
              <w:adjustRightInd w:val="0"/>
              <w:snapToGrid w:val="0"/>
              <w:spacing w:line="375" w:lineRule="auto"/>
              <w:jc w:val="left"/>
              <w:textAlignment w:val="baseline"/>
              <w:rPr>
                <w:rFonts w:ascii="Arial" w:hAnsi="Arial" w:eastAsia="Arial" w:cs="Arial"/>
                <w:snapToGrid w:val="0"/>
                <w:color w:val="000000"/>
                <w:kern w:val="0"/>
                <w:sz w:val="21"/>
                <w:lang w:eastAsia="en-US"/>
              </w:rPr>
            </w:pPr>
          </w:p>
          <w:p w14:paraId="483CCAF1">
            <w:pPr>
              <w:kinsoku w:val="0"/>
              <w:autoSpaceDE w:val="0"/>
              <w:autoSpaceDN w:val="0"/>
              <w:adjustRightInd w:val="0"/>
              <w:snapToGrid w:val="0"/>
              <w:spacing w:before="58" w:line="184" w:lineRule="auto"/>
              <w:ind w:left="2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13</w:t>
            </w:r>
          </w:p>
        </w:tc>
        <w:tc>
          <w:tcPr>
            <w:tcW w:w="6301" w:type="dxa"/>
            <w:vAlign w:val="top"/>
          </w:tcPr>
          <w:p w14:paraId="3F6EB304">
            <w:pPr>
              <w:kinsoku w:val="0"/>
              <w:autoSpaceDE w:val="0"/>
              <w:autoSpaceDN w:val="0"/>
              <w:adjustRightInd w:val="0"/>
              <w:snapToGrid w:val="0"/>
              <w:spacing w:before="108" w:line="277" w:lineRule="auto"/>
              <w:ind w:left="4" w:hanging="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采用导静电的热塑性塑料管道时，导电内衬应接地；采用不导静电</w:t>
            </w:r>
            <w:r>
              <w:rPr>
                <w:rFonts w:ascii="宋体" w:hAnsi="宋体" w:eastAsia="宋体" w:cs="宋体"/>
                <w:snapToGrid w:val="0"/>
                <w:color w:val="000000"/>
                <w:spacing w:val="-1"/>
                <w:kern w:val="0"/>
                <w:sz w:val="18"/>
                <w:szCs w:val="18"/>
                <w:lang w:val="en-US" w:eastAsia="en-US" w:bidi="ar-SA"/>
              </w:rPr>
              <w:t>的热塑性塑料</w:t>
            </w:r>
            <w:r>
              <w:rPr>
                <w:rFonts w:ascii="宋体" w:hAnsi="宋体" w:eastAsia="宋体" w:cs="宋体"/>
                <w:snapToGrid w:val="0"/>
                <w:color w:val="000000"/>
                <w:kern w:val="0"/>
                <w:sz w:val="18"/>
                <w:szCs w:val="18"/>
                <w:lang w:val="en-US" w:eastAsia="en-US" w:bidi="ar-SA"/>
              </w:rPr>
              <w:t xml:space="preserve"> 管道时，不埋地部分的热熔连接件应保证长期可靠的接地</w:t>
            </w:r>
            <w:r>
              <w:rPr>
                <w:rFonts w:ascii="宋体" w:hAnsi="宋体" w:eastAsia="宋体" w:cs="宋体"/>
                <w:snapToGrid w:val="0"/>
                <w:color w:val="000000"/>
                <w:spacing w:val="-1"/>
                <w:kern w:val="0"/>
                <w:sz w:val="18"/>
                <w:szCs w:val="18"/>
                <w:lang w:val="en-US" w:eastAsia="en-US" w:bidi="ar-SA"/>
              </w:rPr>
              <w:t>，也可采用专用的密封</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帽将连接管件的电熔插孔密封，管道或接头的其他导电部件也应接地。</w:t>
            </w:r>
          </w:p>
        </w:tc>
        <w:tc>
          <w:tcPr>
            <w:tcW w:w="1725" w:type="dxa"/>
            <w:vAlign w:val="top"/>
          </w:tcPr>
          <w:p w14:paraId="0A612F82">
            <w:pPr>
              <w:widowControl/>
              <w:kinsoku w:val="0"/>
              <w:autoSpaceDE w:val="0"/>
              <w:autoSpaceDN w:val="0"/>
              <w:adjustRightInd w:val="0"/>
              <w:snapToGrid w:val="0"/>
              <w:spacing w:line="347" w:lineRule="auto"/>
              <w:jc w:val="left"/>
              <w:textAlignment w:val="baseline"/>
              <w:rPr>
                <w:rFonts w:ascii="Arial" w:hAnsi="Arial" w:eastAsia="Arial" w:cs="Arial"/>
                <w:snapToGrid w:val="0"/>
                <w:color w:val="000000"/>
                <w:kern w:val="0"/>
                <w:sz w:val="21"/>
                <w:lang w:eastAsia="en-US"/>
              </w:rPr>
            </w:pPr>
          </w:p>
          <w:p w14:paraId="7CDD3033">
            <w:pPr>
              <w:kinsoku w:val="0"/>
              <w:autoSpaceDE w:val="0"/>
              <w:autoSpaceDN w:val="0"/>
              <w:adjustRightInd w:val="0"/>
              <w:snapToGrid w:val="0"/>
              <w:spacing w:before="59" w:line="220" w:lineRule="auto"/>
              <w:ind w:left="42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按要求接地</w:t>
            </w:r>
          </w:p>
        </w:tc>
        <w:tc>
          <w:tcPr>
            <w:tcW w:w="589" w:type="dxa"/>
            <w:tcBorders>
              <w:right w:val="single" w:color="000000" w:sz="10" w:space="0"/>
            </w:tcBorders>
            <w:vAlign w:val="top"/>
          </w:tcPr>
          <w:p w14:paraId="343C52CE">
            <w:pPr>
              <w:widowControl/>
              <w:kinsoku w:val="0"/>
              <w:autoSpaceDE w:val="0"/>
              <w:autoSpaceDN w:val="0"/>
              <w:adjustRightInd w:val="0"/>
              <w:snapToGrid w:val="0"/>
              <w:spacing w:line="347" w:lineRule="auto"/>
              <w:jc w:val="left"/>
              <w:textAlignment w:val="baseline"/>
              <w:rPr>
                <w:rFonts w:ascii="Arial" w:hAnsi="Arial" w:eastAsia="Arial" w:cs="Arial"/>
                <w:snapToGrid w:val="0"/>
                <w:color w:val="000000"/>
                <w:kern w:val="0"/>
                <w:sz w:val="21"/>
                <w:lang w:eastAsia="en-US"/>
              </w:rPr>
            </w:pPr>
          </w:p>
          <w:p w14:paraId="6B9DE993">
            <w:pPr>
              <w:kinsoku w:val="0"/>
              <w:autoSpaceDE w:val="0"/>
              <w:autoSpaceDN w:val="0"/>
              <w:adjustRightInd w:val="0"/>
              <w:snapToGrid w:val="0"/>
              <w:spacing w:before="59"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46E0D9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1001521F">
            <w:pPr>
              <w:kinsoku w:val="0"/>
              <w:autoSpaceDE w:val="0"/>
              <w:autoSpaceDN w:val="0"/>
              <w:adjustRightInd w:val="0"/>
              <w:snapToGrid w:val="0"/>
              <w:spacing w:before="286" w:line="184" w:lineRule="auto"/>
              <w:ind w:left="2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14</w:t>
            </w:r>
          </w:p>
        </w:tc>
        <w:tc>
          <w:tcPr>
            <w:tcW w:w="6301" w:type="dxa"/>
            <w:vAlign w:val="top"/>
          </w:tcPr>
          <w:p w14:paraId="40C90038">
            <w:pPr>
              <w:kinsoku w:val="0"/>
              <w:autoSpaceDE w:val="0"/>
              <w:autoSpaceDN w:val="0"/>
              <w:adjustRightInd w:val="0"/>
              <w:snapToGrid w:val="0"/>
              <w:spacing w:before="259" w:line="219" w:lineRule="auto"/>
              <w:ind w:left="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防静电接地装置的接地电阻不应大于</w:t>
            </w:r>
            <w:r>
              <w:rPr>
                <w:rFonts w:ascii="Times New Roman" w:hAnsi="Times New Roman" w:eastAsia="Times New Roman" w:cs="Times New Roman"/>
                <w:snapToGrid w:val="0"/>
                <w:color w:val="000000"/>
                <w:spacing w:val="-1"/>
                <w:kern w:val="0"/>
                <w:sz w:val="18"/>
                <w:szCs w:val="18"/>
                <w:lang w:val="en-US" w:eastAsia="en-US" w:bidi="ar-SA"/>
              </w:rPr>
              <w:t>100Ω</w:t>
            </w:r>
            <w:r>
              <w:rPr>
                <w:rFonts w:ascii="宋体" w:hAnsi="宋体" w:eastAsia="宋体" w:cs="宋体"/>
                <w:snapToGrid w:val="0"/>
                <w:color w:val="000000"/>
                <w:spacing w:val="-1"/>
                <w:kern w:val="0"/>
                <w:sz w:val="18"/>
                <w:szCs w:val="18"/>
                <w:lang w:val="en-US" w:eastAsia="en-US" w:bidi="ar-SA"/>
              </w:rPr>
              <w:t>。</w:t>
            </w:r>
          </w:p>
        </w:tc>
        <w:tc>
          <w:tcPr>
            <w:tcW w:w="1725" w:type="dxa"/>
            <w:vAlign w:val="top"/>
          </w:tcPr>
          <w:p w14:paraId="1DD2C2D0">
            <w:pPr>
              <w:kinsoku w:val="0"/>
              <w:autoSpaceDE w:val="0"/>
              <w:autoSpaceDN w:val="0"/>
              <w:adjustRightInd w:val="0"/>
              <w:snapToGrid w:val="0"/>
              <w:spacing w:before="107" w:line="260" w:lineRule="auto"/>
              <w:ind w:left="50" w:hanging="3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4"/>
                <w:kern w:val="0"/>
                <w:sz w:val="18"/>
                <w:szCs w:val="18"/>
                <w:lang w:val="en-US" w:eastAsia="en-US" w:bidi="ar-SA"/>
              </w:rPr>
              <w:t>接</w:t>
            </w:r>
            <w:r>
              <w:rPr>
                <w:rFonts w:ascii="宋体" w:hAnsi="宋体" w:eastAsia="宋体" w:cs="宋体"/>
                <w:snapToGrid w:val="0"/>
                <w:color w:val="000000"/>
                <w:spacing w:val="-50"/>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地</w:t>
            </w:r>
            <w:r>
              <w:rPr>
                <w:rFonts w:ascii="宋体" w:hAnsi="宋体" w:eastAsia="宋体" w:cs="宋体"/>
                <w:snapToGrid w:val="0"/>
                <w:color w:val="000000"/>
                <w:spacing w:val="-29"/>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电</w:t>
            </w:r>
            <w:r>
              <w:rPr>
                <w:rFonts w:ascii="宋体" w:hAnsi="宋体" w:eastAsia="宋体" w:cs="宋体"/>
                <w:snapToGrid w:val="0"/>
                <w:color w:val="000000"/>
                <w:spacing w:val="-38"/>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阻</w:t>
            </w:r>
            <w:r>
              <w:rPr>
                <w:rFonts w:ascii="宋体" w:hAnsi="宋体" w:eastAsia="宋体" w:cs="宋体"/>
                <w:snapToGrid w:val="0"/>
                <w:color w:val="000000"/>
                <w:spacing w:val="-47"/>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不</w:t>
            </w:r>
            <w:r>
              <w:rPr>
                <w:rFonts w:ascii="宋体" w:hAnsi="宋体" w:eastAsia="宋体" w:cs="宋体"/>
                <w:snapToGrid w:val="0"/>
                <w:color w:val="000000"/>
                <w:spacing w:val="-48"/>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大</w:t>
            </w:r>
            <w:r>
              <w:rPr>
                <w:rFonts w:ascii="宋体" w:hAnsi="宋体" w:eastAsia="宋体" w:cs="宋体"/>
                <w:snapToGrid w:val="0"/>
                <w:color w:val="000000"/>
                <w:spacing w:val="-47"/>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于</w:t>
            </w:r>
            <w:r>
              <w:rPr>
                <w:rFonts w:ascii="宋体" w:hAnsi="宋体" w:eastAsia="宋体" w:cs="宋体"/>
                <w:snapToGrid w:val="0"/>
                <w:color w:val="000000"/>
                <w:spacing w:val="8"/>
                <w:kern w:val="0"/>
                <w:sz w:val="18"/>
                <w:szCs w:val="18"/>
                <w:lang w:val="en-US" w:eastAsia="en-US" w:bidi="ar-SA"/>
              </w:rPr>
              <w:t xml:space="preserve"> </w:t>
            </w:r>
            <w:r>
              <w:rPr>
                <w:rFonts w:ascii="Times New Roman" w:hAnsi="Times New Roman" w:eastAsia="Times New Roman" w:cs="Times New Roman"/>
                <w:snapToGrid w:val="0"/>
                <w:color w:val="000000"/>
                <w:spacing w:val="-13"/>
                <w:kern w:val="0"/>
                <w:sz w:val="18"/>
                <w:szCs w:val="18"/>
                <w:lang w:val="en-US" w:eastAsia="en-US" w:bidi="ar-SA"/>
              </w:rPr>
              <w:t>1</w:t>
            </w:r>
            <w:r>
              <w:rPr>
                <w:rFonts w:ascii="Times New Roman" w:hAnsi="Times New Roman" w:eastAsia="Times New Roman" w:cs="Times New Roman"/>
                <w:snapToGrid w:val="0"/>
                <w:color w:val="000000"/>
                <w:spacing w:val="-7"/>
                <w:kern w:val="0"/>
                <w:sz w:val="18"/>
                <w:szCs w:val="18"/>
                <w:lang w:val="en-US" w:eastAsia="en-US" w:bidi="ar-SA"/>
              </w:rPr>
              <w:t>0</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Ω</w:t>
            </w:r>
            <w:r>
              <w:rPr>
                <w:rFonts w:ascii="宋体" w:hAnsi="宋体" w:eastAsia="宋体" w:cs="宋体"/>
                <w:snapToGrid w:val="0"/>
                <w:color w:val="000000"/>
                <w:spacing w:val="-71"/>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w:t>
            </w:r>
            <w:r>
              <w:rPr>
                <w:rFonts w:ascii="宋体" w:hAnsi="宋体" w:eastAsia="宋体" w:cs="宋体"/>
                <w:snapToGrid w:val="0"/>
                <w:color w:val="000000"/>
                <w:spacing w:val="47"/>
                <w:w w:val="101"/>
                <w:kern w:val="0"/>
                <w:sz w:val="18"/>
                <w:szCs w:val="18"/>
                <w:lang w:val="en-US" w:eastAsia="en-US" w:bidi="ar-SA"/>
              </w:rPr>
              <w:t xml:space="preserve"> </w:t>
            </w:r>
            <w:r>
              <w:rPr>
                <w:rFonts w:ascii="宋体" w:hAnsi="宋体" w:eastAsia="宋体" w:cs="宋体"/>
                <w:snapToGrid w:val="0"/>
                <w:color w:val="000000"/>
                <w:spacing w:val="-13"/>
                <w:kern w:val="0"/>
                <w:sz w:val="18"/>
                <w:szCs w:val="18"/>
                <w:lang w:val="en-US" w:eastAsia="en-US" w:bidi="ar-SA"/>
              </w:rPr>
              <w:t>见防雷检测报告</w:t>
            </w:r>
          </w:p>
        </w:tc>
        <w:tc>
          <w:tcPr>
            <w:tcW w:w="589" w:type="dxa"/>
            <w:tcBorders>
              <w:right w:val="single" w:color="000000" w:sz="10" w:space="0"/>
            </w:tcBorders>
            <w:vAlign w:val="top"/>
          </w:tcPr>
          <w:p w14:paraId="02B67B74">
            <w:pPr>
              <w:kinsoku w:val="0"/>
              <w:autoSpaceDE w:val="0"/>
              <w:autoSpaceDN w:val="0"/>
              <w:adjustRightInd w:val="0"/>
              <w:snapToGrid w:val="0"/>
              <w:spacing w:before="259"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0BEA3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1427ACA6">
            <w:pPr>
              <w:kinsoku w:val="0"/>
              <w:autoSpaceDE w:val="0"/>
              <w:autoSpaceDN w:val="0"/>
              <w:adjustRightInd w:val="0"/>
              <w:snapToGrid w:val="0"/>
              <w:spacing w:before="288" w:line="184" w:lineRule="auto"/>
              <w:ind w:left="2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15</w:t>
            </w:r>
          </w:p>
        </w:tc>
        <w:tc>
          <w:tcPr>
            <w:tcW w:w="6301" w:type="dxa"/>
            <w:vAlign w:val="top"/>
          </w:tcPr>
          <w:p w14:paraId="20727D7D">
            <w:pPr>
              <w:kinsoku w:val="0"/>
              <w:autoSpaceDE w:val="0"/>
              <w:autoSpaceDN w:val="0"/>
              <w:adjustRightInd w:val="0"/>
              <w:snapToGrid w:val="0"/>
              <w:spacing w:before="112" w:line="260" w:lineRule="auto"/>
              <w:ind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油罐车、</w:t>
            </w:r>
            <w:r>
              <w:rPr>
                <w:rFonts w:ascii="Times New Roman" w:hAnsi="Times New Roman" w:eastAsia="Times New Roman" w:cs="Times New Roman"/>
                <w:snapToGrid w:val="0"/>
                <w:color w:val="000000"/>
                <w:kern w:val="0"/>
                <w:sz w:val="18"/>
                <w:szCs w:val="18"/>
                <w:lang w:val="en-US" w:eastAsia="en-US" w:bidi="ar-SA"/>
              </w:rPr>
              <w:t>LPG</w:t>
            </w:r>
            <w:r>
              <w:rPr>
                <w:rFonts w:ascii="宋体" w:hAnsi="宋体" w:eastAsia="宋体" w:cs="宋体"/>
                <w:snapToGrid w:val="0"/>
                <w:color w:val="000000"/>
                <w:kern w:val="0"/>
                <w:sz w:val="18"/>
                <w:szCs w:val="18"/>
                <w:lang w:val="en-US" w:eastAsia="en-US" w:bidi="ar-SA"/>
              </w:rPr>
              <w:t>罐车、</w:t>
            </w:r>
            <w:r>
              <w:rPr>
                <w:rFonts w:ascii="Times New Roman" w:hAnsi="Times New Roman" w:eastAsia="Times New Roman" w:cs="Times New Roman"/>
                <w:snapToGrid w:val="0"/>
                <w:color w:val="000000"/>
                <w:kern w:val="0"/>
                <w:sz w:val="18"/>
                <w:szCs w:val="18"/>
                <w:lang w:val="en-US" w:eastAsia="en-US" w:bidi="ar-SA"/>
              </w:rPr>
              <w:t>LNG</w:t>
            </w:r>
            <w:r>
              <w:rPr>
                <w:rFonts w:ascii="宋体" w:hAnsi="宋体" w:eastAsia="宋体" w:cs="宋体"/>
                <w:snapToGrid w:val="0"/>
                <w:color w:val="000000"/>
                <w:kern w:val="0"/>
                <w:sz w:val="18"/>
                <w:szCs w:val="18"/>
                <w:lang w:val="en-US" w:eastAsia="en-US" w:bidi="ar-SA"/>
              </w:rPr>
              <w:t>罐车和液氢罐车卸车场地内用于防静电跨接的固定接地</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装置不应设置在爆炸危险</w:t>
            </w:r>
            <w:r>
              <w:rPr>
                <w:rFonts w:ascii="Times New Roman" w:hAnsi="Times New Roman" w:eastAsia="Times New Roman" w:cs="Times New Roman"/>
                <w:snapToGrid w:val="0"/>
                <w:color w:val="000000"/>
                <w:spacing w:val="-1"/>
                <w:kern w:val="0"/>
                <w:sz w:val="18"/>
                <w:szCs w:val="18"/>
                <w:lang w:val="en-US" w:eastAsia="en-US" w:bidi="ar-SA"/>
              </w:rPr>
              <w:t>1</w:t>
            </w:r>
            <w:r>
              <w:rPr>
                <w:rFonts w:ascii="宋体" w:hAnsi="宋体" w:eastAsia="宋体" w:cs="宋体"/>
                <w:snapToGrid w:val="0"/>
                <w:color w:val="000000"/>
                <w:spacing w:val="-1"/>
                <w:kern w:val="0"/>
                <w:sz w:val="18"/>
                <w:szCs w:val="18"/>
                <w:lang w:val="en-US" w:eastAsia="en-US" w:bidi="ar-SA"/>
              </w:rPr>
              <w:t>区。</w:t>
            </w:r>
          </w:p>
        </w:tc>
        <w:tc>
          <w:tcPr>
            <w:tcW w:w="1725" w:type="dxa"/>
            <w:vAlign w:val="top"/>
          </w:tcPr>
          <w:p w14:paraId="1609AA97">
            <w:pPr>
              <w:kinsoku w:val="0"/>
              <w:autoSpaceDE w:val="0"/>
              <w:autoSpaceDN w:val="0"/>
              <w:adjustRightInd w:val="0"/>
              <w:snapToGrid w:val="0"/>
              <w:spacing w:before="112" w:line="260" w:lineRule="auto"/>
              <w:ind w:left="798" w:right="64" w:hanging="70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未设置在爆炸危险</w:t>
            </w:r>
            <w:r>
              <w:rPr>
                <w:rFonts w:ascii="宋体" w:hAnsi="宋体" w:eastAsia="宋体" w:cs="宋体"/>
                <w:snapToGrid w:val="0"/>
                <w:color w:val="000000"/>
                <w:spacing w:val="-22"/>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1</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区</w:t>
            </w:r>
          </w:p>
        </w:tc>
        <w:tc>
          <w:tcPr>
            <w:tcW w:w="589" w:type="dxa"/>
            <w:tcBorders>
              <w:right w:val="single" w:color="000000" w:sz="10" w:space="0"/>
            </w:tcBorders>
            <w:vAlign w:val="top"/>
          </w:tcPr>
          <w:p w14:paraId="70B5931B">
            <w:pPr>
              <w:kinsoku w:val="0"/>
              <w:autoSpaceDE w:val="0"/>
              <w:autoSpaceDN w:val="0"/>
              <w:adjustRightInd w:val="0"/>
              <w:snapToGrid w:val="0"/>
              <w:spacing w:before="260"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6A56AD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1F1BEDC8">
            <w:pPr>
              <w:kinsoku w:val="0"/>
              <w:autoSpaceDE w:val="0"/>
              <w:autoSpaceDN w:val="0"/>
              <w:adjustRightInd w:val="0"/>
              <w:snapToGrid w:val="0"/>
              <w:spacing w:before="287" w:line="184" w:lineRule="auto"/>
              <w:ind w:left="2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16</w:t>
            </w:r>
          </w:p>
        </w:tc>
        <w:tc>
          <w:tcPr>
            <w:tcW w:w="6301" w:type="dxa"/>
            <w:vAlign w:val="top"/>
          </w:tcPr>
          <w:p w14:paraId="41A12371">
            <w:pPr>
              <w:kinsoku w:val="0"/>
              <w:autoSpaceDE w:val="0"/>
              <w:autoSpaceDN w:val="0"/>
              <w:adjustRightInd w:val="0"/>
              <w:snapToGrid w:val="0"/>
              <w:spacing w:before="111" w:line="258" w:lineRule="auto"/>
              <w:ind w:firstLine="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卸油作业区的辅助设施应具有防静电措施，进入卸油区作业的</w:t>
            </w:r>
            <w:r>
              <w:rPr>
                <w:rFonts w:ascii="宋体" w:hAnsi="宋体" w:eastAsia="宋体" w:cs="宋体"/>
                <w:snapToGrid w:val="0"/>
                <w:color w:val="000000"/>
                <w:spacing w:val="-1"/>
                <w:kern w:val="0"/>
                <w:sz w:val="18"/>
                <w:szCs w:val="18"/>
                <w:lang w:val="en-US" w:eastAsia="en-US" w:bidi="ar-SA"/>
              </w:rPr>
              <w:t>人员，应先通过具</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有报警功能的人体静电释放装置消除静电。</w:t>
            </w:r>
          </w:p>
        </w:tc>
        <w:tc>
          <w:tcPr>
            <w:tcW w:w="1725" w:type="dxa"/>
            <w:vAlign w:val="top"/>
          </w:tcPr>
          <w:p w14:paraId="67CAA1F2">
            <w:pPr>
              <w:kinsoku w:val="0"/>
              <w:autoSpaceDE w:val="0"/>
              <w:autoSpaceDN w:val="0"/>
              <w:adjustRightInd w:val="0"/>
              <w:snapToGrid w:val="0"/>
              <w:spacing w:before="260" w:line="219" w:lineRule="auto"/>
              <w:ind w:left="6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设置人体静电消除器</w:t>
            </w:r>
          </w:p>
        </w:tc>
        <w:tc>
          <w:tcPr>
            <w:tcW w:w="589" w:type="dxa"/>
            <w:tcBorders>
              <w:right w:val="single" w:color="000000" w:sz="10" w:space="0"/>
            </w:tcBorders>
            <w:vAlign w:val="top"/>
          </w:tcPr>
          <w:p w14:paraId="55ED8AA1">
            <w:pPr>
              <w:kinsoku w:val="0"/>
              <w:autoSpaceDE w:val="0"/>
              <w:autoSpaceDN w:val="0"/>
              <w:adjustRightInd w:val="0"/>
              <w:snapToGrid w:val="0"/>
              <w:spacing w:before="260"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0BA010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81" w:type="dxa"/>
            <w:gridSpan w:val="4"/>
            <w:tcBorders>
              <w:left w:val="single" w:color="000000" w:sz="10" w:space="0"/>
              <w:right w:val="single" w:color="000000" w:sz="10" w:space="0"/>
            </w:tcBorders>
            <w:vAlign w:val="top"/>
          </w:tcPr>
          <w:p w14:paraId="7E5870EC">
            <w:pPr>
              <w:kinsoku w:val="0"/>
              <w:autoSpaceDE w:val="0"/>
              <w:autoSpaceDN w:val="0"/>
              <w:adjustRightInd w:val="0"/>
              <w:snapToGrid w:val="0"/>
              <w:spacing w:before="82" w:line="209" w:lineRule="auto"/>
              <w:ind w:left="40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5"/>
                <w:kern w:val="0"/>
                <w:sz w:val="20"/>
                <w:szCs w:val="20"/>
                <w:lang w:val="en-US" w:eastAsia="en-US" w:bidi="ar-SA"/>
              </w:rPr>
              <w:t>（三）给排水</w:t>
            </w:r>
          </w:p>
        </w:tc>
      </w:tr>
      <w:tr w14:paraId="108801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2F9484E8">
            <w:pPr>
              <w:widowControl/>
              <w:kinsoku w:val="0"/>
              <w:autoSpaceDE w:val="0"/>
              <w:autoSpaceDN w:val="0"/>
              <w:adjustRightInd w:val="0"/>
              <w:snapToGrid w:val="0"/>
              <w:spacing w:line="392" w:lineRule="auto"/>
              <w:jc w:val="left"/>
              <w:textAlignment w:val="baseline"/>
              <w:rPr>
                <w:rFonts w:ascii="Arial" w:hAnsi="Arial" w:eastAsia="Arial" w:cs="Arial"/>
                <w:snapToGrid w:val="0"/>
                <w:color w:val="000000"/>
                <w:kern w:val="0"/>
                <w:sz w:val="21"/>
                <w:lang w:eastAsia="en-US"/>
              </w:rPr>
            </w:pPr>
          </w:p>
          <w:p w14:paraId="31348F59">
            <w:pPr>
              <w:widowControl/>
              <w:kinsoku w:val="0"/>
              <w:autoSpaceDE w:val="0"/>
              <w:autoSpaceDN w:val="0"/>
              <w:adjustRightInd w:val="0"/>
              <w:snapToGrid w:val="0"/>
              <w:spacing w:before="51" w:line="188" w:lineRule="auto"/>
              <w:ind w:left="29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1</w:t>
            </w:r>
          </w:p>
        </w:tc>
        <w:tc>
          <w:tcPr>
            <w:tcW w:w="6301" w:type="dxa"/>
            <w:vAlign w:val="top"/>
          </w:tcPr>
          <w:p w14:paraId="050457CF">
            <w:pPr>
              <w:kinsoku w:val="0"/>
              <w:autoSpaceDE w:val="0"/>
              <w:autoSpaceDN w:val="0"/>
              <w:adjustRightInd w:val="0"/>
              <w:snapToGrid w:val="0"/>
              <w:spacing w:before="114" w:line="275" w:lineRule="auto"/>
              <w:ind w:left="2" w:hanging="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加油站、</w:t>
            </w:r>
            <w:r>
              <w:rPr>
                <w:rFonts w:ascii="Times New Roman" w:hAnsi="Times New Roman" w:eastAsia="Times New Roman" w:cs="Times New Roman"/>
                <w:snapToGrid w:val="0"/>
                <w:color w:val="000000"/>
                <w:spacing w:val="-1"/>
                <w:kern w:val="0"/>
                <w:sz w:val="18"/>
                <w:szCs w:val="18"/>
                <w:lang w:val="en-US" w:eastAsia="en-US" w:bidi="ar-SA"/>
              </w:rPr>
              <w:t>CNG</w:t>
            </w:r>
            <w:r>
              <w:rPr>
                <w:rFonts w:ascii="宋体" w:hAnsi="宋体" w:eastAsia="宋体" w:cs="宋体"/>
                <w:snapToGrid w:val="0"/>
                <w:color w:val="000000"/>
                <w:spacing w:val="-1"/>
                <w:kern w:val="0"/>
                <w:sz w:val="18"/>
                <w:szCs w:val="18"/>
                <w:lang w:val="en-US" w:eastAsia="en-US" w:bidi="ar-SA"/>
              </w:rPr>
              <w:t>加气站、三级</w:t>
            </w:r>
            <w:r>
              <w:rPr>
                <w:rFonts w:ascii="Times New Roman" w:hAnsi="Times New Roman" w:eastAsia="Times New Roman" w:cs="Times New Roman"/>
                <w:snapToGrid w:val="0"/>
                <w:color w:val="000000"/>
                <w:spacing w:val="-1"/>
                <w:kern w:val="0"/>
                <w:sz w:val="18"/>
                <w:szCs w:val="18"/>
                <w:lang w:val="en-US" w:eastAsia="en-US" w:bidi="ar-SA"/>
              </w:rPr>
              <w:t>LNG</w:t>
            </w:r>
            <w:r>
              <w:rPr>
                <w:rFonts w:ascii="宋体" w:hAnsi="宋体" w:eastAsia="宋体" w:cs="宋体"/>
                <w:snapToGrid w:val="0"/>
                <w:color w:val="000000"/>
                <w:spacing w:val="-1"/>
                <w:kern w:val="0"/>
                <w:sz w:val="18"/>
                <w:szCs w:val="18"/>
                <w:lang w:val="en-US" w:eastAsia="en-US" w:bidi="ar-SA"/>
              </w:rPr>
              <w:t>加气站和采用埋地、地下、半地下</w:t>
            </w:r>
            <w:r>
              <w:rPr>
                <w:rFonts w:ascii="Times New Roman" w:hAnsi="Times New Roman" w:eastAsia="Times New Roman" w:cs="Times New Roman"/>
                <w:snapToGrid w:val="0"/>
                <w:color w:val="000000"/>
                <w:spacing w:val="-2"/>
                <w:kern w:val="0"/>
                <w:sz w:val="18"/>
                <w:szCs w:val="18"/>
                <w:lang w:val="en-US" w:eastAsia="en-US" w:bidi="ar-SA"/>
              </w:rPr>
              <w:t>LNG</w:t>
            </w:r>
            <w:r>
              <w:rPr>
                <w:rFonts w:ascii="宋体" w:hAnsi="宋体" w:eastAsia="宋体" w:cs="宋体"/>
                <w:snapToGrid w:val="0"/>
                <w:color w:val="000000"/>
                <w:spacing w:val="-2"/>
                <w:kern w:val="0"/>
                <w:sz w:val="18"/>
                <w:szCs w:val="18"/>
                <w:lang w:val="en-US" w:eastAsia="en-US" w:bidi="ar-SA"/>
              </w:rPr>
              <w:t>储罐的各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级</w:t>
            </w:r>
            <w:r>
              <w:rPr>
                <w:rFonts w:ascii="Times New Roman" w:hAnsi="Times New Roman" w:eastAsia="Times New Roman" w:cs="Times New Roman"/>
                <w:snapToGrid w:val="0"/>
                <w:color w:val="000000"/>
                <w:spacing w:val="-1"/>
                <w:kern w:val="0"/>
                <w:sz w:val="18"/>
                <w:szCs w:val="18"/>
                <w:lang w:val="en-US" w:eastAsia="en-US" w:bidi="ar-SA"/>
              </w:rPr>
              <w:t>LNG</w:t>
            </w:r>
            <w:r>
              <w:rPr>
                <w:rFonts w:ascii="宋体" w:hAnsi="宋体" w:eastAsia="宋体" w:cs="宋体"/>
                <w:snapToGrid w:val="0"/>
                <w:color w:val="000000"/>
                <w:spacing w:val="-1"/>
                <w:kern w:val="0"/>
                <w:sz w:val="18"/>
                <w:szCs w:val="18"/>
                <w:lang w:val="en-US" w:eastAsia="en-US" w:bidi="ar-SA"/>
              </w:rPr>
              <w:t>加气站及合建站，可不设消防给水系统。合建站中地上</w:t>
            </w:r>
            <w:r>
              <w:rPr>
                <w:rFonts w:ascii="Times New Roman" w:hAnsi="Times New Roman" w:eastAsia="Times New Roman" w:cs="Times New Roman"/>
                <w:snapToGrid w:val="0"/>
                <w:color w:val="000000"/>
                <w:spacing w:val="-1"/>
                <w:kern w:val="0"/>
                <w:sz w:val="18"/>
                <w:szCs w:val="18"/>
                <w:lang w:val="en-US" w:eastAsia="en-US" w:bidi="ar-SA"/>
              </w:rPr>
              <w:t>LNG</w:t>
            </w:r>
            <w:r>
              <w:rPr>
                <w:rFonts w:ascii="宋体" w:hAnsi="宋体" w:eastAsia="宋体" w:cs="宋体"/>
                <w:snapToGrid w:val="0"/>
                <w:color w:val="000000"/>
                <w:spacing w:val="-1"/>
                <w:kern w:val="0"/>
                <w:sz w:val="18"/>
                <w:szCs w:val="18"/>
                <w:lang w:val="en-US" w:eastAsia="en-US" w:bidi="ar-SA"/>
              </w:rPr>
              <w:t>储罐总容积不</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大于</w:t>
            </w:r>
            <w:r>
              <w:rPr>
                <w:rFonts w:ascii="Times New Roman" w:hAnsi="Times New Roman" w:eastAsia="Times New Roman" w:cs="Times New Roman"/>
                <w:snapToGrid w:val="0"/>
                <w:color w:val="000000"/>
                <w:spacing w:val="-1"/>
                <w:kern w:val="0"/>
                <w:sz w:val="18"/>
                <w:szCs w:val="18"/>
                <w:lang w:val="en-US" w:eastAsia="en-US" w:bidi="ar-SA"/>
              </w:rPr>
              <w:t>60m</w:t>
            </w:r>
            <w:r>
              <w:rPr>
                <w:rFonts w:ascii="宋体" w:hAnsi="宋体" w:eastAsia="宋体" w:cs="宋体"/>
                <w:snapToGrid w:val="0"/>
                <w:color w:val="000000"/>
                <w:spacing w:val="-1"/>
                <w:kern w:val="0"/>
                <w:sz w:val="18"/>
                <w:szCs w:val="18"/>
                <w:lang w:val="en-US" w:eastAsia="en-US" w:bidi="ar-SA"/>
              </w:rPr>
              <w:t>³时，可不设消防给水系统。</w:t>
            </w:r>
          </w:p>
        </w:tc>
        <w:tc>
          <w:tcPr>
            <w:tcW w:w="1725" w:type="dxa"/>
            <w:vAlign w:val="top"/>
          </w:tcPr>
          <w:p w14:paraId="5C35E360">
            <w:pPr>
              <w:kinsoku w:val="0"/>
              <w:autoSpaceDE w:val="0"/>
              <w:autoSpaceDN w:val="0"/>
              <w:adjustRightInd w:val="0"/>
              <w:snapToGrid w:val="0"/>
              <w:spacing w:before="266" w:line="294" w:lineRule="auto"/>
              <w:ind w:left="247" w:hanging="23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采用埋</w:t>
            </w:r>
            <w:r>
              <w:rPr>
                <w:rFonts w:ascii="宋体" w:hAnsi="宋体" w:eastAsia="宋体" w:cs="宋体"/>
                <w:snapToGrid w:val="0"/>
                <w:color w:val="000000"/>
                <w:spacing w:val="-10"/>
                <w:kern w:val="0"/>
                <w:sz w:val="18"/>
                <w:szCs w:val="18"/>
                <w:lang w:val="en-US" w:eastAsia="en-US" w:bidi="ar-SA"/>
              </w:rPr>
              <w:t>地储罐，不设</w:t>
            </w:r>
            <w:r>
              <w:rPr>
                <w:rFonts w:ascii="宋体" w:hAnsi="宋体" w:eastAsia="宋体" w:cs="宋体"/>
                <w:snapToGrid w:val="0"/>
                <w:color w:val="000000"/>
                <w:spacing w:val="-7"/>
                <w:kern w:val="0"/>
                <w:sz w:val="18"/>
                <w:szCs w:val="18"/>
                <w:lang w:val="en-US" w:eastAsia="en-US" w:bidi="ar-SA"/>
              </w:rPr>
              <w:t>置</w:t>
            </w:r>
            <w:r>
              <w:rPr>
                <w:rFonts w:ascii="宋体" w:hAnsi="宋体" w:eastAsia="宋体" w:cs="宋体"/>
                <w:snapToGrid w:val="0"/>
                <w:color w:val="000000"/>
                <w:spacing w:val="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消防给水系统。</w:t>
            </w:r>
          </w:p>
        </w:tc>
        <w:tc>
          <w:tcPr>
            <w:tcW w:w="589" w:type="dxa"/>
            <w:tcBorders>
              <w:right w:val="single" w:color="000000" w:sz="10" w:space="0"/>
            </w:tcBorders>
            <w:vAlign w:val="top"/>
          </w:tcPr>
          <w:p w14:paraId="569D1019">
            <w:pPr>
              <w:widowControl/>
              <w:kinsoku w:val="0"/>
              <w:autoSpaceDE w:val="0"/>
              <w:autoSpaceDN w:val="0"/>
              <w:adjustRightInd w:val="0"/>
              <w:snapToGrid w:val="0"/>
              <w:spacing w:line="354" w:lineRule="auto"/>
              <w:jc w:val="left"/>
              <w:textAlignment w:val="baseline"/>
              <w:rPr>
                <w:rFonts w:ascii="Arial" w:hAnsi="Arial" w:eastAsia="Arial" w:cs="Arial"/>
                <w:snapToGrid w:val="0"/>
                <w:color w:val="000000"/>
                <w:kern w:val="0"/>
                <w:sz w:val="21"/>
                <w:lang w:eastAsia="en-US"/>
              </w:rPr>
            </w:pPr>
          </w:p>
          <w:p w14:paraId="22D4F188">
            <w:pPr>
              <w:kinsoku w:val="0"/>
              <w:autoSpaceDE w:val="0"/>
              <w:autoSpaceDN w:val="0"/>
              <w:adjustRightInd w:val="0"/>
              <w:snapToGrid w:val="0"/>
              <w:spacing w:before="58"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71E64A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tcBorders>
            <w:vAlign w:val="top"/>
          </w:tcPr>
          <w:p w14:paraId="1763FE3F">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45421E0B">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20FF5057">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411D984C">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04FC4170">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0285C577">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7AB74BC2">
            <w:pPr>
              <w:widowControl/>
              <w:kinsoku w:val="0"/>
              <w:autoSpaceDE w:val="0"/>
              <w:autoSpaceDN w:val="0"/>
              <w:adjustRightInd w:val="0"/>
              <w:snapToGrid w:val="0"/>
              <w:spacing w:before="52" w:line="188" w:lineRule="auto"/>
              <w:ind w:left="27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2</w:t>
            </w:r>
          </w:p>
        </w:tc>
        <w:tc>
          <w:tcPr>
            <w:tcW w:w="6301" w:type="dxa"/>
            <w:vAlign w:val="top"/>
          </w:tcPr>
          <w:p w14:paraId="0B51E28F">
            <w:pPr>
              <w:kinsoku w:val="0"/>
              <w:autoSpaceDE w:val="0"/>
              <w:autoSpaceDN w:val="0"/>
              <w:adjustRightInd w:val="0"/>
              <w:snapToGrid w:val="0"/>
              <w:spacing w:before="136" w:line="220" w:lineRule="auto"/>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汽车加油加气加氢站的排水应符合下列规定：</w:t>
            </w:r>
          </w:p>
          <w:p w14:paraId="7C0C454B">
            <w:pPr>
              <w:kinsoku w:val="0"/>
              <w:autoSpaceDE w:val="0"/>
              <w:autoSpaceDN w:val="0"/>
              <w:adjustRightInd w:val="0"/>
              <w:snapToGrid w:val="0"/>
              <w:spacing w:before="85" w:line="264" w:lineRule="auto"/>
              <w:ind w:firstLine="37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 xml:space="preserve">1  </w:t>
            </w:r>
            <w:r>
              <w:rPr>
                <w:rFonts w:ascii="宋体" w:hAnsi="宋体" w:eastAsia="宋体" w:cs="宋体"/>
                <w:snapToGrid w:val="0"/>
                <w:color w:val="000000"/>
                <w:spacing w:val="-3"/>
                <w:kern w:val="0"/>
                <w:sz w:val="18"/>
                <w:szCs w:val="18"/>
                <w:lang w:val="en-US" w:eastAsia="en-US" w:bidi="ar-SA"/>
              </w:rPr>
              <w:t>站内地面雨水可散流排出站外，当加油站、</w:t>
            </w:r>
            <w:r>
              <w:rPr>
                <w:rFonts w:ascii="Times New Roman" w:hAnsi="Times New Roman" w:eastAsia="Times New Roman" w:cs="Times New Roman"/>
                <w:snapToGrid w:val="0"/>
                <w:color w:val="000000"/>
                <w:spacing w:val="-3"/>
                <w:kern w:val="0"/>
                <w:sz w:val="18"/>
                <w:szCs w:val="18"/>
                <w:lang w:val="en-US" w:eastAsia="en-US" w:bidi="ar-SA"/>
              </w:rPr>
              <w:t xml:space="preserve">LPG </w:t>
            </w:r>
            <w:r>
              <w:rPr>
                <w:rFonts w:ascii="宋体" w:hAnsi="宋体" w:eastAsia="宋体" w:cs="宋体"/>
                <w:snapToGrid w:val="0"/>
                <w:color w:val="000000"/>
                <w:spacing w:val="-3"/>
                <w:kern w:val="0"/>
                <w:sz w:val="18"/>
                <w:szCs w:val="18"/>
                <w:lang w:val="en-US" w:eastAsia="en-US" w:bidi="ar-SA"/>
              </w:rPr>
              <w:t>加气站或加油与</w:t>
            </w:r>
            <w:r>
              <w:rPr>
                <w:rFonts w:ascii="宋体" w:hAnsi="宋体" w:eastAsia="宋体" w:cs="宋体"/>
                <w:snapToGrid w:val="0"/>
                <w:color w:val="000000"/>
                <w:spacing w:val="-41"/>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 xml:space="preserve">LPG </w:t>
            </w:r>
            <w:r>
              <w:rPr>
                <w:rFonts w:ascii="宋体" w:hAnsi="宋体" w:eastAsia="宋体" w:cs="宋体"/>
                <w:snapToGrid w:val="0"/>
                <w:color w:val="000000"/>
                <w:spacing w:val="-3"/>
                <w:kern w:val="0"/>
                <w:sz w:val="18"/>
                <w:szCs w:val="18"/>
                <w:lang w:val="en-US" w:eastAsia="en-US" w:bidi="ar-SA"/>
              </w:rPr>
              <w:t>加气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合建站的雨水由明沟排到站外时，应在围墙内设置水封装置；</w:t>
            </w:r>
          </w:p>
          <w:p w14:paraId="4590371A">
            <w:pPr>
              <w:kinsoku w:val="0"/>
              <w:autoSpaceDE w:val="0"/>
              <w:autoSpaceDN w:val="0"/>
              <w:adjustRightInd w:val="0"/>
              <w:snapToGrid w:val="0"/>
              <w:spacing w:before="86" w:line="278" w:lineRule="auto"/>
              <w:ind w:firstLine="35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 xml:space="preserve">2  </w:t>
            </w:r>
            <w:r>
              <w:rPr>
                <w:rFonts w:ascii="宋体" w:hAnsi="宋体" w:eastAsia="宋体" w:cs="宋体"/>
                <w:snapToGrid w:val="0"/>
                <w:color w:val="000000"/>
                <w:spacing w:val="-3"/>
                <w:kern w:val="0"/>
                <w:sz w:val="18"/>
                <w:szCs w:val="18"/>
                <w:lang w:val="en-US" w:eastAsia="en-US" w:bidi="ar-SA"/>
              </w:rPr>
              <w:t>加油站、</w:t>
            </w:r>
            <w:r>
              <w:rPr>
                <w:rFonts w:ascii="Times New Roman" w:hAnsi="Times New Roman" w:eastAsia="Times New Roman" w:cs="Times New Roman"/>
                <w:snapToGrid w:val="0"/>
                <w:color w:val="000000"/>
                <w:spacing w:val="-3"/>
                <w:kern w:val="0"/>
                <w:sz w:val="18"/>
                <w:szCs w:val="18"/>
                <w:lang w:val="en-US" w:eastAsia="en-US" w:bidi="ar-SA"/>
              </w:rPr>
              <w:t xml:space="preserve">LPG </w:t>
            </w:r>
            <w:r>
              <w:rPr>
                <w:rFonts w:ascii="宋体" w:hAnsi="宋体" w:eastAsia="宋体" w:cs="宋体"/>
                <w:snapToGrid w:val="0"/>
                <w:color w:val="000000"/>
                <w:spacing w:val="-3"/>
                <w:kern w:val="0"/>
                <w:sz w:val="18"/>
                <w:szCs w:val="18"/>
                <w:lang w:val="en-US" w:eastAsia="en-US" w:bidi="ar-SA"/>
              </w:rPr>
              <w:t>加气站或加油与</w:t>
            </w:r>
            <w:r>
              <w:rPr>
                <w:rFonts w:ascii="宋体" w:hAnsi="宋体" w:eastAsia="宋体" w:cs="宋体"/>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 xml:space="preserve">LPG </w:t>
            </w:r>
            <w:r>
              <w:rPr>
                <w:rFonts w:ascii="宋体" w:hAnsi="宋体" w:eastAsia="宋体" w:cs="宋体"/>
                <w:snapToGrid w:val="0"/>
                <w:color w:val="000000"/>
                <w:spacing w:val="-3"/>
                <w:kern w:val="0"/>
                <w:sz w:val="18"/>
                <w:szCs w:val="18"/>
                <w:lang w:val="en-US" w:eastAsia="en-US" w:bidi="ar-SA"/>
              </w:rPr>
              <w:t>加气合建站排出建筑物或围墙的污水，</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在建筑物墙外或围墙内应分别设水封井，水封井的水封高度不应小于</w:t>
            </w:r>
            <w:r>
              <w:rPr>
                <w:rFonts w:ascii="宋体" w:hAnsi="宋体" w:eastAsia="宋体" w:cs="宋体"/>
                <w:snapToGrid w:val="0"/>
                <w:color w:val="000000"/>
                <w:spacing w:val="-36"/>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0.25m</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，水</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封井应设沉泥段，沉泥段高度不应小于</w:t>
            </w:r>
            <w:r>
              <w:rPr>
                <w:rFonts w:ascii="宋体" w:hAnsi="宋体" w:eastAsia="宋体" w:cs="宋体"/>
                <w:snapToGrid w:val="0"/>
                <w:color w:val="000000"/>
                <w:spacing w:val="-33"/>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0.25m</w:t>
            </w:r>
            <w:r>
              <w:rPr>
                <w:rFonts w:ascii="宋体" w:hAnsi="宋体" w:eastAsia="宋体" w:cs="宋体"/>
                <w:snapToGrid w:val="0"/>
                <w:color w:val="000000"/>
                <w:spacing w:val="-2"/>
                <w:kern w:val="0"/>
                <w:sz w:val="18"/>
                <w:szCs w:val="18"/>
                <w:lang w:val="en-US" w:eastAsia="en-US" w:bidi="ar-SA"/>
              </w:rPr>
              <w:t>；</w:t>
            </w:r>
          </w:p>
          <w:p w14:paraId="35864B46">
            <w:pPr>
              <w:kinsoku w:val="0"/>
              <w:autoSpaceDE w:val="0"/>
              <w:autoSpaceDN w:val="0"/>
              <w:adjustRightInd w:val="0"/>
              <w:snapToGrid w:val="0"/>
              <w:spacing w:before="84" w:line="264" w:lineRule="auto"/>
              <w:ind w:firstLine="35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3  </w:t>
            </w:r>
            <w:r>
              <w:rPr>
                <w:rFonts w:ascii="宋体" w:hAnsi="宋体" w:eastAsia="宋体" w:cs="宋体"/>
                <w:snapToGrid w:val="0"/>
                <w:color w:val="000000"/>
                <w:spacing w:val="-1"/>
                <w:kern w:val="0"/>
                <w:sz w:val="18"/>
                <w:szCs w:val="18"/>
                <w:lang w:val="en-US" w:eastAsia="en-US" w:bidi="ar-SA"/>
              </w:rPr>
              <w:t>清洗油罐的污水应集中收集处理，不应直接进入排水管道，</w:t>
            </w:r>
            <w:r>
              <w:rPr>
                <w:rFonts w:ascii="Times New Roman" w:hAnsi="Times New Roman" w:eastAsia="Times New Roman" w:cs="Times New Roman"/>
                <w:snapToGrid w:val="0"/>
                <w:color w:val="000000"/>
                <w:spacing w:val="-1"/>
                <w:kern w:val="0"/>
                <w:sz w:val="18"/>
                <w:szCs w:val="18"/>
                <w:lang w:val="en-US" w:eastAsia="en-US" w:bidi="ar-SA"/>
              </w:rPr>
              <w:t xml:space="preserve">LPG </w:t>
            </w:r>
            <w:r>
              <w:rPr>
                <w:rFonts w:ascii="宋体" w:hAnsi="宋体" w:eastAsia="宋体" w:cs="宋体"/>
                <w:snapToGrid w:val="0"/>
                <w:color w:val="000000"/>
                <w:spacing w:val="-1"/>
                <w:kern w:val="0"/>
                <w:sz w:val="18"/>
                <w:szCs w:val="18"/>
                <w:lang w:val="en-US" w:eastAsia="en-US" w:bidi="ar-SA"/>
              </w:rPr>
              <w:t>储罐的排</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kern w:val="0"/>
                <w:sz w:val="18"/>
                <w:szCs w:val="18"/>
                <w:lang w:val="en-US" w:eastAsia="en-US" w:bidi="ar-SA"/>
              </w:rPr>
              <w:t>污（排水）应采用活动式回收桶集中收集处</w:t>
            </w:r>
            <w:r>
              <w:rPr>
                <w:rFonts w:ascii="宋体" w:hAnsi="宋体" w:eastAsia="宋体" w:cs="宋体"/>
                <w:snapToGrid w:val="0"/>
                <w:color w:val="000000"/>
                <w:spacing w:val="-1"/>
                <w:kern w:val="0"/>
                <w:sz w:val="18"/>
                <w:szCs w:val="18"/>
                <w:lang w:val="en-US" w:eastAsia="en-US" w:bidi="ar-SA"/>
              </w:rPr>
              <w:t>理，不应直接接入排水管道；</w:t>
            </w:r>
          </w:p>
          <w:p w14:paraId="67C5E398">
            <w:pPr>
              <w:kinsoku w:val="0"/>
              <w:autoSpaceDE w:val="0"/>
              <w:autoSpaceDN w:val="0"/>
              <w:adjustRightInd w:val="0"/>
              <w:snapToGrid w:val="0"/>
              <w:spacing w:before="86" w:line="220" w:lineRule="auto"/>
              <w:ind w:left="35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kern w:val="0"/>
                <w:sz w:val="18"/>
                <w:szCs w:val="18"/>
                <w:lang w:val="en-US" w:eastAsia="en-US" w:bidi="ar-SA"/>
              </w:rPr>
              <w:t xml:space="preserve">4  </w:t>
            </w:r>
            <w:r>
              <w:rPr>
                <w:rFonts w:ascii="宋体" w:hAnsi="宋体" w:eastAsia="宋体" w:cs="宋体"/>
                <w:snapToGrid w:val="0"/>
                <w:color w:val="000000"/>
                <w:kern w:val="0"/>
                <w:sz w:val="18"/>
                <w:szCs w:val="18"/>
                <w:lang w:val="en-US" w:eastAsia="en-US" w:bidi="ar-SA"/>
              </w:rPr>
              <w:t>排出站外的污水应符合国家现行有关污水排放标准</w:t>
            </w:r>
            <w:r>
              <w:rPr>
                <w:rFonts w:ascii="宋体" w:hAnsi="宋体" w:eastAsia="宋体" w:cs="宋体"/>
                <w:snapToGrid w:val="0"/>
                <w:color w:val="000000"/>
                <w:spacing w:val="-1"/>
                <w:kern w:val="0"/>
                <w:sz w:val="18"/>
                <w:szCs w:val="18"/>
                <w:lang w:val="en-US" w:eastAsia="en-US" w:bidi="ar-SA"/>
              </w:rPr>
              <w:t>的规定；</w:t>
            </w:r>
          </w:p>
          <w:p w14:paraId="682529AC">
            <w:pPr>
              <w:kinsoku w:val="0"/>
              <w:autoSpaceDE w:val="0"/>
              <w:autoSpaceDN w:val="0"/>
              <w:adjustRightInd w:val="0"/>
              <w:snapToGrid w:val="0"/>
              <w:spacing w:before="85" w:line="219" w:lineRule="auto"/>
              <w:ind w:left="36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 xml:space="preserve">5  </w:t>
            </w:r>
            <w:r>
              <w:rPr>
                <w:rFonts w:ascii="宋体" w:hAnsi="宋体" w:eastAsia="宋体" w:cs="宋体"/>
                <w:snapToGrid w:val="0"/>
                <w:color w:val="000000"/>
                <w:spacing w:val="-1"/>
                <w:kern w:val="0"/>
                <w:sz w:val="18"/>
                <w:szCs w:val="18"/>
                <w:lang w:val="en-US" w:eastAsia="en-US" w:bidi="ar-SA"/>
              </w:rPr>
              <w:t>加油站、</w:t>
            </w:r>
            <w:r>
              <w:rPr>
                <w:rFonts w:ascii="Times New Roman" w:hAnsi="Times New Roman" w:eastAsia="Times New Roman" w:cs="Times New Roman"/>
                <w:snapToGrid w:val="0"/>
                <w:color w:val="000000"/>
                <w:spacing w:val="-1"/>
                <w:kern w:val="0"/>
                <w:sz w:val="18"/>
                <w:szCs w:val="18"/>
                <w:lang w:val="en-US" w:eastAsia="en-US" w:bidi="ar-SA"/>
              </w:rPr>
              <w:t>LPG</w:t>
            </w:r>
            <w:r>
              <w:rPr>
                <w:rFonts w:ascii="宋体" w:hAnsi="宋体" w:eastAsia="宋体" w:cs="宋体"/>
                <w:snapToGrid w:val="0"/>
                <w:color w:val="000000"/>
                <w:spacing w:val="-1"/>
                <w:kern w:val="0"/>
                <w:sz w:val="18"/>
                <w:szCs w:val="18"/>
                <w:lang w:val="en-US" w:eastAsia="en-US" w:bidi="ar-SA"/>
              </w:rPr>
              <w:t>加气站不应采用暗沟排水。</w:t>
            </w:r>
          </w:p>
        </w:tc>
        <w:tc>
          <w:tcPr>
            <w:tcW w:w="1725" w:type="dxa"/>
            <w:vAlign w:val="top"/>
          </w:tcPr>
          <w:p w14:paraId="3C076D69">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2DBBC2BD">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2E14A8D7">
            <w:pPr>
              <w:kinsoku w:val="0"/>
              <w:autoSpaceDE w:val="0"/>
              <w:autoSpaceDN w:val="0"/>
              <w:adjustRightInd w:val="0"/>
              <w:snapToGrid w:val="0"/>
              <w:spacing w:before="59" w:line="220" w:lineRule="auto"/>
              <w:ind w:left="31"/>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5"/>
                <w:kern w:val="0"/>
                <w:sz w:val="18"/>
                <w:szCs w:val="18"/>
                <w:lang w:val="en-US" w:eastAsia="en-US" w:bidi="ar-SA"/>
              </w:rPr>
              <w:t>1</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、散流排出站外；</w:t>
            </w:r>
          </w:p>
          <w:p w14:paraId="4C5FD095">
            <w:pPr>
              <w:kinsoku w:val="0"/>
              <w:autoSpaceDE w:val="0"/>
              <w:autoSpaceDN w:val="0"/>
              <w:adjustRightInd w:val="0"/>
              <w:snapToGrid w:val="0"/>
              <w:spacing w:before="86" w:line="278" w:lineRule="auto"/>
              <w:ind w:left="17" w:hanging="3"/>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2</w:t>
            </w:r>
            <w:r>
              <w:rPr>
                <w:rFonts w:ascii="宋体" w:hAnsi="宋体" w:eastAsia="宋体" w:cs="宋体"/>
                <w:snapToGrid w:val="0"/>
                <w:color w:val="000000"/>
                <w:spacing w:val="-4"/>
                <w:kern w:val="0"/>
                <w:sz w:val="18"/>
                <w:szCs w:val="18"/>
                <w:lang w:val="en-US" w:eastAsia="en-US" w:bidi="ar-SA"/>
              </w:rPr>
              <w:t>、该站油罐清洗均委</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4"/>
                <w:kern w:val="0"/>
                <w:sz w:val="18"/>
                <w:szCs w:val="18"/>
                <w:lang w:val="en-US" w:eastAsia="en-US" w:bidi="ar-SA"/>
              </w:rPr>
              <w:t>托专业机构实施，相关</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10"/>
                <w:kern w:val="0"/>
                <w:sz w:val="18"/>
                <w:szCs w:val="18"/>
                <w:lang w:val="en-US" w:eastAsia="en-US" w:bidi="ar-SA"/>
              </w:rPr>
              <w:t>污水均集中收集处理；</w:t>
            </w:r>
          </w:p>
          <w:p w14:paraId="1C0D04EA">
            <w:pPr>
              <w:kinsoku w:val="0"/>
              <w:autoSpaceDE w:val="0"/>
              <w:autoSpaceDN w:val="0"/>
              <w:adjustRightInd w:val="0"/>
              <w:snapToGrid w:val="0"/>
              <w:spacing w:before="84" w:line="265" w:lineRule="auto"/>
              <w:ind w:left="17"/>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3</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、排出站外污水符合</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要求；</w:t>
            </w:r>
          </w:p>
          <w:p w14:paraId="3B2C1DBF">
            <w:pPr>
              <w:kinsoku w:val="0"/>
              <w:autoSpaceDE w:val="0"/>
              <w:autoSpaceDN w:val="0"/>
              <w:adjustRightInd w:val="0"/>
              <w:snapToGrid w:val="0"/>
              <w:spacing w:before="84" w:line="219" w:lineRule="auto"/>
              <w:jc w:val="righ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7"/>
                <w:kern w:val="0"/>
                <w:sz w:val="18"/>
                <w:szCs w:val="18"/>
                <w:lang w:val="en-US" w:eastAsia="en-US" w:bidi="ar-SA"/>
              </w:rPr>
              <w:t>4</w:t>
            </w:r>
            <w:r>
              <w:rPr>
                <w:rFonts w:ascii="宋体" w:hAnsi="宋体" w:eastAsia="宋体" w:cs="宋体"/>
                <w:snapToGrid w:val="0"/>
                <w:color w:val="000000"/>
                <w:spacing w:val="-17"/>
                <w:kern w:val="0"/>
                <w:sz w:val="18"/>
                <w:szCs w:val="18"/>
                <w:lang w:val="en-US" w:eastAsia="en-US" w:bidi="ar-SA"/>
              </w:rPr>
              <w:t>、站内采用明沟排放。</w:t>
            </w:r>
          </w:p>
        </w:tc>
        <w:tc>
          <w:tcPr>
            <w:tcW w:w="589" w:type="dxa"/>
            <w:tcBorders>
              <w:right w:val="single" w:color="000000" w:sz="10" w:space="0"/>
            </w:tcBorders>
            <w:vAlign w:val="top"/>
          </w:tcPr>
          <w:p w14:paraId="45F848F9">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16269975">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0A4D0B8B">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30D68A7B">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7C930202">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01EED42C">
            <w:pPr>
              <w:kinsoku w:val="0"/>
              <w:autoSpaceDE w:val="0"/>
              <w:autoSpaceDN w:val="0"/>
              <w:adjustRightInd w:val="0"/>
              <w:snapToGrid w:val="0"/>
              <w:spacing w:before="58"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r w14:paraId="20248D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666" w:type="dxa"/>
            <w:tcBorders>
              <w:left w:val="single" w:color="000000" w:sz="10" w:space="0"/>
              <w:bottom w:val="single" w:color="000000" w:sz="10" w:space="0"/>
            </w:tcBorders>
            <w:vAlign w:val="top"/>
          </w:tcPr>
          <w:p w14:paraId="7B6213B1">
            <w:pPr>
              <w:widowControl/>
              <w:kinsoku w:val="0"/>
              <w:autoSpaceDE w:val="0"/>
              <w:autoSpaceDN w:val="0"/>
              <w:adjustRightInd w:val="0"/>
              <w:snapToGrid w:val="0"/>
              <w:spacing w:line="414" w:lineRule="auto"/>
              <w:jc w:val="left"/>
              <w:textAlignment w:val="baseline"/>
              <w:rPr>
                <w:rFonts w:ascii="Arial" w:hAnsi="Arial" w:eastAsia="Arial" w:cs="Arial"/>
                <w:snapToGrid w:val="0"/>
                <w:color w:val="000000"/>
                <w:kern w:val="0"/>
                <w:sz w:val="21"/>
                <w:lang w:eastAsia="en-US"/>
              </w:rPr>
            </w:pPr>
          </w:p>
          <w:p w14:paraId="689BCFE5">
            <w:pPr>
              <w:widowControl/>
              <w:kinsoku w:val="0"/>
              <w:autoSpaceDE w:val="0"/>
              <w:autoSpaceDN w:val="0"/>
              <w:adjustRightInd w:val="0"/>
              <w:snapToGrid w:val="0"/>
              <w:spacing w:before="52" w:line="188" w:lineRule="auto"/>
              <w:ind w:left="28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kern w:val="0"/>
                <w:sz w:val="18"/>
                <w:szCs w:val="18"/>
                <w:lang w:eastAsia="en-US"/>
              </w:rPr>
              <w:t>3</w:t>
            </w:r>
          </w:p>
        </w:tc>
        <w:tc>
          <w:tcPr>
            <w:tcW w:w="6301" w:type="dxa"/>
            <w:tcBorders>
              <w:bottom w:val="single" w:color="000000" w:sz="10" w:space="0"/>
            </w:tcBorders>
            <w:vAlign w:val="top"/>
          </w:tcPr>
          <w:p w14:paraId="31D09570">
            <w:pPr>
              <w:kinsoku w:val="0"/>
              <w:autoSpaceDE w:val="0"/>
              <w:autoSpaceDN w:val="0"/>
              <w:adjustRightInd w:val="0"/>
              <w:snapToGrid w:val="0"/>
              <w:spacing w:before="289" w:line="294" w:lineRule="auto"/>
              <w:ind w:left="2" w:hanging="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kern w:val="0"/>
                <w:sz w:val="18"/>
                <w:szCs w:val="18"/>
                <w:lang w:val="en-US" w:eastAsia="en-US" w:bidi="ar-SA"/>
              </w:rPr>
              <w:t>排水井、雨水口和化粪池不应设在作业区和可燃液体出现泄漏事故</w:t>
            </w:r>
            <w:r>
              <w:rPr>
                <w:rFonts w:ascii="宋体" w:hAnsi="宋体" w:eastAsia="宋体" w:cs="宋体"/>
                <w:snapToGrid w:val="0"/>
                <w:color w:val="000000"/>
                <w:spacing w:val="-1"/>
                <w:kern w:val="0"/>
                <w:sz w:val="18"/>
                <w:szCs w:val="18"/>
                <w:lang w:val="en-US" w:eastAsia="en-US" w:bidi="ar-SA"/>
              </w:rPr>
              <w:t>时可能流经的</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部位。</w:t>
            </w:r>
          </w:p>
        </w:tc>
        <w:tc>
          <w:tcPr>
            <w:tcW w:w="1725" w:type="dxa"/>
            <w:tcBorders>
              <w:bottom w:val="single" w:color="000000" w:sz="10" w:space="0"/>
            </w:tcBorders>
            <w:vAlign w:val="top"/>
          </w:tcPr>
          <w:p w14:paraId="0C8BC0A4">
            <w:pPr>
              <w:kinsoku w:val="0"/>
              <w:autoSpaceDE w:val="0"/>
              <w:autoSpaceDN w:val="0"/>
              <w:adjustRightInd w:val="0"/>
              <w:snapToGrid w:val="0"/>
              <w:spacing w:before="137" w:line="221" w:lineRule="auto"/>
              <w:ind w:left="6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未设在作业区和可燃</w:t>
            </w:r>
          </w:p>
          <w:p w14:paraId="06D1A7D6">
            <w:pPr>
              <w:kinsoku w:val="0"/>
              <w:autoSpaceDE w:val="0"/>
              <w:autoSpaceDN w:val="0"/>
              <w:adjustRightInd w:val="0"/>
              <w:snapToGrid w:val="0"/>
              <w:spacing w:before="84" w:line="275" w:lineRule="auto"/>
              <w:ind w:left="157" w:right="41" w:hanging="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液体出现泄漏事故时</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可能流经的部位。</w:t>
            </w:r>
          </w:p>
        </w:tc>
        <w:tc>
          <w:tcPr>
            <w:tcW w:w="589" w:type="dxa"/>
            <w:tcBorders>
              <w:bottom w:val="single" w:color="000000" w:sz="10" w:space="0"/>
              <w:right w:val="single" w:color="000000" w:sz="10" w:space="0"/>
            </w:tcBorders>
            <w:vAlign w:val="top"/>
          </w:tcPr>
          <w:p w14:paraId="038FA92C">
            <w:pPr>
              <w:widowControl/>
              <w:kinsoku w:val="0"/>
              <w:autoSpaceDE w:val="0"/>
              <w:autoSpaceDN w:val="0"/>
              <w:adjustRightInd w:val="0"/>
              <w:snapToGrid w:val="0"/>
              <w:spacing w:line="377" w:lineRule="auto"/>
              <w:jc w:val="left"/>
              <w:textAlignment w:val="baseline"/>
              <w:rPr>
                <w:rFonts w:ascii="Arial" w:hAnsi="Arial" w:eastAsia="Arial" w:cs="Arial"/>
                <w:snapToGrid w:val="0"/>
                <w:color w:val="000000"/>
                <w:kern w:val="0"/>
                <w:sz w:val="21"/>
                <w:lang w:eastAsia="en-US"/>
              </w:rPr>
            </w:pPr>
          </w:p>
          <w:p w14:paraId="51200024">
            <w:pPr>
              <w:kinsoku w:val="0"/>
              <w:autoSpaceDE w:val="0"/>
              <w:autoSpaceDN w:val="0"/>
              <w:adjustRightInd w:val="0"/>
              <w:snapToGrid w:val="0"/>
              <w:spacing w:before="58"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合格</w:t>
            </w:r>
          </w:p>
        </w:tc>
      </w:tr>
    </w:tbl>
    <w:p w14:paraId="6504C01C">
      <w:pPr>
        <w:keepNext w:val="0"/>
        <w:keepLines w:val="0"/>
        <w:pageBreakBefore w:val="0"/>
        <w:widowControl/>
        <w:kinsoku w:val="0"/>
        <w:wordWrap/>
        <w:overflowPunct/>
        <w:topLinePunct w:val="0"/>
        <w:autoSpaceDE w:val="0"/>
        <w:autoSpaceDN w:val="0"/>
        <w:bidi w:val="0"/>
        <w:adjustRightInd w:val="0"/>
        <w:snapToGrid w:val="0"/>
        <w:spacing w:before="241" w:line="221" w:lineRule="auto"/>
        <w:ind w:left="703"/>
        <w:jc w:val="left"/>
        <w:textAlignment w:val="baseline"/>
        <w:outlineLvl w:val="9"/>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2"/>
          <w:kern w:val="0"/>
          <w:sz w:val="28"/>
          <w:szCs w:val="28"/>
          <w:lang w:eastAsia="en-US"/>
        </w:rPr>
        <w:t>该单元采用《安全检查表法》共检查项目</w:t>
      </w:r>
      <w:r>
        <w:rPr>
          <w:rFonts w:ascii="Times New Roman" w:hAnsi="Times New Roman" w:eastAsia="Times New Roman" w:cs="Times New Roman"/>
          <w:snapToGrid w:val="0"/>
          <w:color w:val="000000"/>
          <w:spacing w:val="2"/>
          <w:kern w:val="0"/>
          <w:sz w:val="28"/>
          <w:szCs w:val="28"/>
          <w:lang w:eastAsia="en-US"/>
        </w:rPr>
        <w:t xml:space="preserve">27 </w:t>
      </w:r>
      <w:r>
        <w:rPr>
          <w:rFonts w:ascii="宋体" w:hAnsi="宋体" w:eastAsia="宋体" w:cs="宋体"/>
          <w:snapToGrid w:val="0"/>
          <w:color w:val="000000"/>
          <w:spacing w:val="2"/>
          <w:kern w:val="0"/>
          <w:sz w:val="28"/>
          <w:szCs w:val="28"/>
          <w:lang w:eastAsia="en-US"/>
        </w:rPr>
        <w:t>项</w:t>
      </w:r>
      <w:r>
        <w:rPr>
          <w:rFonts w:ascii="宋体" w:hAnsi="宋体" w:eastAsia="宋体" w:cs="宋体"/>
          <w:snapToGrid w:val="0"/>
          <w:color w:val="000000"/>
          <w:spacing w:val="1"/>
          <w:kern w:val="0"/>
          <w:sz w:val="28"/>
          <w:szCs w:val="28"/>
          <w:lang w:eastAsia="en-US"/>
        </w:rPr>
        <w:t>符合，均符合要求。</w:t>
      </w:r>
    </w:p>
    <w:p w14:paraId="33D8DD3C">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36" w:name="_Toc12560"/>
      <w:r>
        <w:rPr>
          <w:rFonts w:hint="eastAsia" w:ascii="楷体" w:hAnsi="楷体" w:eastAsia="楷体" w:cs="楷体"/>
          <w:sz w:val="32"/>
          <w:szCs w:val="32"/>
          <w:lang w:val="en-US" w:eastAsia="zh-CN"/>
        </w:rPr>
        <w:t>5</w:t>
      </w:r>
      <w:r>
        <w:rPr>
          <w:rFonts w:hint="eastAsia" w:ascii="楷体" w:hAnsi="楷体" w:eastAsia="楷体" w:cs="楷体"/>
          <w:sz w:val="32"/>
          <w:szCs w:val="32"/>
          <w:lang w:eastAsia="en-US"/>
        </w:rPr>
        <w:t>.6 消防安全设施单元</w:t>
      </w:r>
      <w:bookmarkEnd w:id="236"/>
    </w:p>
    <w:p w14:paraId="02A27412">
      <w:pPr>
        <w:widowControl/>
        <w:kinsoku w:val="0"/>
        <w:autoSpaceDE w:val="0"/>
        <w:autoSpaceDN w:val="0"/>
        <w:adjustRightInd w:val="0"/>
        <w:snapToGrid w:val="0"/>
        <w:spacing w:before="269" w:line="386" w:lineRule="auto"/>
        <w:ind w:left="68" w:firstLine="569"/>
        <w:jc w:val="both"/>
        <w:textAlignment w:val="baseline"/>
        <w:rPr>
          <w:rFonts w:hint="eastAsia" w:ascii="宋体" w:hAnsi="宋体" w:eastAsia="宋体" w:cs="宋体"/>
          <w:snapToGrid w:val="0"/>
          <w:color w:val="000000"/>
          <w:spacing w:val="-2"/>
          <w:kern w:val="0"/>
          <w:sz w:val="28"/>
          <w:szCs w:val="28"/>
          <w:lang w:val="en-US" w:eastAsia="zh-CN"/>
        </w:rPr>
      </w:pPr>
      <w:r>
        <w:rPr>
          <w:rFonts w:hint="eastAsia" w:ascii="宋体" w:hAnsi="宋体" w:eastAsia="宋体" w:cs="宋体"/>
          <w:snapToGrid w:val="0"/>
          <w:color w:val="000000"/>
          <w:spacing w:val="-6"/>
          <w:kern w:val="0"/>
          <w:sz w:val="28"/>
          <w:szCs w:val="28"/>
          <w:lang w:eastAsia="en-US"/>
        </w:rPr>
        <w:t>根据《汽车加油加气加氢站技术标准》（GB50</w:t>
      </w:r>
      <w:r>
        <w:rPr>
          <w:rFonts w:hint="eastAsia" w:ascii="宋体" w:hAnsi="宋体" w:eastAsia="宋体" w:cs="宋体"/>
          <w:snapToGrid w:val="0"/>
          <w:color w:val="000000"/>
          <w:spacing w:val="-7"/>
          <w:kern w:val="0"/>
          <w:sz w:val="28"/>
          <w:szCs w:val="28"/>
          <w:lang w:eastAsia="en-US"/>
        </w:rPr>
        <w:t>156-2021）的有关要求，</w:t>
      </w:r>
      <w:r>
        <w:rPr>
          <w:rFonts w:hint="eastAsia" w:ascii="宋体" w:hAnsi="宋体" w:eastAsia="宋体" w:cs="宋体"/>
          <w:snapToGrid w:val="0"/>
          <w:color w:val="000000"/>
          <w:spacing w:val="3"/>
          <w:kern w:val="0"/>
          <w:sz w:val="28"/>
          <w:szCs w:val="28"/>
          <w:lang w:eastAsia="en-US"/>
        </w:rPr>
        <w:t>采用《安全检查表法》对消防设施、报警和紧急切断系统单元进行分析评</w:t>
      </w:r>
      <w:r>
        <w:rPr>
          <w:rFonts w:hint="eastAsia" w:ascii="宋体" w:hAnsi="宋体" w:eastAsia="宋体" w:cs="宋体"/>
          <w:snapToGrid w:val="0"/>
          <w:color w:val="000000"/>
          <w:spacing w:val="-2"/>
          <w:kern w:val="0"/>
          <w:sz w:val="28"/>
          <w:szCs w:val="28"/>
          <w:lang w:eastAsia="en-US"/>
        </w:rPr>
        <w:t>价，评价结果见表</w:t>
      </w:r>
      <w:r>
        <w:rPr>
          <w:rFonts w:hint="eastAsia" w:ascii="宋体" w:hAnsi="宋体" w:eastAsia="宋体" w:cs="宋体"/>
          <w:snapToGrid w:val="0"/>
          <w:color w:val="000000"/>
          <w:spacing w:val="-53"/>
          <w:kern w:val="0"/>
          <w:sz w:val="28"/>
          <w:szCs w:val="28"/>
          <w:lang w:eastAsia="en-US"/>
        </w:rPr>
        <w:t xml:space="preserve"> </w:t>
      </w:r>
      <w:r>
        <w:rPr>
          <w:rFonts w:hint="eastAsia" w:ascii="宋体" w:hAnsi="宋体" w:eastAsia="宋体" w:cs="宋体"/>
          <w:snapToGrid w:val="0"/>
          <w:color w:val="000000"/>
          <w:spacing w:val="-2"/>
          <w:kern w:val="0"/>
          <w:sz w:val="28"/>
          <w:szCs w:val="28"/>
          <w:lang w:eastAsia="en-US"/>
        </w:rPr>
        <w:t>5</w:t>
      </w:r>
      <w:r>
        <w:rPr>
          <w:rFonts w:hint="eastAsia" w:ascii="宋体" w:hAnsi="宋体" w:eastAsia="宋体" w:cs="宋体"/>
          <w:snapToGrid w:val="0"/>
          <w:color w:val="000000"/>
          <w:spacing w:val="-2"/>
          <w:kern w:val="0"/>
          <w:sz w:val="28"/>
          <w:szCs w:val="28"/>
          <w:lang w:val="en-US" w:eastAsia="zh-CN"/>
        </w:rPr>
        <w:t>-11.</w:t>
      </w:r>
    </w:p>
    <w:p w14:paraId="77356050">
      <w:pPr>
        <w:rPr>
          <w:rFonts w:hint="default"/>
          <w:lang w:val="en-US" w:eastAsia="en-US"/>
        </w:rPr>
      </w:pPr>
      <w:r>
        <w:rPr>
          <w:rFonts w:hint="eastAsia" w:ascii="宋体" w:hAnsi="宋体" w:eastAsia="宋体" w:cs="宋体"/>
          <w:snapToGrid w:val="0"/>
          <w:color w:val="000000"/>
          <w:spacing w:val="-2"/>
          <w:kern w:val="0"/>
          <w:sz w:val="28"/>
          <w:szCs w:val="28"/>
          <w:lang w:val="en-US" w:eastAsia="zh-CN"/>
        </w:rPr>
        <w:br w:type="page"/>
      </w:r>
    </w:p>
    <w:p w14:paraId="24ACD48A">
      <w:pPr>
        <w:widowControl/>
        <w:kinsoku w:val="0"/>
        <w:autoSpaceDE w:val="0"/>
        <w:autoSpaceDN w:val="0"/>
        <w:adjustRightInd w:val="0"/>
        <w:snapToGrid w:val="0"/>
        <w:spacing w:before="78" w:line="220" w:lineRule="auto"/>
        <w:ind w:left="2755"/>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47"/>
          <w:kern w:val="0"/>
          <w:sz w:val="24"/>
          <w:szCs w:val="24"/>
          <w:lang w:eastAsia="en-US"/>
        </w:rPr>
        <w:t xml:space="preserve"> </w:t>
      </w:r>
      <w:r>
        <w:rPr>
          <w:rFonts w:hint="eastAsia" w:ascii="Times New Roman" w:hAnsi="Times New Roman" w:eastAsia="宋体" w:cs="Times New Roman"/>
          <w:b/>
          <w:bCs/>
          <w:snapToGrid w:val="0"/>
          <w:color w:val="000000"/>
          <w:spacing w:val="-2"/>
          <w:kern w:val="0"/>
          <w:sz w:val="24"/>
          <w:szCs w:val="24"/>
          <w:lang w:val="en-US" w:eastAsia="zh-CN"/>
        </w:rPr>
        <w:t>5-11</w:t>
      </w:r>
      <w:r>
        <w:rPr>
          <w:rFonts w:ascii="宋体" w:hAnsi="宋体" w:eastAsia="宋体" w:cs="宋体"/>
          <w:b/>
          <w:bCs/>
          <w:snapToGrid w:val="0"/>
          <w:color w:val="000000"/>
          <w:spacing w:val="-2"/>
          <w:kern w:val="0"/>
          <w:sz w:val="24"/>
          <w:szCs w:val="24"/>
          <w:lang w:eastAsia="en-US"/>
        </w:rPr>
        <w:t>消防设施单元现场检查表</w:t>
      </w:r>
    </w:p>
    <w:p w14:paraId="2CE828EC">
      <w:pPr>
        <w:widowControl/>
        <w:kinsoku w:val="0"/>
        <w:autoSpaceDE w:val="0"/>
        <w:autoSpaceDN w:val="0"/>
        <w:adjustRightInd w:val="0"/>
        <w:snapToGrid w:val="0"/>
        <w:spacing w:line="39" w:lineRule="exact"/>
        <w:jc w:val="left"/>
        <w:textAlignment w:val="baseline"/>
        <w:rPr>
          <w:rFonts w:ascii="Arial" w:hAnsi="Arial" w:eastAsia="Arial" w:cs="Arial"/>
          <w:snapToGrid w:val="0"/>
          <w:color w:val="000000"/>
          <w:kern w:val="0"/>
          <w:lang w:eastAsia="en-US"/>
        </w:rPr>
      </w:pPr>
    </w:p>
    <w:tbl>
      <w:tblPr>
        <w:tblStyle w:val="47"/>
        <w:tblW w:w="9222"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7"/>
        <w:gridCol w:w="3502"/>
        <w:gridCol w:w="2218"/>
        <w:gridCol w:w="2088"/>
        <w:gridCol w:w="675"/>
      </w:tblGrid>
      <w:tr w14:paraId="6AA995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677" w:type="dxa"/>
            <w:tcBorders>
              <w:top w:val="single" w:color="000000" w:sz="10" w:space="0"/>
              <w:left w:val="single" w:color="000000" w:sz="10" w:space="0"/>
              <w:right w:val="single" w:color="000000" w:sz="4" w:space="0"/>
            </w:tcBorders>
            <w:vAlign w:val="top"/>
          </w:tcPr>
          <w:p w14:paraId="1AC3750F">
            <w:pPr>
              <w:kinsoku w:val="0"/>
              <w:autoSpaceDE w:val="0"/>
              <w:autoSpaceDN w:val="0"/>
              <w:adjustRightInd w:val="0"/>
              <w:snapToGrid w:val="0"/>
              <w:spacing w:before="115" w:line="222" w:lineRule="auto"/>
              <w:ind w:left="14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序号</w:t>
            </w:r>
          </w:p>
        </w:tc>
        <w:tc>
          <w:tcPr>
            <w:tcW w:w="3502" w:type="dxa"/>
            <w:tcBorders>
              <w:top w:val="single" w:color="000000" w:sz="10" w:space="0"/>
              <w:left w:val="single" w:color="000000" w:sz="4" w:space="0"/>
              <w:right w:val="single" w:color="000000" w:sz="4" w:space="0"/>
            </w:tcBorders>
            <w:vAlign w:val="top"/>
          </w:tcPr>
          <w:p w14:paraId="4F3E0C6E">
            <w:pPr>
              <w:kinsoku w:val="0"/>
              <w:autoSpaceDE w:val="0"/>
              <w:autoSpaceDN w:val="0"/>
              <w:adjustRightInd w:val="0"/>
              <w:snapToGrid w:val="0"/>
              <w:spacing w:before="116" w:line="220" w:lineRule="auto"/>
              <w:ind w:left="12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项目检查内容</w:t>
            </w:r>
          </w:p>
        </w:tc>
        <w:tc>
          <w:tcPr>
            <w:tcW w:w="2218" w:type="dxa"/>
            <w:tcBorders>
              <w:top w:val="single" w:color="000000" w:sz="10" w:space="0"/>
              <w:left w:val="single" w:color="000000" w:sz="4" w:space="0"/>
              <w:right w:val="single" w:color="000000" w:sz="4" w:space="0"/>
            </w:tcBorders>
            <w:vAlign w:val="top"/>
          </w:tcPr>
          <w:p w14:paraId="00B54D35">
            <w:pPr>
              <w:kinsoku w:val="0"/>
              <w:autoSpaceDE w:val="0"/>
              <w:autoSpaceDN w:val="0"/>
              <w:adjustRightInd w:val="0"/>
              <w:snapToGrid w:val="0"/>
              <w:spacing w:before="115" w:line="219" w:lineRule="auto"/>
              <w:ind w:left="752"/>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评价依据</w:t>
            </w:r>
          </w:p>
        </w:tc>
        <w:tc>
          <w:tcPr>
            <w:tcW w:w="2088" w:type="dxa"/>
            <w:tcBorders>
              <w:top w:val="single" w:color="000000" w:sz="10" w:space="0"/>
              <w:left w:val="single" w:color="000000" w:sz="4" w:space="0"/>
              <w:right w:val="single" w:color="000000" w:sz="4" w:space="0"/>
            </w:tcBorders>
            <w:vAlign w:val="top"/>
          </w:tcPr>
          <w:p w14:paraId="4F570C18">
            <w:pPr>
              <w:kinsoku w:val="0"/>
              <w:autoSpaceDE w:val="0"/>
              <w:autoSpaceDN w:val="0"/>
              <w:adjustRightInd w:val="0"/>
              <w:snapToGrid w:val="0"/>
              <w:spacing w:before="116" w:line="220" w:lineRule="auto"/>
              <w:ind w:left="69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检查记录</w:t>
            </w:r>
          </w:p>
        </w:tc>
        <w:tc>
          <w:tcPr>
            <w:tcW w:w="675" w:type="dxa"/>
            <w:tcBorders>
              <w:top w:val="single" w:color="000000" w:sz="10" w:space="0"/>
              <w:left w:val="single" w:color="000000" w:sz="4" w:space="0"/>
              <w:right w:val="single" w:color="000000" w:sz="10" w:space="0"/>
            </w:tcBorders>
            <w:vAlign w:val="top"/>
          </w:tcPr>
          <w:p w14:paraId="053FDEE2">
            <w:pPr>
              <w:kinsoku w:val="0"/>
              <w:autoSpaceDE w:val="0"/>
              <w:autoSpaceDN w:val="0"/>
              <w:adjustRightInd w:val="0"/>
              <w:snapToGrid w:val="0"/>
              <w:spacing w:before="91" w:line="229" w:lineRule="auto"/>
              <w:ind w:left="13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结果</w:t>
            </w:r>
          </w:p>
        </w:tc>
      </w:tr>
      <w:tr w14:paraId="263362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91" w:hRule="atLeast"/>
        </w:trPr>
        <w:tc>
          <w:tcPr>
            <w:tcW w:w="677" w:type="dxa"/>
            <w:tcBorders>
              <w:left w:val="single" w:color="000000" w:sz="10" w:space="0"/>
              <w:right w:val="single" w:color="000000" w:sz="4" w:space="0"/>
            </w:tcBorders>
            <w:vAlign w:val="top"/>
          </w:tcPr>
          <w:p w14:paraId="0E15D7FF">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092F89CF">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3B314270">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0BCC3B12">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35111D3A">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4C0AF1EC">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209ECCDE">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0C1D444F">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13954301">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4646A974">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01C6634C">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34A8EE58">
            <w:pPr>
              <w:widowControl/>
              <w:kinsoku w:val="0"/>
              <w:autoSpaceDE w:val="0"/>
              <w:autoSpaceDN w:val="0"/>
              <w:adjustRightInd w:val="0"/>
              <w:snapToGrid w:val="0"/>
              <w:spacing w:before="52" w:line="188" w:lineRule="auto"/>
              <w:ind w:left="13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0"/>
                <w:kern w:val="0"/>
                <w:sz w:val="18"/>
                <w:szCs w:val="18"/>
                <w:lang w:eastAsia="en-US"/>
              </w:rPr>
              <w:t>1.</w:t>
            </w:r>
          </w:p>
        </w:tc>
        <w:tc>
          <w:tcPr>
            <w:tcW w:w="3502" w:type="dxa"/>
            <w:tcBorders>
              <w:left w:val="single" w:color="000000" w:sz="4" w:space="0"/>
              <w:right w:val="single" w:color="000000" w:sz="4" w:space="0"/>
            </w:tcBorders>
            <w:vAlign w:val="top"/>
          </w:tcPr>
          <w:p w14:paraId="0A97341F">
            <w:pPr>
              <w:kinsoku w:val="0"/>
              <w:autoSpaceDE w:val="0"/>
              <w:autoSpaceDN w:val="0"/>
              <w:adjustRightInd w:val="0"/>
              <w:snapToGrid w:val="0"/>
              <w:spacing w:before="39" w:line="233" w:lineRule="auto"/>
              <w:ind w:left="100" w:right="10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3"/>
                <w:kern w:val="0"/>
                <w:sz w:val="18"/>
                <w:szCs w:val="18"/>
                <w:lang w:val="en-US" w:eastAsia="en-US" w:bidi="ar-SA"/>
              </w:rPr>
              <w:t>加油加气加氢站工艺设备应配置灭火器</w:t>
            </w:r>
            <w:r>
              <w:rPr>
                <w:rFonts w:ascii="宋体" w:hAnsi="宋体" w:eastAsia="宋体" w:cs="宋体"/>
                <w:snapToGrid w:val="0"/>
                <w:color w:val="000000"/>
                <w:spacing w:val="6"/>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材，并应符合下列规定：</w:t>
            </w:r>
          </w:p>
          <w:p w14:paraId="66E097CA">
            <w:pPr>
              <w:kinsoku w:val="0"/>
              <w:autoSpaceDE w:val="0"/>
              <w:autoSpaceDN w:val="0"/>
              <w:adjustRightInd w:val="0"/>
              <w:snapToGrid w:val="0"/>
              <w:spacing w:before="26" w:line="236" w:lineRule="auto"/>
              <w:ind w:left="103" w:right="104" w:firstLine="279"/>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8"/>
                <w:kern w:val="0"/>
                <w:sz w:val="18"/>
                <w:szCs w:val="18"/>
                <w:lang w:val="en-US" w:eastAsia="en-US" w:bidi="ar-SA"/>
              </w:rPr>
              <w:t>1</w:t>
            </w:r>
            <w:r>
              <w:rPr>
                <w:rFonts w:ascii="宋体" w:hAnsi="宋体" w:eastAsia="宋体" w:cs="宋体"/>
                <w:snapToGrid w:val="0"/>
                <w:color w:val="000000"/>
                <w:spacing w:val="-8"/>
                <w:kern w:val="0"/>
                <w:sz w:val="18"/>
                <w:szCs w:val="18"/>
                <w:lang w:val="en-US" w:eastAsia="en-US" w:bidi="ar-SA"/>
              </w:rPr>
              <w:t>、每</w:t>
            </w:r>
            <w:r>
              <w:rPr>
                <w:rFonts w:ascii="宋体" w:hAnsi="宋体" w:eastAsia="宋体" w:cs="宋体"/>
                <w:snapToGrid w:val="0"/>
                <w:color w:val="000000"/>
                <w:spacing w:val="-26"/>
                <w:kern w:val="0"/>
                <w:sz w:val="18"/>
                <w:szCs w:val="18"/>
                <w:lang w:val="en-US" w:eastAsia="en-US" w:bidi="ar-SA"/>
              </w:rPr>
              <w:t xml:space="preserve"> </w:t>
            </w:r>
            <w:r>
              <w:rPr>
                <w:rFonts w:ascii="Times New Roman" w:hAnsi="Times New Roman" w:eastAsia="Times New Roman" w:cs="Times New Roman"/>
                <w:snapToGrid w:val="0"/>
                <w:color w:val="000000"/>
                <w:spacing w:val="-8"/>
                <w:kern w:val="0"/>
                <w:sz w:val="18"/>
                <w:szCs w:val="18"/>
                <w:lang w:val="en-US" w:eastAsia="en-US" w:bidi="ar-SA"/>
              </w:rPr>
              <w:t>2</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台加气（氢）机应配置不少于</w:t>
            </w:r>
            <w:r>
              <w:rPr>
                <w:rFonts w:ascii="宋体" w:hAnsi="宋体" w:eastAsia="宋体" w:cs="宋体"/>
                <w:snapToGrid w:val="0"/>
                <w:color w:val="000000"/>
                <w:spacing w:val="-43"/>
                <w:kern w:val="0"/>
                <w:sz w:val="18"/>
                <w:szCs w:val="18"/>
                <w:lang w:val="en-US" w:eastAsia="en-US" w:bidi="ar-SA"/>
              </w:rPr>
              <w:t xml:space="preserve"> </w:t>
            </w:r>
            <w:r>
              <w:rPr>
                <w:rFonts w:ascii="Times New Roman" w:hAnsi="Times New Roman" w:eastAsia="Times New Roman" w:cs="Times New Roman"/>
                <w:snapToGrid w:val="0"/>
                <w:color w:val="000000"/>
                <w:spacing w:val="-8"/>
                <w:kern w:val="0"/>
                <w:sz w:val="18"/>
                <w:szCs w:val="18"/>
                <w:lang w:val="en-US" w:eastAsia="en-US" w:bidi="ar-SA"/>
              </w:rPr>
              <w:t>2</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具</w:t>
            </w:r>
            <w:r>
              <w:rPr>
                <w:rFonts w:ascii="宋体" w:hAnsi="宋体" w:eastAsia="宋体" w:cs="宋体"/>
                <w:snapToGrid w:val="0"/>
                <w:color w:val="000000"/>
                <w:spacing w:val="-22"/>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5</w:t>
            </w:r>
            <w:r>
              <w:rPr>
                <w:rFonts w:ascii="Times New Roman" w:hAnsi="Times New Roman" w:eastAsia="Times New Roman" w:cs="Times New Roman"/>
                <w:snapToGrid w:val="0"/>
                <w:color w:val="000000"/>
                <w:kern w:val="0"/>
                <w:sz w:val="18"/>
                <w:szCs w:val="18"/>
                <w:lang w:val="en-US" w:eastAsia="en-US" w:bidi="ar-SA"/>
              </w:rPr>
              <w:t>kg</w:t>
            </w:r>
            <w:r>
              <w:rPr>
                <w:rFonts w:ascii="Times New Roman" w:hAnsi="Times New Roman" w:eastAsia="Times New Roman" w:cs="Times New Roman"/>
                <w:snapToGrid w:val="0"/>
                <w:color w:val="000000"/>
                <w:spacing w:val="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手提式干粉灭火器，加气（氢）机</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不足</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2</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台应按</w:t>
            </w:r>
            <w:r>
              <w:rPr>
                <w:rFonts w:ascii="宋体" w:hAnsi="宋体" w:eastAsia="宋体" w:cs="宋体"/>
                <w:snapToGrid w:val="0"/>
                <w:color w:val="000000"/>
                <w:spacing w:val="-43"/>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2</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台配置；</w:t>
            </w:r>
          </w:p>
          <w:p w14:paraId="1B9ADFB9">
            <w:pPr>
              <w:kinsoku w:val="0"/>
              <w:autoSpaceDE w:val="0"/>
              <w:autoSpaceDN w:val="0"/>
              <w:adjustRightInd w:val="0"/>
              <w:snapToGrid w:val="0"/>
              <w:spacing w:line="247" w:lineRule="auto"/>
              <w:ind w:left="100" w:right="102" w:firstLine="26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7"/>
                <w:kern w:val="0"/>
                <w:sz w:val="18"/>
                <w:szCs w:val="18"/>
                <w:lang w:val="en-US" w:eastAsia="en-US" w:bidi="ar-SA"/>
              </w:rPr>
              <w:t>2</w:t>
            </w:r>
            <w:r>
              <w:rPr>
                <w:rFonts w:ascii="宋体" w:hAnsi="宋体" w:eastAsia="宋体" w:cs="宋体"/>
                <w:snapToGrid w:val="0"/>
                <w:color w:val="000000"/>
                <w:spacing w:val="-7"/>
                <w:kern w:val="0"/>
                <w:sz w:val="18"/>
                <w:szCs w:val="18"/>
                <w:lang w:val="en-US" w:eastAsia="en-US" w:bidi="ar-SA"/>
              </w:rPr>
              <w:t>、每</w:t>
            </w:r>
            <w:r>
              <w:rPr>
                <w:rFonts w:ascii="宋体" w:hAnsi="宋体" w:eastAsia="宋体" w:cs="宋体"/>
                <w:snapToGrid w:val="0"/>
                <w:color w:val="000000"/>
                <w:spacing w:val="-41"/>
                <w:kern w:val="0"/>
                <w:sz w:val="18"/>
                <w:szCs w:val="18"/>
                <w:lang w:val="en-US" w:eastAsia="en-US" w:bidi="ar-SA"/>
              </w:rPr>
              <w:t xml:space="preserve"> </w:t>
            </w:r>
            <w:r>
              <w:rPr>
                <w:rFonts w:ascii="Times New Roman" w:hAnsi="Times New Roman" w:eastAsia="Times New Roman" w:cs="Times New Roman"/>
                <w:snapToGrid w:val="0"/>
                <w:color w:val="000000"/>
                <w:spacing w:val="-7"/>
                <w:kern w:val="0"/>
                <w:sz w:val="18"/>
                <w:szCs w:val="18"/>
                <w:lang w:val="en-US" w:eastAsia="en-US" w:bidi="ar-SA"/>
              </w:rPr>
              <w:t>2</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台加油机应配置不少于</w:t>
            </w:r>
            <w:r>
              <w:rPr>
                <w:rFonts w:ascii="宋体" w:hAnsi="宋体" w:eastAsia="宋体" w:cs="宋体"/>
                <w:snapToGrid w:val="0"/>
                <w:color w:val="000000"/>
                <w:spacing w:val="-43"/>
                <w:kern w:val="0"/>
                <w:sz w:val="18"/>
                <w:szCs w:val="18"/>
                <w:lang w:val="en-US" w:eastAsia="en-US" w:bidi="ar-SA"/>
              </w:rPr>
              <w:t xml:space="preserve"> </w:t>
            </w:r>
            <w:r>
              <w:rPr>
                <w:rFonts w:ascii="Times New Roman" w:hAnsi="Times New Roman" w:eastAsia="Times New Roman" w:cs="Times New Roman"/>
                <w:snapToGrid w:val="0"/>
                <w:color w:val="000000"/>
                <w:spacing w:val="-7"/>
                <w:kern w:val="0"/>
                <w:sz w:val="18"/>
                <w:szCs w:val="18"/>
                <w:lang w:val="en-US" w:eastAsia="en-US" w:bidi="ar-SA"/>
              </w:rPr>
              <w:t>2</w:t>
            </w:r>
            <w:r>
              <w:rPr>
                <w:rFonts w:ascii="Times New Roman" w:hAnsi="Times New Roman" w:eastAsia="Times New Roman" w:cs="Times New Roman"/>
                <w:snapToGrid w:val="0"/>
                <w:color w:val="000000"/>
                <w:spacing w:val="12"/>
                <w:w w:val="101"/>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具</w:t>
            </w:r>
            <w:r>
              <w:rPr>
                <w:rFonts w:ascii="宋体" w:hAnsi="宋体" w:eastAsia="宋体" w:cs="宋体"/>
                <w:snapToGrid w:val="0"/>
                <w:color w:val="000000"/>
                <w:spacing w:val="-39"/>
                <w:kern w:val="0"/>
                <w:sz w:val="18"/>
                <w:szCs w:val="18"/>
                <w:lang w:val="en-US" w:eastAsia="en-US" w:bidi="ar-SA"/>
              </w:rPr>
              <w:t xml:space="preserve"> </w:t>
            </w:r>
            <w:r>
              <w:rPr>
                <w:rFonts w:ascii="Times New Roman" w:hAnsi="Times New Roman" w:eastAsia="Times New Roman" w:cs="Times New Roman"/>
                <w:snapToGrid w:val="0"/>
                <w:color w:val="000000"/>
                <w:spacing w:val="-7"/>
                <w:kern w:val="0"/>
                <w:sz w:val="18"/>
                <w:szCs w:val="18"/>
                <w:lang w:val="en-US" w:eastAsia="en-US" w:bidi="ar-SA"/>
              </w:rPr>
              <w:t>5kg</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手提式干粉灭火器，或</w:t>
            </w:r>
            <w:r>
              <w:rPr>
                <w:rFonts w:ascii="宋体" w:hAnsi="宋体" w:eastAsia="宋体" w:cs="宋体"/>
                <w:snapToGrid w:val="0"/>
                <w:color w:val="000000"/>
                <w:spacing w:val="-7"/>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1</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具</w:t>
            </w:r>
            <w:r>
              <w:rPr>
                <w:rFonts w:ascii="宋体" w:hAnsi="宋体" w:eastAsia="宋体" w:cs="宋体"/>
                <w:snapToGrid w:val="0"/>
                <w:color w:val="000000"/>
                <w:spacing w:val="-31"/>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5kg </w:t>
            </w:r>
            <w:r>
              <w:rPr>
                <w:rFonts w:ascii="宋体" w:hAnsi="宋体" w:eastAsia="宋体" w:cs="宋体"/>
                <w:snapToGrid w:val="0"/>
                <w:color w:val="000000"/>
                <w:spacing w:val="-1"/>
                <w:kern w:val="0"/>
                <w:sz w:val="18"/>
                <w:szCs w:val="18"/>
                <w:lang w:val="en-US" w:eastAsia="en-US" w:bidi="ar-SA"/>
              </w:rPr>
              <w:t>手提式干</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粉灭火器和</w:t>
            </w:r>
            <w:r>
              <w:rPr>
                <w:rFonts w:ascii="宋体" w:hAnsi="宋体" w:eastAsia="宋体" w:cs="宋体"/>
                <w:snapToGrid w:val="0"/>
                <w:color w:val="000000"/>
                <w:spacing w:val="-26"/>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w:t>
            </w:r>
            <w:r>
              <w:rPr>
                <w:rFonts w:ascii="Times New Roman" w:hAnsi="Times New Roman" w:eastAsia="Times New Roman" w:cs="Times New Roman"/>
                <w:snapToGrid w:val="0"/>
                <w:color w:val="000000"/>
                <w:spacing w:val="13"/>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具</w:t>
            </w:r>
            <w:r>
              <w:rPr>
                <w:rFonts w:ascii="宋体" w:hAnsi="宋体" w:eastAsia="宋体" w:cs="宋体"/>
                <w:snapToGrid w:val="0"/>
                <w:color w:val="000000"/>
                <w:spacing w:val="-40"/>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 xml:space="preserve">6L </w:t>
            </w:r>
            <w:r>
              <w:rPr>
                <w:rFonts w:ascii="宋体" w:hAnsi="宋体" w:eastAsia="宋体" w:cs="宋体"/>
                <w:snapToGrid w:val="0"/>
                <w:color w:val="000000"/>
                <w:spacing w:val="-5"/>
                <w:kern w:val="0"/>
                <w:sz w:val="18"/>
                <w:szCs w:val="18"/>
                <w:lang w:val="en-US" w:eastAsia="en-US" w:bidi="ar-SA"/>
              </w:rPr>
              <w:t>泡沫灭火器，加油机不</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足</w:t>
            </w:r>
            <w:r>
              <w:rPr>
                <w:rFonts w:ascii="宋体" w:hAnsi="宋体" w:eastAsia="宋体" w:cs="宋体"/>
                <w:snapToGrid w:val="0"/>
                <w:color w:val="000000"/>
                <w:spacing w:val="-41"/>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2</w:t>
            </w:r>
            <w:r>
              <w:rPr>
                <w:rFonts w:ascii="Times New Roman" w:hAnsi="Times New Roman" w:eastAsia="Times New Roman" w:cs="Times New Roman"/>
                <w:snapToGrid w:val="0"/>
                <w:color w:val="000000"/>
                <w:spacing w:val="23"/>
                <w:w w:val="101"/>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台应按</w:t>
            </w:r>
            <w:r>
              <w:rPr>
                <w:rFonts w:ascii="宋体" w:hAnsi="宋体" w:eastAsia="宋体" w:cs="宋体"/>
                <w:snapToGrid w:val="0"/>
                <w:color w:val="000000"/>
                <w:spacing w:val="-43"/>
                <w:kern w:val="0"/>
                <w:sz w:val="18"/>
                <w:szCs w:val="18"/>
                <w:lang w:val="en-US" w:eastAsia="en-US" w:bidi="ar-SA"/>
              </w:rPr>
              <w:t xml:space="preserve"> </w:t>
            </w:r>
            <w:r>
              <w:rPr>
                <w:rFonts w:ascii="Times New Roman" w:hAnsi="Times New Roman" w:eastAsia="Times New Roman" w:cs="Times New Roman"/>
                <w:snapToGrid w:val="0"/>
                <w:color w:val="000000"/>
                <w:spacing w:val="-6"/>
                <w:kern w:val="0"/>
                <w:sz w:val="18"/>
                <w:szCs w:val="18"/>
                <w:lang w:val="en-US" w:eastAsia="en-US" w:bidi="ar-SA"/>
              </w:rPr>
              <w:t>2</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台配置；</w:t>
            </w:r>
          </w:p>
          <w:p w14:paraId="27D747F8">
            <w:pPr>
              <w:kinsoku w:val="0"/>
              <w:autoSpaceDE w:val="0"/>
              <w:autoSpaceDN w:val="0"/>
              <w:adjustRightInd w:val="0"/>
              <w:snapToGrid w:val="0"/>
              <w:spacing w:before="26" w:line="240" w:lineRule="auto"/>
              <w:ind w:left="100" w:right="90" w:firstLine="269"/>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
                <w:kern w:val="0"/>
                <w:sz w:val="18"/>
                <w:szCs w:val="18"/>
                <w:lang w:val="en-US" w:eastAsia="en-US" w:bidi="ar-SA"/>
              </w:rPr>
              <w:t>3</w:t>
            </w:r>
            <w:r>
              <w:rPr>
                <w:rFonts w:ascii="Times New Roman" w:hAnsi="Times New Roman" w:eastAsia="Times New Roman" w:cs="Times New Roman"/>
                <w:snapToGrid w:val="0"/>
                <w:color w:val="000000"/>
                <w:spacing w:val="-2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、地上</w:t>
            </w:r>
            <w:r>
              <w:rPr>
                <w:rFonts w:ascii="宋体" w:hAnsi="宋体" w:eastAsia="宋体" w:cs="宋体"/>
                <w:snapToGrid w:val="0"/>
                <w:color w:val="000000"/>
                <w:spacing w:val="-36"/>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LPG</w:t>
            </w:r>
            <w:r>
              <w:rPr>
                <w:rFonts w:ascii="Times New Roman" w:hAnsi="Times New Roman" w:eastAsia="Times New Roman" w:cs="Times New Roman"/>
                <w:snapToGrid w:val="0"/>
                <w:color w:val="000000"/>
                <w:spacing w:val="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储罐、地上</w:t>
            </w:r>
            <w:r>
              <w:rPr>
                <w:rFonts w:ascii="宋体" w:hAnsi="宋体" w:eastAsia="宋体" w:cs="宋体"/>
                <w:snapToGrid w:val="0"/>
                <w:color w:val="000000"/>
                <w:spacing w:val="-36"/>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LNG</w:t>
            </w:r>
            <w:r>
              <w:rPr>
                <w:rFonts w:ascii="Times New Roman" w:hAnsi="Times New Roman" w:eastAsia="Times New Roman" w:cs="Times New Roman"/>
                <w:snapToGrid w:val="0"/>
                <w:color w:val="000000"/>
                <w:spacing w:val="14"/>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储罐、</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地下和半地下</w:t>
            </w:r>
            <w:r>
              <w:rPr>
                <w:rFonts w:ascii="宋体" w:hAnsi="宋体" w:eastAsia="宋体" w:cs="宋体"/>
                <w:snapToGrid w:val="0"/>
                <w:color w:val="000000"/>
                <w:spacing w:val="-26"/>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 xml:space="preserve">LNG </w:t>
            </w:r>
            <w:r>
              <w:rPr>
                <w:rFonts w:ascii="宋体" w:hAnsi="宋体" w:eastAsia="宋体" w:cs="宋体"/>
                <w:snapToGrid w:val="0"/>
                <w:color w:val="000000"/>
                <w:spacing w:val="-3"/>
                <w:kern w:val="0"/>
                <w:sz w:val="18"/>
                <w:szCs w:val="18"/>
                <w:lang w:val="en-US" w:eastAsia="en-US" w:bidi="ar-SA"/>
              </w:rPr>
              <w:t>储罐、地上液氢储罐、</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CNG</w:t>
            </w:r>
            <w:r>
              <w:rPr>
                <w:rFonts w:ascii="Times New Roman" w:hAnsi="Times New Roman" w:eastAsia="Times New Roman" w:cs="Times New Roman"/>
                <w:snapToGrid w:val="0"/>
                <w:color w:val="000000"/>
                <w:spacing w:val="24"/>
                <w:w w:val="10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储气设施，应配置</w:t>
            </w:r>
            <w:r>
              <w:rPr>
                <w:rFonts w:ascii="宋体" w:hAnsi="宋体" w:eastAsia="宋体" w:cs="宋体"/>
                <w:snapToGrid w:val="0"/>
                <w:color w:val="000000"/>
                <w:spacing w:val="-31"/>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2</w:t>
            </w:r>
            <w:r>
              <w:rPr>
                <w:rFonts w:ascii="Times New Roman" w:hAnsi="Times New Roman" w:eastAsia="Times New Roman" w:cs="Times New Roman"/>
                <w:snapToGrid w:val="0"/>
                <w:color w:val="000000"/>
                <w:spacing w:val="3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台不小于</w:t>
            </w:r>
            <w:r>
              <w:rPr>
                <w:rFonts w:ascii="宋体" w:hAnsi="宋体" w:eastAsia="宋体" w:cs="宋体"/>
                <w:snapToGrid w:val="0"/>
                <w:color w:val="000000"/>
                <w:spacing w:val="-27"/>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35</w:t>
            </w:r>
            <w:r>
              <w:rPr>
                <w:rFonts w:ascii="Times New Roman" w:hAnsi="Times New Roman" w:eastAsia="Times New Roman" w:cs="Times New Roman"/>
                <w:snapToGrid w:val="0"/>
                <w:color w:val="000000"/>
                <w:kern w:val="0"/>
                <w:sz w:val="18"/>
                <w:szCs w:val="18"/>
                <w:lang w:val="en-US" w:eastAsia="en-US" w:bidi="ar-SA"/>
              </w:rPr>
              <w:t xml:space="preserve">kg </w:t>
            </w:r>
            <w:r>
              <w:rPr>
                <w:rFonts w:ascii="宋体" w:hAnsi="宋体" w:eastAsia="宋体" w:cs="宋体"/>
                <w:snapToGrid w:val="0"/>
                <w:color w:val="000000"/>
                <w:spacing w:val="2"/>
                <w:kern w:val="0"/>
                <w:sz w:val="18"/>
                <w:szCs w:val="18"/>
                <w:lang w:val="en-US" w:eastAsia="en-US" w:bidi="ar-SA"/>
              </w:rPr>
              <w:t>推车式干粉灭火器，当两种介质储罐之间</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的距离超过</w:t>
            </w:r>
            <w:r>
              <w:rPr>
                <w:rFonts w:ascii="宋体" w:hAnsi="宋体" w:eastAsia="宋体" w:cs="宋体"/>
                <w:snapToGrid w:val="0"/>
                <w:color w:val="000000"/>
                <w:spacing w:val="-22"/>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15m</w:t>
            </w:r>
            <w:r>
              <w:rPr>
                <w:rFonts w:ascii="Times New Roman" w:hAnsi="Times New Roman" w:eastAsia="Times New Roman" w:cs="Times New Roman"/>
                <w:snapToGrid w:val="0"/>
                <w:color w:val="000000"/>
                <w:spacing w:val="15"/>
                <w:w w:val="10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时，应分别配置；</w:t>
            </w:r>
          </w:p>
          <w:p w14:paraId="7AB1FB21">
            <w:pPr>
              <w:kinsoku w:val="0"/>
              <w:autoSpaceDE w:val="0"/>
              <w:autoSpaceDN w:val="0"/>
              <w:adjustRightInd w:val="0"/>
              <w:snapToGrid w:val="0"/>
              <w:spacing w:before="1" w:line="247" w:lineRule="auto"/>
              <w:ind w:left="100" w:right="102" w:firstLine="26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5"/>
                <w:kern w:val="0"/>
                <w:sz w:val="18"/>
                <w:szCs w:val="18"/>
                <w:lang w:val="en-US" w:eastAsia="en-US" w:bidi="ar-SA"/>
              </w:rPr>
              <w:t>4</w:t>
            </w:r>
            <w:r>
              <w:rPr>
                <w:rFonts w:ascii="宋体" w:hAnsi="宋体" w:eastAsia="宋体" w:cs="宋体"/>
                <w:snapToGrid w:val="0"/>
                <w:color w:val="000000"/>
                <w:spacing w:val="-5"/>
                <w:kern w:val="0"/>
                <w:sz w:val="18"/>
                <w:szCs w:val="18"/>
                <w:lang w:val="en-US" w:eastAsia="en-US" w:bidi="ar-SA"/>
              </w:rPr>
              <w:t>、地下储罐应配置</w:t>
            </w:r>
            <w:r>
              <w:rPr>
                <w:rFonts w:ascii="宋体" w:hAnsi="宋体" w:eastAsia="宋体" w:cs="宋体"/>
                <w:snapToGrid w:val="0"/>
                <w:color w:val="000000"/>
                <w:spacing w:val="-11"/>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w:t>
            </w:r>
            <w:r>
              <w:rPr>
                <w:rFonts w:ascii="Times New Roman" w:hAnsi="Times New Roman" w:eastAsia="Times New Roman" w:cs="Times New Roman"/>
                <w:snapToGrid w:val="0"/>
                <w:color w:val="000000"/>
                <w:spacing w:val="20"/>
                <w:w w:val="101"/>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台不小于</w:t>
            </w:r>
            <w:r>
              <w:rPr>
                <w:rFonts w:ascii="宋体" w:hAnsi="宋体" w:eastAsia="宋体" w:cs="宋体"/>
                <w:snapToGrid w:val="0"/>
                <w:color w:val="000000"/>
                <w:spacing w:val="-37"/>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 xml:space="preserve">35kg </w:t>
            </w:r>
            <w:r>
              <w:rPr>
                <w:rFonts w:ascii="宋体" w:hAnsi="宋体" w:eastAsia="宋体" w:cs="宋体"/>
                <w:snapToGrid w:val="0"/>
                <w:color w:val="000000"/>
                <w:spacing w:val="-5"/>
                <w:kern w:val="0"/>
                <w:sz w:val="18"/>
                <w:szCs w:val="18"/>
                <w:lang w:val="en-US" w:eastAsia="en-US" w:bidi="ar-SA"/>
              </w:rPr>
              <w:t>推</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车式干粉灭火器，当两种介质储罐之间的</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距离超过</w:t>
            </w:r>
            <w:r>
              <w:rPr>
                <w:rFonts w:ascii="宋体" w:hAnsi="宋体" w:eastAsia="宋体" w:cs="宋体"/>
                <w:snapToGrid w:val="0"/>
                <w:color w:val="000000"/>
                <w:spacing w:val="-25"/>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15m</w:t>
            </w:r>
            <w:r>
              <w:rPr>
                <w:rFonts w:ascii="Times New Roman" w:hAnsi="Times New Roman" w:eastAsia="Times New Roman" w:cs="Times New Roman"/>
                <w:snapToGrid w:val="0"/>
                <w:color w:val="000000"/>
                <w:spacing w:val="15"/>
                <w:w w:val="10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时，应分别配置；</w:t>
            </w:r>
          </w:p>
          <w:p w14:paraId="4A4AD5E3">
            <w:pPr>
              <w:kinsoku w:val="0"/>
              <w:autoSpaceDE w:val="0"/>
              <w:autoSpaceDN w:val="0"/>
              <w:adjustRightInd w:val="0"/>
              <w:snapToGrid w:val="0"/>
              <w:spacing w:before="25" w:line="240" w:lineRule="auto"/>
              <w:ind w:left="100" w:right="102" w:firstLine="270"/>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5</w:t>
            </w:r>
            <w:r>
              <w:rPr>
                <w:rFonts w:ascii="Times New Roman" w:hAnsi="Times New Roman" w:eastAsia="Times New Roman" w:cs="Times New Roman"/>
                <w:snapToGrid w:val="0"/>
                <w:color w:val="000000"/>
                <w:spacing w:val="-16"/>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w:t>
            </w:r>
            <w:r>
              <w:rPr>
                <w:rFonts w:ascii="Times New Roman" w:hAnsi="Times New Roman" w:eastAsia="Times New Roman" w:cs="Times New Roman"/>
                <w:snapToGrid w:val="0"/>
                <w:color w:val="000000"/>
                <w:spacing w:val="-3"/>
                <w:kern w:val="0"/>
                <w:sz w:val="18"/>
                <w:szCs w:val="18"/>
                <w:lang w:val="en-US" w:eastAsia="en-US" w:bidi="ar-SA"/>
              </w:rPr>
              <w:t xml:space="preserve">LPG </w:t>
            </w:r>
            <w:r>
              <w:rPr>
                <w:rFonts w:ascii="宋体" w:hAnsi="宋体" w:eastAsia="宋体" w:cs="宋体"/>
                <w:snapToGrid w:val="0"/>
                <w:color w:val="000000"/>
                <w:spacing w:val="-3"/>
                <w:kern w:val="0"/>
                <w:sz w:val="18"/>
                <w:szCs w:val="18"/>
                <w:lang w:val="en-US" w:eastAsia="en-US" w:bidi="ar-SA"/>
              </w:rPr>
              <w:t>泵、</w:t>
            </w:r>
            <w:r>
              <w:rPr>
                <w:rFonts w:ascii="Times New Roman" w:hAnsi="Times New Roman" w:eastAsia="Times New Roman" w:cs="Times New Roman"/>
                <w:snapToGrid w:val="0"/>
                <w:color w:val="000000"/>
                <w:spacing w:val="-3"/>
                <w:kern w:val="0"/>
                <w:sz w:val="18"/>
                <w:szCs w:val="18"/>
                <w:lang w:val="en-US" w:eastAsia="en-US" w:bidi="ar-SA"/>
              </w:rPr>
              <w:t xml:space="preserve">LNG </w:t>
            </w:r>
            <w:r>
              <w:rPr>
                <w:rFonts w:ascii="宋体" w:hAnsi="宋体" w:eastAsia="宋体" w:cs="宋体"/>
                <w:snapToGrid w:val="0"/>
                <w:color w:val="000000"/>
                <w:spacing w:val="-3"/>
                <w:kern w:val="0"/>
                <w:sz w:val="18"/>
                <w:szCs w:val="18"/>
                <w:lang w:val="en-US" w:eastAsia="en-US" w:bidi="ar-SA"/>
              </w:rPr>
              <w:t>泵、液氢增压泵、压</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缩机操作间（棚、箱</w:t>
            </w:r>
            <w:r>
              <w:rPr>
                <w:rFonts w:ascii="宋体" w:hAnsi="宋体" w:eastAsia="宋体" w:cs="宋体"/>
                <w:snapToGrid w:val="0"/>
                <w:color w:val="000000"/>
                <w:spacing w:val="14"/>
                <w:kern w:val="0"/>
                <w:sz w:val="18"/>
                <w:szCs w:val="18"/>
                <w:lang w:val="en-US" w:eastAsia="en-US" w:bidi="ar-SA"/>
              </w:rPr>
              <w:t>），</w:t>
            </w:r>
            <w:r>
              <w:rPr>
                <w:rFonts w:ascii="宋体" w:hAnsi="宋体" w:eastAsia="宋体" w:cs="宋体"/>
                <w:snapToGrid w:val="0"/>
                <w:color w:val="000000"/>
                <w:spacing w:val="1"/>
                <w:kern w:val="0"/>
                <w:sz w:val="18"/>
                <w:szCs w:val="18"/>
                <w:lang w:val="en-US" w:eastAsia="en-US" w:bidi="ar-SA"/>
              </w:rPr>
              <w:t>应按建筑面积每</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50 </w:t>
            </w:r>
            <w:r>
              <w:rPr>
                <w:rFonts w:ascii="宋体" w:hAnsi="宋体" w:eastAsia="宋体" w:cs="宋体"/>
                <w:snapToGrid w:val="0"/>
                <w:color w:val="000000"/>
                <w:spacing w:val="-1"/>
                <w:kern w:val="0"/>
                <w:sz w:val="18"/>
                <w:szCs w:val="18"/>
                <w:lang w:val="en-US" w:eastAsia="en-US" w:bidi="ar-SA"/>
              </w:rPr>
              <w:t>㎡配置不少于</w:t>
            </w:r>
            <w:r>
              <w:rPr>
                <w:rFonts w:ascii="宋体" w:hAnsi="宋体" w:eastAsia="宋体" w:cs="宋体"/>
                <w:snapToGrid w:val="0"/>
                <w:color w:val="000000"/>
                <w:spacing w:val="-32"/>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2 </w:t>
            </w:r>
            <w:r>
              <w:rPr>
                <w:rFonts w:ascii="宋体" w:hAnsi="宋体" w:eastAsia="宋体" w:cs="宋体"/>
                <w:snapToGrid w:val="0"/>
                <w:color w:val="000000"/>
                <w:spacing w:val="-1"/>
                <w:kern w:val="0"/>
                <w:sz w:val="18"/>
                <w:szCs w:val="18"/>
                <w:lang w:val="en-US" w:eastAsia="en-US" w:bidi="ar-SA"/>
              </w:rPr>
              <w:t>具</w:t>
            </w:r>
            <w:r>
              <w:rPr>
                <w:rFonts w:ascii="宋体" w:hAnsi="宋体" w:eastAsia="宋体" w:cs="宋体"/>
                <w:snapToGrid w:val="0"/>
                <w:color w:val="000000"/>
                <w:spacing w:val="-33"/>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5kg </w:t>
            </w:r>
            <w:r>
              <w:rPr>
                <w:rFonts w:ascii="宋体" w:hAnsi="宋体" w:eastAsia="宋体" w:cs="宋体"/>
                <w:snapToGrid w:val="0"/>
                <w:color w:val="000000"/>
                <w:spacing w:val="-1"/>
                <w:kern w:val="0"/>
                <w:sz w:val="18"/>
                <w:szCs w:val="18"/>
                <w:lang w:val="en-US" w:eastAsia="en-US" w:bidi="ar-SA"/>
              </w:rPr>
              <w:t>手提式干粉灭火</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器；</w:t>
            </w:r>
          </w:p>
          <w:p w14:paraId="5DA4311A">
            <w:pPr>
              <w:kinsoku w:val="0"/>
              <w:autoSpaceDE w:val="0"/>
              <w:autoSpaceDN w:val="0"/>
              <w:adjustRightInd w:val="0"/>
              <w:snapToGrid w:val="0"/>
              <w:spacing w:before="24" w:line="231" w:lineRule="auto"/>
              <w:ind w:left="102" w:right="45" w:firstLine="268"/>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5"/>
                <w:kern w:val="0"/>
                <w:sz w:val="18"/>
                <w:szCs w:val="18"/>
                <w:lang w:val="en-US" w:eastAsia="en-US" w:bidi="ar-SA"/>
              </w:rPr>
              <w:t>6</w:t>
            </w:r>
            <w:r>
              <w:rPr>
                <w:rFonts w:ascii="宋体" w:hAnsi="宋体" w:eastAsia="宋体" w:cs="宋体"/>
                <w:snapToGrid w:val="0"/>
                <w:color w:val="000000"/>
                <w:spacing w:val="-5"/>
                <w:kern w:val="0"/>
                <w:sz w:val="18"/>
                <w:szCs w:val="18"/>
                <w:lang w:val="en-US" w:eastAsia="en-US" w:bidi="ar-SA"/>
              </w:rPr>
              <w:t>、一、二级加油站应配置灭火毯</w:t>
            </w:r>
            <w:r>
              <w:rPr>
                <w:rFonts w:ascii="宋体" w:hAnsi="宋体" w:eastAsia="宋体" w:cs="宋体"/>
                <w:snapToGrid w:val="0"/>
                <w:color w:val="000000"/>
                <w:spacing w:val="-25"/>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 xml:space="preserve">5 </w:t>
            </w:r>
            <w:r>
              <w:rPr>
                <w:rFonts w:ascii="宋体" w:hAnsi="宋体" w:eastAsia="宋体" w:cs="宋体"/>
                <w:snapToGrid w:val="0"/>
                <w:color w:val="000000"/>
                <w:spacing w:val="-5"/>
                <w:kern w:val="0"/>
                <w:sz w:val="18"/>
                <w:szCs w:val="18"/>
                <w:lang w:val="en-US" w:eastAsia="en-US" w:bidi="ar-SA"/>
              </w:rPr>
              <w:t>块、</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沙子</w:t>
            </w:r>
            <w:r>
              <w:rPr>
                <w:rFonts w:ascii="宋体" w:hAnsi="宋体" w:eastAsia="宋体" w:cs="宋体"/>
                <w:snapToGrid w:val="0"/>
                <w:color w:val="000000"/>
                <w:spacing w:val="-25"/>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2m</w:t>
            </w:r>
            <w:r>
              <w:rPr>
                <w:rFonts w:ascii="宋体" w:hAnsi="宋体" w:eastAsia="宋体" w:cs="宋体"/>
                <w:snapToGrid w:val="0"/>
                <w:color w:val="000000"/>
                <w:spacing w:val="-3"/>
                <w:kern w:val="0"/>
                <w:sz w:val="18"/>
                <w:szCs w:val="18"/>
                <w:lang w:val="en-US" w:eastAsia="en-US" w:bidi="ar-SA"/>
              </w:rPr>
              <w:t>³</w:t>
            </w:r>
            <w:r>
              <w:rPr>
                <w:rFonts w:ascii="宋体" w:hAnsi="宋体" w:eastAsia="宋体" w:cs="宋体"/>
                <w:snapToGrid w:val="0"/>
                <w:color w:val="000000"/>
                <w:spacing w:val="-6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w:t>
            </w:r>
            <w:r>
              <w:rPr>
                <w:rFonts w:ascii="宋体" w:hAnsi="宋体" w:eastAsia="宋体" w:cs="宋体"/>
                <w:snapToGrid w:val="0"/>
                <w:color w:val="000000"/>
                <w:spacing w:val="51"/>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三级加油站应配置灭火毯不少</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于</w:t>
            </w:r>
            <w:r>
              <w:rPr>
                <w:rFonts w:ascii="宋体" w:hAnsi="宋体" w:eastAsia="宋体" w:cs="宋体"/>
                <w:snapToGrid w:val="0"/>
                <w:color w:val="000000"/>
                <w:spacing w:val="-20"/>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 xml:space="preserve">2 </w:t>
            </w:r>
            <w:r>
              <w:rPr>
                <w:rFonts w:ascii="宋体" w:hAnsi="宋体" w:eastAsia="宋体" w:cs="宋体"/>
                <w:snapToGrid w:val="0"/>
                <w:color w:val="000000"/>
                <w:spacing w:val="-1"/>
                <w:kern w:val="0"/>
                <w:sz w:val="18"/>
                <w:szCs w:val="18"/>
                <w:lang w:val="en-US" w:eastAsia="en-US" w:bidi="ar-SA"/>
              </w:rPr>
              <w:t>块、沙子</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2m</w:t>
            </w:r>
            <w:r>
              <w:rPr>
                <w:rFonts w:ascii="宋体" w:hAnsi="宋体" w:eastAsia="宋体" w:cs="宋体"/>
                <w:snapToGrid w:val="0"/>
                <w:color w:val="000000"/>
                <w:spacing w:val="-1"/>
                <w:kern w:val="0"/>
                <w:sz w:val="18"/>
                <w:szCs w:val="18"/>
                <w:lang w:val="en-US" w:eastAsia="en-US" w:bidi="ar-SA"/>
              </w:rPr>
              <w:t>³</w:t>
            </w:r>
            <w:r>
              <w:rPr>
                <w:rFonts w:ascii="宋体" w:hAnsi="宋体" w:eastAsia="宋体" w:cs="宋体"/>
                <w:snapToGrid w:val="0"/>
                <w:color w:val="000000"/>
                <w:spacing w:val="-62"/>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。加油加气合建站应按</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同级别的加油站配置灭火毯和沙子。</w:t>
            </w:r>
          </w:p>
        </w:tc>
        <w:tc>
          <w:tcPr>
            <w:tcW w:w="2218" w:type="dxa"/>
            <w:tcBorders>
              <w:left w:val="single" w:color="000000" w:sz="4" w:space="0"/>
              <w:right w:val="single" w:color="000000" w:sz="4" w:space="0"/>
            </w:tcBorders>
            <w:vAlign w:val="top"/>
          </w:tcPr>
          <w:p w14:paraId="77A82979">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32DB0A00">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45C429D0">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5C736FE1">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1ED4D52E">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22F930F3">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2C42561A">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5BF581FA">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319B6969">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103F852D">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5D86C98A">
            <w:pPr>
              <w:kinsoku w:val="0"/>
              <w:autoSpaceDE w:val="0"/>
              <w:autoSpaceDN w:val="0"/>
              <w:adjustRightInd w:val="0"/>
              <w:snapToGrid w:val="0"/>
              <w:spacing w:before="58" w:line="233" w:lineRule="auto"/>
              <w:ind w:left="111" w:right="24" w:firstLine="18"/>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《汽车加油加气加氢站技</w:t>
            </w:r>
            <w:r>
              <w:rPr>
                <w:rFonts w:ascii="宋体" w:hAnsi="宋体" w:eastAsia="宋体" w:cs="宋体"/>
                <w:snapToGrid w:val="0"/>
                <w:color w:val="000000"/>
                <w:spacing w:val="4"/>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术标准》（</w:t>
            </w:r>
            <w:r>
              <w:rPr>
                <w:rFonts w:ascii="Times New Roman" w:hAnsi="Times New Roman" w:eastAsia="Times New Roman" w:cs="Times New Roman"/>
                <w:snapToGrid w:val="0"/>
                <w:color w:val="000000"/>
                <w:spacing w:val="-8"/>
                <w:kern w:val="0"/>
                <w:sz w:val="18"/>
                <w:szCs w:val="18"/>
                <w:lang w:val="en-US" w:eastAsia="en-US" w:bidi="ar-SA"/>
              </w:rPr>
              <w:t>GB50156-2021</w:t>
            </w:r>
            <w:r>
              <w:rPr>
                <w:rFonts w:ascii="宋体" w:hAnsi="宋体" w:eastAsia="宋体" w:cs="宋体"/>
                <w:snapToGrid w:val="0"/>
                <w:color w:val="000000"/>
                <w:spacing w:val="-8"/>
                <w:kern w:val="0"/>
                <w:sz w:val="18"/>
                <w:szCs w:val="18"/>
                <w:lang w:val="en-US" w:eastAsia="en-US" w:bidi="ar-SA"/>
              </w:rPr>
              <w:t>）</w:t>
            </w:r>
          </w:p>
          <w:p w14:paraId="6885F694">
            <w:pPr>
              <w:widowControl/>
              <w:kinsoku w:val="0"/>
              <w:autoSpaceDE w:val="0"/>
              <w:autoSpaceDN w:val="0"/>
              <w:adjustRightInd w:val="0"/>
              <w:snapToGrid w:val="0"/>
              <w:spacing w:before="54" w:line="188" w:lineRule="auto"/>
              <w:ind w:left="90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7"/>
                <w:kern w:val="0"/>
                <w:sz w:val="18"/>
                <w:szCs w:val="18"/>
                <w:lang w:eastAsia="en-US"/>
              </w:rPr>
              <w:t>12.</w:t>
            </w:r>
            <w:r>
              <w:rPr>
                <w:rFonts w:ascii="Times New Roman" w:hAnsi="Times New Roman" w:eastAsia="Times New Roman" w:cs="Times New Roman"/>
                <w:snapToGrid w:val="0"/>
                <w:color w:val="000000"/>
                <w:spacing w:val="-24"/>
                <w:kern w:val="0"/>
                <w:sz w:val="18"/>
                <w:szCs w:val="18"/>
                <w:lang w:eastAsia="en-US"/>
              </w:rPr>
              <w:t xml:space="preserve"> </w:t>
            </w:r>
            <w:r>
              <w:rPr>
                <w:rFonts w:ascii="Times New Roman" w:hAnsi="Times New Roman" w:eastAsia="Times New Roman" w:cs="Times New Roman"/>
                <w:snapToGrid w:val="0"/>
                <w:color w:val="000000"/>
                <w:spacing w:val="-7"/>
                <w:kern w:val="0"/>
                <w:sz w:val="18"/>
                <w:szCs w:val="18"/>
                <w:lang w:eastAsia="en-US"/>
              </w:rPr>
              <w:t>1.1</w:t>
            </w:r>
          </w:p>
        </w:tc>
        <w:tc>
          <w:tcPr>
            <w:tcW w:w="2088" w:type="dxa"/>
            <w:tcBorders>
              <w:left w:val="single" w:color="000000" w:sz="4" w:space="0"/>
              <w:right w:val="single" w:color="000000" w:sz="4" w:space="0"/>
            </w:tcBorders>
            <w:vAlign w:val="top"/>
          </w:tcPr>
          <w:p w14:paraId="7BAA5EC9">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6E8921A5">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14B3CB26">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0FE22701">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7888BF8C">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05605013">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6470FF9A">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2A725138">
            <w:pPr>
              <w:kinsoku w:val="0"/>
              <w:autoSpaceDE w:val="0"/>
              <w:autoSpaceDN w:val="0"/>
              <w:adjustRightInd w:val="0"/>
              <w:snapToGrid w:val="0"/>
              <w:spacing w:before="58" w:line="236" w:lineRule="auto"/>
              <w:ind w:left="475" w:right="91" w:hanging="34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1</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 加油区、站房、卸</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油点设</w:t>
            </w:r>
            <w:r>
              <w:rPr>
                <w:rFonts w:ascii="宋体" w:hAnsi="宋体" w:eastAsia="宋体" w:cs="宋体"/>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5</w:t>
            </w:r>
            <w:r>
              <w:rPr>
                <w:rFonts w:ascii="Times New Roman" w:hAnsi="Times New Roman" w:eastAsia="Times New Roman" w:cs="Times New Roman"/>
                <w:snapToGrid w:val="0"/>
                <w:color w:val="000000"/>
                <w:kern w:val="0"/>
                <w:sz w:val="18"/>
                <w:szCs w:val="18"/>
                <w:lang w:val="en-US" w:eastAsia="en-US" w:bidi="ar-SA"/>
              </w:rPr>
              <w:t>kg</w:t>
            </w:r>
            <w:r>
              <w:rPr>
                <w:rFonts w:ascii="Times New Roman" w:hAnsi="Times New Roman" w:eastAsia="Times New Roman" w:cs="Times New Roman"/>
                <w:snapToGrid w:val="0"/>
                <w:color w:val="000000"/>
                <w:spacing w:val="20"/>
                <w:w w:val="10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手提式</w:t>
            </w:r>
            <w:r>
              <w:rPr>
                <w:rFonts w:ascii="宋体" w:hAnsi="宋体" w:eastAsia="宋体" w:cs="宋体"/>
                <w:snapToGrid w:val="0"/>
                <w:color w:val="000000"/>
                <w:spacing w:val="-3"/>
                <w:kern w:val="0"/>
                <w:sz w:val="18"/>
                <w:szCs w:val="18"/>
                <w:lang w:val="en-US" w:eastAsia="en-US" w:bidi="ar-SA"/>
              </w:rPr>
              <w:t>干粉灭火器</w:t>
            </w:r>
            <w:r>
              <w:rPr>
                <w:rFonts w:ascii="宋体" w:hAnsi="宋体" w:eastAsia="宋体" w:cs="宋体"/>
                <w:snapToGrid w:val="0"/>
                <w:color w:val="000000"/>
                <w:spacing w:val="-41"/>
                <w:kern w:val="0"/>
                <w:sz w:val="18"/>
                <w:szCs w:val="18"/>
                <w:lang w:val="en-US" w:eastAsia="en-US" w:bidi="ar-SA"/>
              </w:rPr>
              <w:t xml:space="preserve"> </w:t>
            </w:r>
            <w:r>
              <w:rPr>
                <w:rFonts w:hint="eastAsia" w:ascii="宋体" w:hAnsi="宋体" w:eastAsia="宋体" w:cs="宋体"/>
                <w:snapToGrid w:val="0"/>
                <w:color w:val="000000"/>
                <w:spacing w:val="-41"/>
                <w:kern w:val="0"/>
                <w:sz w:val="18"/>
                <w:szCs w:val="18"/>
                <w:lang w:val="en-US" w:eastAsia="zh-CN" w:bidi="ar-SA"/>
              </w:rPr>
              <w:t>9</w:t>
            </w:r>
            <w:r>
              <w:rPr>
                <w:rFonts w:ascii="宋体" w:hAnsi="宋体" w:eastAsia="宋体" w:cs="宋体"/>
                <w:snapToGrid w:val="0"/>
                <w:color w:val="000000"/>
                <w:spacing w:val="-3"/>
                <w:kern w:val="0"/>
                <w:sz w:val="18"/>
                <w:szCs w:val="18"/>
                <w:lang w:val="en-US" w:eastAsia="en-US" w:bidi="ar-SA"/>
              </w:rPr>
              <w:t>具</w:t>
            </w:r>
          </w:p>
          <w:p w14:paraId="7329CC34">
            <w:pPr>
              <w:kinsoku w:val="0"/>
              <w:autoSpaceDE w:val="0"/>
              <w:autoSpaceDN w:val="0"/>
              <w:adjustRightInd w:val="0"/>
              <w:snapToGrid w:val="0"/>
              <w:spacing w:before="1" w:line="247" w:lineRule="auto"/>
              <w:ind w:left="479" w:right="30" w:hanging="366"/>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3"/>
                <w:kern w:val="0"/>
                <w:sz w:val="18"/>
                <w:szCs w:val="18"/>
                <w:lang w:val="en-US" w:eastAsia="en-US" w:bidi="ar-SA"/>
              </w:rPr>
              <w:t>2</w:t>
            </w:r>
            <w:r>
              <w:rPr>
                <w:rFonts w:ascii="Times New Roman" w:hAnsi="Times New Roman" w:eastAsia="Times New Roman" w:cs="Times New Roman"/>
                <w:snapToGrid w:val="0"/>
                <w:color w:val="000000"/>
                <w:spacing w:val="-22"/>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 加油区设</w:t>
            </w:r>
            <w:r>
              <w:rPr>
                <w:rFonts w:ascii="宋体" w:hAnsi="宋体" w:eastAsia="宋体" w:cs="宋体"/>
                <w:snapToGrid w:val="0"/>
                <w:color w:val="000000"/>
                <w:spacing w:val="-44"/>
                <w:kern w:val="0"/>
                <w:sz w:val="18"/>
                <w:szCs w:val="18"/>
                <w:lang w:val="en-US" w:eastAsia="en-US" w:bidi="ar-SA"/>
              </w:rPr>
              <w:t xml:space="preserve"> </w:t>
            </w:r>
            <w:r>
              <w:rPr>
                <w:rFonts w:ascii="Times New Roman" w:hAnsi="Times New Roman" w:eastAsia="Times New Roman" w:cs="Times New Roman"/>
                <w:snapToGrid w:val="0"/>
                <w:color w:val="000000"/>
                <w:spacing w:val="-3"/>
                <w:kern w:val="0"/>
                <w:sz w:val="18"/>
                <w:szCs w:val="18"/>
                <w:lang w:val="en-US" w:eastAsia="en-US" w:bidi="ar-SA"/>
              </w:rPr>
              <w:t xml:space="preserve">35kg </w:t>
            </w:r>
            <w:r>
              <w:rPr>
                <w:rFonts w:ascii="宋体" w:hAnsi="宋体" w:eastAsia="宋体" w:cs="宋体"/>
                <w:snapToGrid w:val="0"/>
                <w:color w:val="000000"/>
                <w:spacing w:val="-3"/>
                <w:kern w:val="0"/>
                <w:sz w:val="18"/>
                <w:szCs w:val="18"/>
                <w:lang w:val="en-US" w:eastAsia="en-US" w:bidi="ar-SA"/>
              </w:rPr>
              <w:t>推车</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式干粉灭火器</w:t>
            </w:r>
            <w:r>
              <w:rPr>
                <w:rFonts w:ascii="宋体" w:hAnsi="宋体" w:eastAsia="宋体" w:cs="宋体"/>
                <w:snapToGrid w:val="0"/>
                <w:color w:val="000000"/>
                <w:spacing w:val="-30"/>
                <w:kern w:val="0"/>
                <w:sz w:val="18"/>
                <w:szCs w:val="18"/>
                <w:lang w:val="en-US" w:eastAsia="en-US" w:bidi="ar-SA"/>
              </w:rPr>
              <w:t xml:space="preserve"> </w:t>
            </w:r>
            <w:r>
              <w:rPr>
                <w:rFonts w:ascii="Times New Roman" w:hAnsi="Times New Roman" w:eastAsia="Times New Roman" w:cs="Times New Roman"/>
                <w:snapToGrid w:val="0"/>
                <w:color w:val="000000"/>
                <w:spacing w:val="-7"/>
                <w:kern w:val="0"/>
                <w:sz w:val="18"/>
                <w:szCs w:val="18"/>
                <w:lang w:val="en-US" w:eastAsia="en-US" w:bidi="ar-SA"/>
              </w:rPr>
              <w:t xml:space="preserve">1 </w:t>
            </w:r>
            <w:r>
              <w:rPr>
                <w:rFonts w:ascii="宋体" w:hAnsi="宋体" w:eastAsia="宋体" w:cs="宋体"/>
                <w:snapToGrid w:val="0"/>
                <w:color w:val="000000"/>
                <w:spacing w:val="-7"/>
                <w:kern w:val="0"/>
                <w:sz w:val="18"/>
                <w:szCs w:val="18"/>
                <w:lang w:val="en-US" w:eastAsia="en-US" w:bidi="ar-SA"/>
              </w:rPr>
              <w:t>具。</w:t>
            </w:r>
          </w:p>
          <w:p w14:paraId="4035B378">
            <w:pPr>
              <w:kinsoku w:val="0"/>
              <w:autoSpaceDE w:val="0"/>
              <w:autoSpaceDN w:val="0"/>
              <w:adjustRightInd w:val="0"/>
              <w:snapToGrid w:val="0"/>
              <w:spacing w:before="26" w:line="233" w:lineRule="auto"/>
              <w:ind w:left="472" w:right="91" w:hanging="355"/>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4"/>
                <w:kern w:val="0"/>
                <w:sz w:val="18"/>
                <w:szCs w:val="18"/>
                <w:lang w:val="en-US" w:eastAsia="en-US" w:bidi="ar-SA"/>
              </w:rPr>
              <w:t>3</w:t>
            </w:r>
            <w:r>
              <w:rPr>
                <w:rFonts w:ascii="Times New Roman" w:hAnsi="Times New Roman" w:eastAsia="Times New Roman" w:cs="Times New Roman"/>
                <w:snapToGrid w:val="0"/>
                <w:color w:val="000000"/>
                <w:spacing w:val="-21"/>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 站房、配电房设置</w:t>
            </w:r>
            <w:r>
              <w:rPr>
                <w:rFonts w:ascii="宋体" w:hAnsi="宋体" w:eastAsia="宋体" w:cs="宋体"/>
                <w:snapToGrid w:val="0"/>
                <w:color w:val="000000"/>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 xml:space="preserve">MT3 </w:t>
            </w:r>
            <w:r>
              <w:rPr>
                <w:rFonts w:ascii="宋体" w:hAnsi="宋体" w:eastAsia="宋体" w:cs="宋体"/>
                <w:snapToGrid w:val="0"/>
                <w:color w:val="000000"/>
                <w:spacing w:val="-2"/>
                <w:kern w:val="0"/>
                <w:sz w:val="18"/>
                <w:szCs w:val="18"/>
                <w:lang w:val="en-US" w:eastAsia="en-US" w:bidi="ar-SA"/>
              </w:rPr>
              <w:t>灭火器</w:t>
            </w:r>
            <w:r>
              <w:rPr>
                <w:rFonts w:ascii="宋体" w:hAnsi="宋体" w:eastAsia="宋体" w:cs="宋体"/>
                <w:snapToGrid w:val="0"/>
                <w:color w:val="000000"/>
                <w:spacing w:val="-41"/>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4</w:t>
            </w:r>
            <w:r>
              <w:rPr>
                <w:rFonts w:ascii="Times New Roman" w:hAnsi="Times New Roman" w:eastAsia="Times New Roman" w:cs="Times New Roman"/>
                <w:snapToGrid w:val="0"/>
                <w:color w:val="000000"/>
                <w:spacing w:val="1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具。</w:t>
            </w:r>
          </w:p>
          <w:p w14:paraId="5C0753FB">
            <w:pPr>
              <w:kinsoku w:val="0"/>
              <w:autoSpaceDE w:val="0"/>
              <w:autoSpaceDN w:val="0"/>
              <w:adjustRightInd w:val="0"/>
              <w:snapToGrid w:val="0"/>
              <w:spacing w:before="26" w:line="237" w:lineRule="auto"/>
              <w:ind w:left="476" w:right="91" w:hanging="364"/>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2"/>
                <w:kern w:val="0"/>
                <w:sz w:val="18"/>
                <w:szCs w:val="18"/>
                <w:lang w:val="en-US" w:eastAsia="en-US" w:bidi="ar-SA"/>
              </w:rPr>
              <w:t>4</w:t>
            </w:r>
            <w:r>
              <w:rPr>
                <w:rFonts w:ascii="Times New Roman" w:hAnsi="Times New Roman" w:eastAsia="Times New Roman" w:cs="Times New Roman"/>
                <w:snapToGrid w:val="0"/>
                <w:color w:val="000000"/>
                <w:spacing w:val="-27"/>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 该</w:t>
            </w:r>
            <w:r>
              <w:rPr>
                <w:rFonts w:ascii="宋体" w:hAnsi="宋体" w:eastAsia="宋体" w:cs="宋体"/>
                <w:snapToGrid w:val="0"/>
                <w:color w:val="000000"/>
                <w:spacing w:val="-3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站</w:t>
            </w:r>
            <w:r>
              <w:rPr>
                <w:rFonts w:ascii="宋体" w:hAnsi="宋体" w:eastAsia="宋体" w:cs="宋体"/>
                <w:snapToGrid w:val="0"/>
                <w:color w:val="000000"/>
                <w:spacing w:val="-3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为</w:t>
            </w:r>
            <w:r>
              <w:rPr>
                <w:rFonts w:ascii="宋体" w:hAnsi="宋体" w:eastAsia="宋体" w:cs="宋体"/>
                <w:snapToGrid w:val="0"/>
                <w:color w:val="000000"/>
                <w:spacing w:val="-42"/>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三</w:t>
            </w:r>
            <w:r>
              <w:rPr>
                <w:rFonts w:ascii="宋体" w:hAnsi="宋体" w:eastAsia="宋体" w:cs="宋体"/>
                <w:snapToGrid w:val="0"/>
                <w:color w:val="000000"/>
                <w:spacing w:val="-37"/>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级</w:t>
            </w:r>
            <w:r>
              <w:rPr>
                <w:rFonts w:ascii="宋体" w:hAnsi="宋体" w:eastAsia="宋体" w:cs="宋体"/>
                <w:snapToGrid w:val="0"/>
                <w:color w:val="000000"/>
                <w:spacing w:val="-4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加油</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站</w:t>
            </w:r>
            <w:r>
              <w:rPr>
                <w:rFonts w:ascii="宋体" w:hAnsi="宋体" w:eastAsia="宋体" w:cs="宋体"/>
                <w:snapToGrid w:val="0"/>
                <w:color w:val="000000"/>
                <w:spacing w:val="-53"/>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，现场灭火毯</w:t>
            </w:r>
            <w:r>
              <w:rPr>
                <w:rFonts w:hint="eastAsia" w:ascii="宋体" w:hAnsi="宋体" w:eastAsia="宋体" w:cs="宋体"/>
                <w:snapToGrid w:val="0"/>
                <w:color w:val="000000"/>
                <w:spacing w:val="-27"/>
                <w:kern w:val="0"/>
                <w:sz w:val="18"/>
                <w:szCs w:val="18"/>
                <w:lang w:val="en-US" w:eastAsia="zh-CN" w:bidi="ar-SA"/>
              </w:rPr>
              <w:t>9</w:t>
            </w:r>
            <w:r>
              <w:rPr>
                <w:rFonts w:ascii="Times New Roman" w:hAnsi="Times New Roman" w:eastAsia="Times New Roman" w:cs="Times New Roman"/>
                <w:snapToGrid w:val="0"/>
                <w:color w:val="000000"/>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张；灭火沙</w:t>
            </w:r>
            <w:r>
              <w:rPr>
                <w:rFonts w:ascii="宋体" w:hAnsi="宋体" w:eastAsia="宋体" w:cs="宋体"/>
                <w:snapToGrid w:val="0"/>
                <w:color w:val="000000"/>
                <w:spacing w:val="-44"/>
                <w:kern w:val="0"/>
                <w:sz w:val="18"/>
                <w:szCs w:val="18"/>
                <w:lang w:val="en-US" w:eastAsia="en-US" w:bidi="ar-SA"/>
              </w:rPr>
              <w:t xml:space="preserve"> </w:t>
            </w:r>
            <w:r>
              <w:rPr>
                <w:rFonts w:ascii="Times New Roman" w:hAnsi="Times New Roman" w:eastAsia="Times New Roman" w:cs="Times New Roman"/>
                <w:snapToGrid w:val="0"/>
                <w:color w:val="000000"/>
                <w:spacing w:val="-1"/>
                <w:kern w:val="0"/>
                <w:sz w:val="18"/>
                <w:szCs w:val="18"/>
                <w:lang w:val="en-US" w:eastAsia="en-US" w:bidi="ar-SA"/>
              </w:rPr>
              <w:t>2m</w:t>
            </w:r>
            <w:r>
              <w:rPr>
                <w:rFonts w:ascii="Times New Roman" w:hAnsi="Times New Roman" w:eastAsia="Times New Roman" w:cs="Times New Roman"/>
                <w:snapToGrid w:val="0"/>
                <w:color w:val="000000"/>
                <w:spacing w:val="-1"/>
                <w:kern w:val="0"/>
                <w:position w:val="6"/>
                <w:sz w:val="11"/>
                <w:szCs w:val="11"/>
                <w:lang w:val="en-US" w:eastAsia="en-US" w:bidi="ar-SA"/>
              </w:rPr>
              <w:t>3</w:t>
            </w:r>
            <w:r>
              <w:rPr>
                <w:rFonts w:ascii="宋体" w:hAnsi="宋体" w:eastAsia="宋体" w:cs="宋体"/>
                <w:snapToGrid w:val="0"/>
                <w:color w:val="000000"/>
                <w:spacing w:val="-1"/>
                <w:kern w:val="0"/>
                <w:sz w:val="18"/>
                <w:szCs w:val="18"/>
                <w:lang w:val="en-US" w:eastAsia="en-US" w:bidi="ar-SA"/>
              </w:rPr>
              <w:t>。</w:t>
            </w:r>
          </w:p>
        </w:tc>
        <w:tc>
          <w:tcPr>
            <w:tcW w:w="675" w:type="dxa"/>
            <w:tcBorders>
              <w:left w:val="single" w:color="000000" w:sz="4" w:space="0"/>
              <w:right w:val="single" w:color="000000" w:sz="10" w:space="0"/>
            </w:tcBorders>
            <w:vAlign w:val="top"/>
          </w:tcPr>
          <w:p w14:paraId="1AF70B49">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33F9E436">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4E070530">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68D81398">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3337AEF0">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49C701C8">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77713A0C">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3E75A9AC">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53684C50">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4690D2FD">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39FFAA41">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4A01280E">
            <w:pPr>
              <w:kinsoku w:val="0"/>
              <w:autoSpaceDE w:val="0"/>
              <w:autoSpaceDN w:val="0"/>
              <w:adjustRightInd w:val="0"/>
              <w:snapToGrid w:val="0"/>
              <w:spacing w:before="59"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44012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trPr>
        <w:tc>
          <w:tcPr>
            <w:tcW w:w="677" w:type="dxa"/>
            <w:tcBorders>
              <w:left w:val="single" w:color="000000" w:sz="10" w:space="0"/>
              <w:right w:val="single" w:color="000000" w:sz="4" w:space="0"/>
            </w:tcBorders>
            <w:vAlign w:val="top"/>
          </w:tcPr>
          <w:p w14:paraId="4DD0BBB0">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21"/>
                <w:lang w:eastAsia="en-US"/>
              </w:rPr>
            </w:pPr>
          </w:p>
          <w:p w14:paraId="3A7F6796">
            <w:pPr>
              <w:widowControl/>
              <w:kinsoku w:val="0"/>
              <w:autoSpaceDE w:val="0"/>
              <w:autoSpaceDN w:val="0"/>
              <w:adjustRightInd w:val="0"/>
              <w:snapToGrid w:val="0"/>
              <w:spacing w:before="51" w:line="188" w:lineRule="auto"/>
              <w:ind w:left="114"/>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2"/>
                <w:kern w:val="0"/>
                <w:sz w:val="18"/>
                <w:szCs w:val="18"/>
                <w:lang w:eastAsia="en-US"/>
              </w:rPr>
              <w:t>2.</w:t>
            </w:r>
          </w:p>
        </w:tc>
        <w:tc>
          <w:tcPr>
            <w:tcW w:w="3502" w:type="dxa"/>
            <w:tcBorders>
              <w:left w:val="single" w:color="000000" w:sz="4" w:space="0"/>
              <w:right w:val="single" w:color="000000" w:sz="4" w:space="0"/>
            </w:tcBorders>
            <w:vAlign w:val="top"/>
          </w:tcPr>
          <w:p w14:paraId="34E400CE">
            <w:pPr>
              <w:kinsoku w:val="0"/>
              <w:autoSpaceDE w:val="0"/>
              <w:autoSpaceDN w:val="0"/>
              <w:adjustRightInd w:val="0"/>
              <w:snapToGrid w:val="0"/>
              <w:spacing w:before="173" w:line="233" w:lineRule="auto"/>
              <w:ind w:left="106" w:right="103" w:hanging="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灭火器应设置在位置明显和便于取用的地</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点，且不得影响安全疏散。</w:t>
            </w:r>
          </w:p>
        </w:tc>
        <w:tc>
          <w:tcPr>
            <w:tcW w:w="2218" w:type="dxa"/>
            <w:tcBorders>
              <w:left w:val="single" w:color="000000" w:sz="4" w:space="0"/>
              <w:right w:val="single" w:color="000000" w:sz="4" w:space="0"/>
            </w:tcBorders>
            <w:vAlign w:val="top"/>
          </w:tcPr>
          <w:p w14:paraId="0A42B366">
            <w:pPr>
              <w:kinsoku w:val="0"/>
              <w:autoSpaceDE w:val="0"/>
              <w:autoSpaceDN w:val="0"/>
              <w:adjustRightInd w:val="0"/>
              <w:snapToGrid w:val="0"/>
              <w:spacing w:before="53" w:line="233" w:lineRule="auto"/>
              <w:ind w:left="114" w:right="96" w:firstLine="1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《建筑灭火器配置设计规</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范》（</w:t>
            </w:r>
            <w:r>
              <w:rPr>
                <w:rFonts w:ascii="Times New Roman" w:hAnsi="Times New Roman" w:eastAsia="Times New Roman" w:cs="Times New Roman"/>
                <w:snapToGrid w:val="0"/>
                <w:color w:val="000000"/>
                <w:spacing w:val="-2"/>
                <w:kern w:val="0"/>
                <w:sz w:val="18"/>
                <w:szCs w:val="18"/>
                <w:lang w:val="en-US" w:eastAsia="en-US" w:bidi="ar-SA"/>
              </w:rPr>
              <w:t>GB50140-2005</w:t>
            </w:r>
            <w:r>
              <w:rPr>
                <w:rFonts w:ascii="宋体" w:hAnsi="宋体" w:eastAsia="宋体" w:cs="宋体"/>
                <w:snapToGrid w:val="0"/>
                <w:color w:val="000000"/>
                <w:spacing w:val="-2"/>
                <w:kern w:val="0"/>
                <w:sz w:val="18"/>
                <w:szCs w:val="18"/>
                <w:lang w:val="en-US" w:eastAsia="en-US" w:bidi="ar-SA"/>
              </w:rPr>
              <w:t>）第</w:t>
            </w:r>
          </w:p>
          <w:p w14:paraId="7989810B">
            <w:pPr>
              <w:kinsoku w:val="0"/>
              <w:autoSpaceDE w:val="0"/>
              <w:autoSpaceDN w:val="0"/>
              <w:adjustRightInd w:val="0"/>
              <w:snapToGrid w:val="0"/>
              <w:spacing w:before="25" w:line="184" w:lineRule="auto"/>
              <w:ind w:left="82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9"/>
                <w:kern w:val="0"/>
                <w:sz w:val="18"/>
                <w:szCs w:val="18"/>
                <w:lang w:val="en-US" w:eastAsia="en-US" w:bidi="ar-SA"/>
              </w:rPr>
              <w:t>5.</w:t>
            </w:r>
            <w:r>
              <w:rPr>
                <w:rFonts w:ascii="Times New Roman" w:hAnsi="Times New Roman" w:eastAsia="Times New Roman" w:cs="Times New Roman"/>
                <w:snapToGrid w:val="0"/>
                <w:color w:val="000000"/>
                <w:spacing w:val="-22"/>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1.</w:t>
            </w:r>
            <w:r>
              <w:rPr>
                <w:rFonts w:ascii="Times New Roman" w:hAnsi="Times New Roman" w:eastAsia="Times New Roman" w:cs="Times New Roman"/>
                <w:snapToGrid w:val="0"/>
                <w:color w:val="000000"/>
                <w:spacing w:val="-23"/>
                <w:kern w:val="0"/>
                <w:sz w:val="18"/>
                <w:szCs w:val="18"/>
                <w:lang w:val="en-US" w:eastAsia="en-US" w:bidi="ar-SA"/>
              </w:rPr>
              <w:t xml:space="preserve"> </w:t>
            </w:r>
            <w:r>
              <w:rPr>
                <w:rFonts w:ascii="Times New Roman" w:hAnsi="Times New Roman" w:eastAsia="Times New Roman" w:cs="Times New Roman"/>
                <w:snapToGrid w:val="0"/>
                <w:color w:val="000000"/>
                <w:spacing w:val="-9"/>
                <w:kern w:val="0"/>
                <w:sz w:val="18"/>
                <w:szCs w:val="18"/>
                <w:lang w:val="en-US" w:eastAsia="en-US" w:bidi="ar-SA"/>
              </w:rPr>
              <w:t>1</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9"/>
                <w:kern w:val="0"/>
                <w:sz w:val="18"/>
                <w:szCs w:val="18"/>
                <w:lang w:val="en-US" w:eastAsia="en-US" w:bidi="ar-SA"/>
              </w:rPr>
              <w:t>条</w:t>
            </w:r>
          </w:p>
        </w:tc>
        <w:tc>
          <w:tcPr>
            <w:tcW w:w="2088" w:type="dxa"/>
            <w:tcBorders>
              <w:left w:val="single" w:color="000000" w:sz="4" w:space="0"/>
              <w:right w:val="single" w:color="000000" w:sz="4" w:space="0"/>
            </w:tcBorders>
            <w:vAlign w:val="top"/>
          </w:tcPr>
          <w:p w14:paraId="675FA4E5">
            <w:pPr>
              <w:kinsoku w:val="0"/>
              <w:autoSpaceDE w:val="0"/>
              <w:autoSpaceDN w:val="0"/>
              <w:adjustRightInd w:val="0"/>
              <w:snapToGrid w:val="0"/>
              <w:spacing w:before="51" w:line="226" w:lineRule="auto"/>
              <w:ind w:left="119" w:right="9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灭火器设在明显、便于</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 xml:space="preserve">取用的位置，且不影响 </w:t>
            </w:r>
            <w:r>
              <w:rPr>
                <w:rFonts w:ascii="宋体" w:hAnsi="宋体" w:eastAsia="宋体" w:cs="宋体"/>
                <w:snapToGrid w:val="0"/>
                <w:color w:val="000000"/>
                <w:spacing w:val="-2"/>
                <w:kern w:val="0"/>
                <w:sz w:val="18"/>
                <w:szCs w:val="18"/>
                <w:lang w:val="en-US" w:eastAsia="en-US" w:bidi="ar-SA"/>
              </w:rPr>
              <w:t>安全疏散。</w:t>
            </w:r>
          </w:p>
        </w:tc>
        <w:tc>
          <w:tcPr>
            <w:tcW w:w="675" w:type="dxa"/>
            <w:tcBorders>
              <w:left w:val="single" w:color="000000" w:sz="4" w:space="0"/>
              <w:right w:val="single" w:color="000000" w:sz="10" w:space="0"/>
            </w:tcBorders>
            <w:vAlign w:val="top"/>
          </w:tcPr>
          <w:p w14:paraId="23BF9A09">
            <w:pPr>
              <w:kinsoku w:val="0"/>
              <w:autoSpaceDE w:val="0"/>
              <w:autoSpaceDN w:val="0"/>
              <w:adjustRightInd w:val="0"/>
              <w:snapToGrid w:val="0"/>
              <w:spacing w:before="293"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41C69B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81" w:hRule="atLeast"/>
        </w:trPr>
        <w:tc>
          <w:tcPr>
            <w:tcW w:w="677" w:type="dxa"/>
            <w:tcBorders>
              <w:left w:val="single" w:color="000000" w:sz="10" w:space="0"/>
              <w:right w:val="single" w:color="000000" w:sz="4" w:space="0"/>
            </w:tcBorders>
            <w:vAlign w:val="top"/>
          </w:tcPr>
          <w:p w14:paraId="5062DB14">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391DDAB7">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0293CEAA">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2BEAE814">
            <w:pPr>
              <w:widowControl/>
              <w:kinsoku w:val="0"/>
              <w:autoSpaceDE w:val="0"/>
              <w:autoSpaceDN w:val="0"/>
              <w:adjustRightInd w:val="0"/>
              <w:snapToGrid w:val="0"/>
              <w:spacing w:before="52" w:line="188" w:lineRule="auto"/>
              <w:ind w:left="11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3.</w:t>
            </w:r>
          </w:p>
        </w:tc>
        <w:tc>
          <w:tcPr>
            <w:tcW w:w="3502" w:type="dxa"/>
            <w:tcBorders>
              <w:left w:val="single" w:color="000000" w:sz="4" w:space="0"/>
              <w:right w:val="single" w:color="000000" w:sz="4" w:space="0"/>
            </w:tcBorders>
            <w:vAlign w:val="top"/>
          </w:tcPr>
          <w:p w14:paraId="021285B4">
            <w:pPr>
              <w:kinsoku w:val="0"/>
              <w:autoSpaceDE w:val="0"/>
              <w:autoSpaceDN w:val="0"/>
              <w:adjustRightInd w:val="0"/>
              <w:snapToGrid w:val="0"/>
              <w:spacing w:before="295" w:line="241" w:lineRule="auto"/>
              <w:ind w:left="100" w:right="60" w:firstLine="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灭火器的摆放应稳固，其铭牌应朝外。手</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提式灭火器宜设置在灭火器箱内或挂钩、</w:t>
            </w:r>
            <w:r>
              <w:rPr>
                <w:rFonts w:ascii="宋体" w:hAnsi="宋体" w:eastAsia="宋体" w:cs="宋体"/>
                <w:snapToGrid w:val="0"/>
                <w:color w:val="000000"/>
                <w:spacing w:val="13"/>
                <w:kern w:val="0"/>
                <w:sz w:val="18"/>
                <w:szCs w:val="18"/>
                <w:lang w:val="en-US" w:eastAsia="en-US" w:bidi="ar-SA"/>
              </w:rPr>
              <w:t xml:space="preserve"> </w:t>
            </w:r>
            <w:r>
              <w:rPr>
                <w:rFonts w:ascii="宋体" w:hAnsi="宋体" w:eastAsia="宋体" w:cs="宋体"/>
                <w:snapToGrid w:val="0"/>
                <w:color w:val="000000"/>
                <w:spacing w:val="-8"/>
                <w:kern w:val="0"/>
                <w:sz w:val="18"/>
                <w:szCs w:val="18"/>
                <w:lang w:val="en-US" w:eastAsia="en-US" w:bidi="ar-SA"/>
              </w:rPr>
              <w:t>托架上，其顶部离地面高度不应大于</w:t>
            </w:r>
            <w:r>
              <w:rPr>
                <w:rFonts w:ascii="宋体" w:hAnsi="宋体" w:eastAsia="宋体" w:cs="宋体"/>
                <w:snapToGrid w:val="0"/>
                <w:color w:val="000000"/>
                <w:spacing w:val="-17"/>
                <w:kern w:val="0"/>
                <w:sz w:val="18"/>
                <w:szCs w:val="18"/>
                <w:lang w:val="en-US" w:eastAsia="en-US" w:bidi="ar-SA"/>
              </w:rPr>
              <w:t xml:space="preserve"> </w:t>
            </w:r>
            <w:r>
              <w:rPr>
                <w:rFonts w:ascii="Times New Roman" w:hAnsi="Times New Roman" w:eastAsia="Times New Roman" w:cs="Times New Roman"/>
                <w:snapToGrid w:val="0"/>
                <w:color w:val="000000"/>
                <w:spacing w:val="-8"/>
                <w:kern w:val="0"/>
                <w:sz w:val="18"/>
                <w:szCs w:val="18"/>
                <w:lang w:val="en-US" w:eastAsia="en-US" w:bidi="ar-SA"/>
              </w:rPr>
              <w:t>1.5m</w:t>
            </w:r>
            <w:r>
              <w:rPr>
                <w:rFonts w:ascii="宋体" w:hAnsi="宋体" w:eastAsia="宋体" w:cs="宋体"/>
                <w:snapToGrid w:val="0"/>
                <w:color w:val="000000"/>
                <w:spacing w:val="-8"/>
                <w:kern w:val="0"/>
                <w:sz w:val="18"/>
                <w:szCs w:val="18"/>
                <w:lang w:val="en-US" w:eastAsia="en-US" w:bidi="ar-SA"/>
              </w:rPr>
              <w:t>；</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底部离地面高度不宜小于</w:t>
            </w:r>
            <w:r>
              <w:rPr>
                <w:rFonts w:ascii="宋体" w:hAnsi="宋体" w:eastAsia="宋体" w:cs="宋体"/>
                <w:snapToGrid w:val="0"/>
                <w:color w:val="000000"/>
                <w:spacing w:val="-33"/>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0.08m</w:t>
            </w:r>
            <w:r>
              <w:rPr>
                <w:rFonts w:ascii="宋体" w:hAnsi="宋体" w:eastAsia="宋体" w:cs="宋体"/>
                <w:snapToGrid w:val="0"/>
                <w:color w:val="000000"/>
                <w:spacing w:val="-5"/>
                <w:kern w:val="0"/>
                <w:sz w:val="18"/>
                <w:szCs w:val="18"/>
                <w:lang w:val="en-US" w:eastAsia="en-US" w:bidi="ar-SA"/>
              </w:rPr>
              <w:t>。灭火器箱</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不应上锁。</w:t>
            </w:r>
          </w:p>
        </w:tc>
        <w:tc>
          <w:tcPr>
            <w:tcW w:w="2218" w:type="dxa"/>
            <w:tcBorders>
              <w:left w:val="single" w:color="000000" w:sz="4" w:space="0"/>
              <w:right w:val="single" w:color="000000" w:sz="4" w:space="0"/>
            </w:tcBorders>
            <w:vAlign w:val="top"/>
          </w:tcPr>
          <w:p w14:paraId="22E3899B">
            <w:pPr>
              <w:widowControl/>
              <w:kinsoku w:val="0"/>
              <w:autoSpaceDE w:val="0"/>
              <w:autoSpaceDN w:val="0"/>
              <w:adjustRightInd w:val="0"/>
              <w:snapToGrid w:val="0"/>
              <w:spacing w:line="473" w:lineRule="auto"/>
              <w:jc w:val="left"/>
              <w:textAlignment w:val="baseline"/>
              <w:rPr>
                <w:rFonts w:ascii="Arial" w:hAnsi="Arial" w:eastAsia="Arial" w:cs="Arial"/>
                <w:snapToGrid w:val="0"/>
                <w:color w:val="000000"/>
                <w:kern w:val="0"/>
                <w:sz w:val="21"/>
                <w:lang w:eastAsia="en-US"/>
              </w:rPr>
            </w:pPr>
          </w:p>
          <w:p w14:paraId="4874E3D9">
            <w:pPr>
              <w:kinsoku w:val="0"/>
              <w:autoSpaceDE w:val="0"/>
              <w:autoSpaceDN w:val="0"/>
              <w:adjustRightInd w:val="0"/>
              <w:snapToGrid w:val="0"/>
              <w:spacing w:before="59" w:line="233" w:lineRule="auto"/>
              <w:ind w:left="114" w:right="96" w:firstLine="1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《建筑灭火器配置设计规</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范》（</w:t>
            </w:r>
            <w:r>
              <w:rPr>
                <w:rFonts w:ascii="Times New Roman" w:hAnsi="Times New Roman" w:eastAsia="Times New Roman" w:cs="Times New Roman"/>
                <w:snapToGrid w:val="0"/>
                <w:color w:val="000000"/>
                <w:spacing w:val="-2"/>
                <w:kern w:val="0"/>
                <w:sz w:val="18"/>
                <w:szCs w:val="18"/>
                <w:lang w:val="en-US" w:eastAsia="en-US" w:bidi="ar-SA"/>
              </w:rPr>
              <w:t>GB50140-2005</w:t>
            </w:r>
            <w:r>
              <w:rPr>
                <w:rFonts w:ascii="宋体" w:hAnsi="宋体" w:eastAsia="宋体" w:cs="宋体"/>
                <w:snapToGrid w:val="0"/>
                <w:color w:val="000000"/>
                <w:spacing w:val="-2"/>
                <w:kern w:val="0"/>
                <w:sz w:val="18"/>
                <w:szCs w:val="18"/>
                <w:lang w:val="en-US" w:eastAsia="en-US" w:bidi="ar-SA"/>
              </w:rPr>
              <w:t>）第</w:t>
            </w:r>
          </w:p>
          <w:p w14:paraId="2A4B481A">
            <w:pPr>
              <w:kinsoku w:val="0"/>
              <w:autoSpaceDE w:val="0"/>
              <w:autoSpaceDN w:val="0"/>
              <w:adjustRightInd w:val="0"/>
              <w:snapToGrid w:val="0"/>
              <w:spacing w:before="25" w:line="220" w:lineRule="auto"/>
              <w:ind w:left="822"/>
              <w:jc w:val="left"/>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5"/>
                <w:kern w:val="0"/>
                <w:sz w:val="18"/>
                <w:szCs w:val="18"/>
                <w:lang w:val="en-US" w:eastAsia="en-US" w:bidi="ar-SA"/>
              </w:rPr>
              <w:t>5.</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1.3</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条</w:t>
            </w:r>
          </w:p>
        </w:tc>
        <w:tc>
          <w:tcPr>
            <w:tcW w:w="2088" w:type="dxa"/>
            <w:tcBorders>
              <w:left w:val="single" w:color="000000" w:sz="4" w:space="0"/>
              <w:right w:val="single" w:color="000000" w:sz="4" w:space="0"/>
            </w:tcBorders>
            <w:vAlign w:val="top"/>
          </w:tcPr>
          <w:p w14:paraId="40E248A7">
            <w:pPr>
              <w:kinsoku w:val="0"/>
              <w:autoSpaceDE w:val="0"/>
              <w:autoSpaceDN w:val="0"/>
              <w:adjustRightInd w:val="0"/>
              <w:snapToGrid w:val="0"/>
              <w:spacing w:before="53" w:line="237" w:lineRule="auto"/>
              <w:ind w:left="116" w:right="91" w:firstLine="3"/>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灭火器的摆放稳固，其</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铭牌朝外。手提式干粉</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灭火器设置在灭火器箱</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内，其顶部离地面高度</w:t>
            </w:r>
            <w:r>
              <w:rPr>
                <w:rFonts w:ascii="宋体" w:hAnsi="宋体" w:eastAsia="宋体" w:cs="宋体"/>
                <w:snapToGrid w:val="0"/>
                <w:color w:val="000000"/>
                <w:kern w:val="0"/>
                <w:sz w:val="18"/>
                <w:szCs w:val="18"/>
                <w:lang w:val="en-US" w:eastAsia="en-US" w:bidi="ar-SA"/>
              </w:rPr>
              <w:t xml:space="preserve"> 为</w:t>
            </w:r>
            <w:r>
              <w:rPr>
                <w:rFonts w:ascii="宋体" w:hAnsi="宋体" w:eastAsia="宋体" w:cs="宋体"/>
                <w:snapToGrid w:val="0"/>
                <w:color w:val="000000"/>
                <w:spacing w:val="-26"/>
                <w:kern w:val="0"/>
                <w:sz w:val="18"/>
                <w:szCs w:val="18"/>
                <w:lang w:val="en-US" w:eastAsia="en-US" w:bidi="ar-SA"/>
              </w:rPr>
              <w:t xml:space="preserve"> </w:t>
            </w:r>
            <w:r>
              <w:rPr>
                <w:rFonts w:ascii="Times New Roman" w:hAnsi="Times New Roman" w:eastAsia="Times New Roman" w:cs="Times New Roman"/>
                <w:snapToGrid w:val="0"/>
                <w:color w:val="000000"/>
                <w:kern w:val="0"/>
                <w:sz w:val="18"/>
                <w:szCs w:val="18"/>
                <w:lang w:val="en-US" w:eastAsia="en-US" w:bidi="ar-SA"/>
              </w:rPr>
              <w:t>0.5m</w:t>
            </w:r>
            <w:r>
              <w:rPr>
                <w:rFonts w:ascii="宋体" w:hAnsi="宋体" w:eastAsia="宋体" w:cs="宋体"/>
                <w:snapToGrid w:val="0"/>
                <w:color w:val="000000"/>
                <w:kern w:val="0"/>
                <w:sz w:val="18"/>
                <w:szCs w:val="18"/>
                <w:lang w:val="en-US" w:eastAsia="en-US" w:bidi="ar-SA"/>
              </w:rPr>
              <w:t xml:space="preserve">；底部离地面高 </w:t>
            </w:r>
            <w:r>
              <w:rPr>
                <w:rFonts w:ascii="宋体" w:hAnsi="宋体" w:eastAsia="宋体" w:cs="宋体"/>
                <w:snapToGrid w:val="0"/>
                <w:color w:val="000000"/>
                <w:spacing w:val="-2"/>
                <w:kern w:val="0"/>
                <w:sz w:val="18"/>
                <w:szCs w:val="18"/>
                <w:lang w:val="en-US" w:eastAsia="en-US" w:bidi="ar-SA"/>
              </w:rPr>
              <w:t>度为</w:t>
            </w:r>
            <w:r>
              <w:rPr>
                <w:rFonts w:ascii="宋体" w:hAnsi="宋体" w:eastAsia="宋体" w:cs="宋体"/>
                <w:snapToGrid w:val="0"/>
                <w:color w:val="000000"/>
                <w:spacing w:val="-31"/>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0.2m</w:t>
            </w:r>
            <w:r>
              <w:rPr>
                <w:rFonts w:ascii="Times New Roman" w:hAnsi="Times New Roman" w:eastAsia="Times New Roman" w:cs="Times New Roman"/>
                <w:snapToGrid w:val="0"/>
                <w:color w:val="000000"/>
                <w:spacing w:val="-16"/>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。灭火器箱未</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上锁。</w:t>
            </w:r>
          </w:p>
        </w:tc>
        <w:tc>
          <w:tcPr>
            <w:tcW w:w="675" w:type="dxa"/>
            <w:tcBorders>
              <w:left w:val="single" w:color="000000" w:sz="4" w:space="0"/>
              <w:right w:val="single" w:color="000000" w:sz="10" w:space="0"/>
            </w:tcBorders>
            <w:vAlign w:val="top"/>
          </w:tcPr>
          <w:p w14:paraId="7E922061">
            <w:pPr>
              <w:widowControl/>
              <w:kinsoku w:val="0"/>
              <w:autoSpaceDE w:val="0"/>
              <w:autoSpaceDN w:val="0"/>
              <w:adjustRightInd w:val="0"/>
              <w:snapToGrid w:val="0"/>
              <w:spacing w:line="355" w:lineRule="auto"/>
              <w:jc w:val="left"/>
              <w:textAlignment w:val="baseline"/>
              <w:rPr>
                <w:rFonts w:ascii="Arial" w:hAnsi="Arial" w:eastAsia="Arial" w:cs="Arial"/>
                <w:snapToGrid w:val="0"/>
                <w:color w:val="000000"/>
                <w:kern w:val="0"/>
                <w:sz w:val="21"/>
                <w:lang w:eastAsia="en-US"/>
              </w:rPr>
            </w:pPr>
          </w:p>
          <w:p w14:paraId="4558ECC4">
            <w:pPr>
              <w:widowControl/>
              <w:kinsoku w:val="0"/>
              <w:autoSpaceDE w:val="0"/>
              <w:autoSpaceDN w:val="0"/>
              <w:adjustRightInd w:val="0"/>
              <w:snapToGrid w:val="0"/>
              <w:spacing w:line="356" w:lineRule="auto"/>
              <w:jc w:val="left"/>
              <w:textAlignment w:val="baseline"/>
              <w:rPr>
                <w:rFonts w:ascii="Arial" w:hAnsi="Arial" w:eastAsia="Arial" w:cs="Arial"/>
                <w:snapToGrid w:val="0"/>
                <w:color w:val="000000"/>
                <w:kern w:val="0"/>
                <w:sz w:val="21"/>
                <w:lang w:eastAsia="en-US"/>
              </w:rPr>
            </w:pPr>
          </w:p>
          <w:p w14:paraId="78C00D73">
            <w:pPr>
              <w:kinsoku w:val="0"/>
              <w:autoSpaceDE w:val="0"/>
              <w:autoSpaceDN w:val="0"/>
              <w:adjustRightInd w:val="0"/>
              <w:snapToGrid w:val="0"/>
              <w:spacing w:before="59"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3CF5BC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31" w:hRule="atLeast"/>
        </w:trPr>
        <w:tc>
          <w:tcPr>
            <w:tcW w:w="677" w:type="dxa"/>
            <w:tcBorders>
              <w:left w:val="single" w:color="000000" w:sz="10" w:space="0"/>
              <w:right w:val="single" w:color="000000" w:sz="4" w:space="0"/>
            </w:tcBorders>
            <w:vAlign w:val="top"/>
          </w:tcPr>
          <w:p w14:paraId="54B2A287">
            <w:pPr>
              <w:widowControl/>
              <w:kinsoku w:val="0"/>
              <w:autoSpaceDE w:val="0"/>
              <w:autoSpaceDN w:val="0"/>
              <w:adjustRightInd w:val="0"/>
              <w:snapToGrid w:val="0"/>
              <w:spacing w:line="428" w:lineRule="auto"/>
              <w:jc w:val="left"/>
              <w:textAlignment w:val="baseline"/>
              <w:rPr>
                <w:rFonts w:ascii="Arial" w:hAnsi="Arial" w:eastAsia="Arial" w:cs="Arial"/>
                <w:snapToGrid w:val="0"/>
                <w:color w:val="000000"/>
                <w:kern w:val="0"/>
                <w:sz w:val="21"/>
                <w:lang w:eastAsia="en-US"/>
              </w:rPr>
            </w:pPr>
          </w:p>
          <w:p w14:paraId="21FA6581">
            <w:pPr>
              <w:widowControl/>
              <w:kinsoku w:val="0"/>
              <w:autoSpaceDE w:val="0"/>
              <w:autoSpaceDN w:val="0"/>
              <w:adjustRightInd w:val="0"/>
              <w:snapToGrid w:val="0"/>
              <w:spacing w:before="52" w:line="188" w:lineRule="auto"/>
              <w:ind w:left="113"/>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1"/>
                <w:kern w:val="0"/>
                <w:sz w:val="18"/>
                <w:szCs w:val="18"/>
                <w:lang w:eastAsia="en-US"/>
              </w:rPr>
              <w:t>4.</w:t>
            </w:r>
          </w:p>
        </w:tc>
        <w:tc>
          <w:tcPr>
            <w:tcW w:w="3502" w:type="dxa"/>
            <w:tcBorders>
              <w:left w:val="single" w:color="000000" w:sz="4" w:space="0"/>
              <w:right w:val="single" w:color="000000" w:sz="4" w:space="0"/>
            </w:tcBorders>
            <w:vAlign w:val="top"/>
          </w:tcPr>
          <w:p w14:paraId="4E2E22B9">
            <w:pPr>
              <w:kinsoku w:val="0"/>
              <w:autoSpaceDE w:val="0"/>
              <w:autoSpaceDN w:val="0"/>
              <w:adjustRightInd w:val="0"/>
              <w:snapToGrid w:val="0"/>
              <w:spacing w:before="215" w:line="237" w:lineRule="auto"/>
              <w:ind w:left="100" w:right="103"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依法应当进行消防验收的建设工程，未经</w:t>
            </w:r>
            <w:r>
              <w:rPr>
                <w:rFonts w:ascii="宋体" w:hAnsi="宋体" w:eastAsia="宋体" w:cs="宋体"/>
                <w:snapToGrid w:val="0"/>
                <w:color w:val="000000"/>
                <w:spacing w:val="9"/>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消防验收或者消防验收不合格的，禁止投</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入使用。</w:t>
            </w:r>
          </w:p>
        </w:tc>
        <w:tc>
          <w:tcPr>
            <w:tcW w:w="2218" w:type="dxa"/>
            <w:tcBorders>
              <w:left w:val="single" w:color="000000" w:sz="4" w:space="0"/>
              <w:right w:val="single" w:color="000000" w:sz="4" w:space="0"/>
            </w:tcBorders>
            <w:vAlign w:val="top"/>
          </w:tcPr>
          <w:p w14:paraId="3AD52938">
            <w:pPr>
              <w:kinsoku w:val="0"/>
              <w:autoSpaceDE w:val="0"/>
              <w:autoSpaceDN w:val="0"/>
              <w:adjustRightInd w:val="0"/>
              <w:snapToGrid w:val="0"/>
              <w:spacing w:before="94" w:line="220" w:lineRule="auto"/>
              <w:ind w:left="2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《中华人民共和国消防</w:t>
            </w:r>
          </w:p>
          <w:p w14:paraId="709D0B51">
            <w:pPr>
              <w:kinsoku w:val="0"/>
              <w:autoSpaceDE w:val="0"/>
              <w:autoSpaceDN w:val="0"/>
              <w:adjustRightInd w:val="0"/>
              <w:snapToGrid w:val="0"/>
              <w:spacing w:before="25" w:line="220" w:lineRule="auto"/>
              <w:ind w:left="12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法》（中华人民共和国主</w:t>
            </w:r>
          </w:p>
          <w:p w14:paraId="6E2EE7B0">
            <w:pPr>
              <w:kinsoku w:val="0"/>
              <w:autoSpaceDE w:val="0"/>
              <w:autoSpaceDN w:val="0"/>
              <w:adjustRightInd w:val="0"/>
              <w:snapToGrid w:val="0"/>
              <w:spacing w:before="25" w:line="219" w:lineRule="auto"/>
              <w:ind w:left="11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7"/>
                <w:kern w:val="0"/>
                <w:sz w:val="18"/>
                <w:szCs w:val="18"/>
                <w:lang w:val="en-US" w:eastAsia="en-US" w:bidi="ar-SA"/>
              </w:rPr>
              <w:t>席令〔</w:t>
            </w:r>
            <w:r>
              <w:rPr>
                <w:rFonts w:ascii="Times New Roman" w:hAnsi="Times New Roman" w:eastAsia="Times New Roman" w:cs="Times New Roman"/>
                <w:snapToGrid w:val="0"/>
                <w:color w:val="000000"/>
                <w:spacing w:val="-7"/>
                <w:kern w:val="0"/>
                <w:sz w:val="18"/>
                <w:szCs w:val="18"/>
                <w:lang w:val="en-US" w:eastAsia="en-US" w:bidi="ar-SA"/>
              </w:rPr>
              <w:t>2021</w:t>
            </w:r>
            <w:r>
              <w:rPr>
                <w:rFonts w:ascii="宋体" w:hAnsi="宋体" w:eastAsia="宋体" w:cs="宋体"/>
                <w:snapToGrid w:val="0"/>
                <w:color w:val="000000"/>
                <w:spacing w:val="-7"/>
                <w:kern w:val="0"/>
                <w:sz w:val="18"/>
                <w:szCs w:val="18"/>
                <w:lang w:val="en-US" w:eastAsia="en-US" w:bidi="ar-SA"/>
              </w:rPr>
              <w:t>〕第</w:t>
            </w:r>
            <w:r>
              <w:rPr>
                <w:rFonts w:ascii="宋体" w:hAnsi="宋体" w:eastAsia="宋体" w:cs="宋体"/>
                <w:snapToGrid w:val="0"/>
                <w:color w:val="000000"/>
                <w:spacing w:val="-21"/>
                <w:kern w:val="0"/>
                <w:sz w:val="18"/>
                <w:szCs w:val="18"/>
                <w:lang w:val="en-US" w:eastAsia="en-US" w:bidi="ar-SA"/>
              </w:rPr>
              <w:t xml:space="preserve"> </w:t>
            </w:r>
            <w:r>
              <w:rPr>
                <w:rFonts w:ascii="Times New Roman" w:hAnsi="Times New Roman" w:eastAsia="Times New Roman" w:cs="Times New Roman"/>
                <w:snapToGrid w:val="0"/>
                <w:color w:val="000000"/>
                <w:spacing w:val="-7"/>
                <w:kern w:val="0"/>
                <w:sz w:val="18"/>
                <w:szCs w:val="18"/>
                <w:lang w:val="en-US" w:eastAsia="en-US" w:bidi="ar-SA"/>
              </w:rPr>
              <w:t>81</w:t>
            </w:r>
            <w:r>
              <w:rPr>
                <w:rFonts w:ascii="Times New Roman" w:hAnsi="Times New Roman" w:eastAsia="Times New Roman" w:cs="Times New Roman"/>
                <w:snapToGrid w:val="0"/>
                <w:color w:val="000000"/>
                <w:spacing w:val="11"/>
                <w:kern w:val="0"/>
                <w:sz w:val="18"/>
                <w:szCs w:val="18"/>
                <w:lang w:val="en-US" w:eastAsia="en-US" w:bidi="ar-SA"/>
              </w:rPr>
              <w:t xml:space="preserve"> </w:t>
            </w:r>
            <w:r>
              <w:rPr>
                <w:rFonts w:ascii="宋体" w:hAnsi="宋体" w:eastAsia="宋体" w:cs="宋体"/>
                <w:snapToGrid w:val="0"/>
                <w:color w:val="000000"/>
                <w:spacing w:val="-7"/>
                <w:kern w:val="0"/>
                <w:sz w:val="18"/>
                <w:szCs w:val="18"/>
                <w:lang w:val="en-US" w:eastAsia="en-US" w:bidi="ar-SA"/>
              </w:rPr>
              <w:t>号）第</w:t>
            </w:r>
          </w:p>
          <w:p w14:paraId="064F62D8">
            <w:pPr>
              <w:kinsoku w:val="0"/>
              <w:autoSpaceDE w:val="0"/>
              <w:autoSpaceDN w:val="0"/>
              <w:adjustRightInd w:val="0"/>
              <w:snapToGrid w:val="0"/>
              <w:spacing w:before="26" w:line="212" w:lineRule="auto"/>
              <w:ind w:left="845"/>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十三条</w:t>
            </w:r>
          </w:p>
        </w:tc>
        <w:tc>
          <w:tcPr>
            <w:tcW w:w="2088" w:type="dxa"/>
            <w:tcBorders>
              <w:left w:val="single" w:color="000000" w:sz="4" w:space="0"/>
              <w:right w:val="single" w:color="000000" w:sz="4" w:space="0"/>
            </w:tcBorders>
            <w:vAlign w:val="top"/>
          </w:tcPr>
          <w:p w14:paraId="71C4BC72">
            <w:pPr>
              <w:widowControl/>
              <w:kinsoku w:val="0"/>
              <w:autoSpaceDE w:val="0"/>
              <w:autoSpaceDN w:val="0"/>
              <w:adjustRightInd w:val="0"/>
              <w:snapToGrid w:val="0"/>
              <w:spacing w:line="393" w:lineRule="auto"/>
              <w:jc w:val="left"/>
              <w:textAlignment w:val="baseline"/>
              <w:rPr>
                <w:rFonts w:ascii="Arial" w:hAnsi="Arial" w:eastAsia="Arial" w:cs="Arial"/>
                <w:snapToGrid w:val="0"/>
                <w:color w:val="000000"/>
                <w:kern w:val="0"/>
                <w:sz w:val="21"/>
                <w:lang w:eastAsia="en-US"/>
              </w:rPr>
            </w:pPr>
          </w:p>
          <w:p w14:paraId="3A14E58C">
            <w:pPr>
              <w:kinsoku w:val="0"/>
              <w:autoSpaceDE w:val="0"/>
              <w:autoSpaceDN w:val="0"/>
              <w:adjustRightInd w:val="0"/>
              <w:snapToGrid w:val="0"/>
              <w:spacing w:before="59" w:line="220" w:lineRule="auto"/>
              <w:ind w:left="119"/>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该站经消防验收合格。</w:t>
            </w:r>
          </w:p>
        </w:tc>
        <w:tc>
          <w:tcPr>
            <w:tcW w:w="675" w:type="dxa"/>
            <w:tcBorders>
              <w:left w:val="single" w:color="000000" w:sz="4" w:space="0"/>
              <w:right w:val="single" w:color="000000" w:sz="10" w:space="0"/>
            </w:tcBorders>
            <w:vAlign w:val="top"/>
          </w:tcPr>
          <w:p w14:paraId="06C26869">
            <w:pPr>
              <w:widowControl/>
              <w:kinsoku w:val="0"/>
              <w:autoSpaceDE w:val="0"/>
              <w:autoSpaceDN w:val="0"/>
              <w:adjustRightInd w:val="0"/>
              <w:snapToGrid w:val="0"/>
              <w:spacing w:line="393" w:lineRule="auto"/>
              <w:jc w:val="left"/>
              <w:textAlignment w:val="baseline"/>
              <w:rPr>
                <w:rFonts w:ascii="Arial" w:hAnsi="Arial" w:eastAsia="Arial" w:cs="Arial"/>
                <w:snapToGrid w:val="0"/>
                <w:color w:val="000000"/>
                <w:kern w:val="0"/>
                <w:sz w:val="21"/>
                <w:lang w:eastAsia="en-US"/>
              </w:rPr>
            </w:pPr>
          </w:p>
          <w:p w14:paraId="51A1F822">
            <w:pPr>
              <w:kinsoku w:val="0"/>
              <w:autoSpaceDE w:val="0"/>
              <w:autoSpaceDN w:val="0"/>
              <w:adjustRightInd w:val="0"/>
              <w:snapToGrid w:val="0"/>
              <w:spacing w:before="59"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D66AF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trPr>
        <w:tc>
          <w:tcPr>
            <w:tcW w:w="677" w:type="dxa"/>
            <w:tcBorders>
              <w:left w:val="single" w:color="000000" w:sz="10" w:space="0"/>
              <w:bottom w:val="single" w:color="000000" w:sz="10" w:space="0"/>
              <w:right w:val="single" w:color="000000" w:sz="4" w:space="0"/>
            </w:tcBorders>
            <w:vAlign w:val="top"/>
          </w:tcPr>
          <w:p w14:paraId="0231E022">
            <w:pPr>
              <w:widowControl/>
              <w:kinsoku w:val="0"/>
              <w:autoSpaceDE w:val="0"/>
              <w:autoSpaceDN w:val="0"/>
              <w:adjustRightInd w:val="0"/>
              <w:snapToGrid w:val="0"/>
              <w:spacing w:line="370" w:lineRule="auto"/>
              <w:jc w:val="left"/>
              <w:textAlignment w:val="baseline"/>
              <w:rPr>
                <w:rFonts w:ascii="Arial" w:hAnsi="Arial" w:eastAsia="Arial" w:cs="Arial"/>
                <w:snapToGrid w:val="0"/>
                <w:color w:val="000000"/>
                <w:kern w:val="0"/>
                <w:sz w:val="21"/>
                <w:lang w:eastAsia="en-US"/>
              </w:rPr>
            </w:pPr>
          </w:p>
          <w:p w14:paraId="685C1A84">
            <w:pPr>
              <w:widowControl/>
              <w:kinsoku w:val="0"/>
              <w:autoSpaceDE w:val="0"/>
              <w:autoSpaceDN w:val="0"/>
              <w:adjustRightInd w:val="0"/>
              <w:snapToGrid w:val="0"/>
              <w:spacing w:before="51" w:line="185" w:lineRule="auto"/>
              <w:ind w:left="119"/>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5.</w:t>
            </w:r>
          </w:p>
        </w:tc>
        <w:tc>
          <w:tcPr>
            <w:tcW w:w="3502" w:type="dxa"/>
            <w:tcBorders>
              <w:left w:val="single" w:color="000000" w:sz="4" w:space="0"/>
              <w:bottom w:val="single" w:color="000000" w:sz="10" w:space="0"/>
              <w:right w:val="single" w:color="000000" w:sz="4" w:space="0"/>
            </w:tcBorders>
            <w:vAlign w:val="top"/>
          </w:tcPr>
          <w:p w14:paraId="1E9147DF">
            <w:pPr>
              <w:kinsoku w:val="0"/>
              <w:autoSpaceDE w:val="0"/>
              <w:autoSpaceDN w:val="0"/>
              <w:adjustRightInd w:val="0"/>
              <w:snapToGrid w:val="0"/>
              <w:spacing w:before="269" w:line="233" w:lineRule="auto"/>
              <w:ind w:left="100" w:right="44" w:firstLine="3"/>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消火栓、灭火器、灭火毯、消防沙箱或沙</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池等消防设施、器材应设置消防安全标志。</w:t>
            </w:r>
          </w:p>
        </w:tc>
        <w:tc>
          <w:tcPr>
            <w:tcW w:w="2218" w:type="dxa"/>
            <w:tcBorders>
              <w:left w:val="single" w:color="000000" w:sz="4" w:space="0"/>
              <w:bottom w:val="single" w:color="000000" w:sz="10" w:space="0"/>
              <w:right w:val="single" w:color="000000" w:sz="4" w:space="0"/>
            </w:tcBorders>
            <w:vAlign w:val="top"/>
          </w:tcPr>
          <w:p w14:paraId="2D68A3CE">
            <w:pPr>
              <w:kinsoku w:val="0"/>
              <w:autoSpaceDE w:val="0"/>
              <w:autoSpaceDN w:val="0"/>
              <w:adjustRightInd w:val="0"/>
              <w:snapToGrid w:val="0"/>
              <w:spacing w:before="150" w:line="219" w:lineRule="auto"/>
              <w:ind w:left="13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《汽车加油加气站消防安</w:t>
            </w:r>
          </w:p>
          <w:p w14:paraId="04CDE8C2">
            <w:pPr>
              <w:kinsoku w:val="0"/>
              <w:autoSpaceDE w:val="0"/>
              <w:autoSpaceDN w:val="0"/>
              <w:adjustRightInd w:val="0"/>
              <w:snapToGrid w:val="0"/>
              <w:spacing w:line="266" w:lineRule="exact"/>
              <w:ind w:left="167"/>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position w:val="1"/>
                <w:sz w:val="18"/>
                <w:szCs w:val="18"/>
                <w:lang w:val="en-US" w:eastAsia="en-US" w:bidi="ar-SA"/>
              </w:rPr>
              <w:t>全管理》</w:t>
            </w:r>
            <w:r>
              <w:rPr>
                <w:rFonts w:ascii="Times New Roman" w:hAnsi="Times New Roman" w:eastAsia="Times New Roman" w:cs="Times New Roman"/>
                <w:snapToGrid w:val="0"/>
                <w:color w:val="000000"/>
                <w:spacing w:val="-1"/>
                <w:kern w:val="0"/>
                <w:position w:val="1"/>
                <w:sz w:val="18"/>
                <w:szCs w:val="18"/>
                <w:lang w:val="en-US" w:eastAsia="en-US" w:bidi="ar-SA"/>
              </w:rPr>
              <w:t>XF/T3004-2020</w:t>
            </w:r>
          </w:p>
          <w:p w14:paraId="47655EBA">
            <w:pPr>
              <w:kinsoku w:val="0"/>
              <w:autoSpaceDE w:val="0"/>
              <w:autoSpaceDN w:val="0"/>
              <w:adjustRightInd w:val="0"/>
              <w:snapToGrid w:val="0"/>
              <w:spacing w:line="220" w:lineRule="auto"/>
              <w:ind w:left="70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7.3.2</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条</w:t>
            </w:r>
          </w:p>
        </w:tc>
        <w:tc>
          <w:tcPr>
            <w:tcW w:w="2088" w:type="dxa"/>
            <w:tcBorders>
              <w:left w:val="single" w:color="000000" w:sz="4" w:space="0"/>
              <w:bottom w:val="single" w:color="000000" w:sz="10" w:space="0"/>
              <w:right w:val="single" w:color="000000" w:sz="4" w:space="0"/>
            </w:tcBorders>
            <w:vAlign w:val="top"/>
          </w:tcPr>
          <w:p w14:paraId="5F17E26B">
            <w:pPr>
              <w:widowControl/>
              <w:kinsoku w:val="0"/>
              <w:autoSpaceDE w:val="0"/>
              <w:autoSpaceDN w:val="0"/>
              <w:adjustRightInd w:val="0"/>
              <w:snapToGrid w:val="0"/>
              <w:spacing w:line="329" w:lineRule="auto"/>
              <w:jc w:val="left"/>
              <w:textAlignment w:val="baseline"/>
              <w:rPr>
                <w:rFonts w:ascii="Arial" w:hAnsi="Arial" w:eastAsia="Arial" w:cs="Arial"/>
                <w:snapToGrid w:val="0"/>
                <w:color w:val="000000"/>
                <w:kern w:val="0"/>
                <w:sz w:val="21"/>
                <w:lang w:eastAsia="en-US"/>
              </w:rPr>
            </w:pPr>
          </w:p>
          <w:p w14:paraId="5FF6CD71">
            <w:pPr>
              <w:kinsoku w:val="0"/>
              <w:autoSpaceDE w:val="0"/>
              <w:autoSpaceDN w:val="0"/>
              <w:adjustRightInd w:val="0"/>
              <w:snapToGrid w:val="0"/>
              <w:spacing w:before="59" w:line="221" w:lineRule="auto"/>
              <w:ind w:left="11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均设置有消防标志。</w:t>
            </w:r>
          </w:p>
        </w:tc>
        <w:tc>
          <w:tcPr>
            <w:tcW w:w="675" w:type="dxa"/>
            <w:tcBorders>
              <w:left w:val="single" w:color="000000" w:sz="4" w:space="0"/>
              <w:bottom w:val="single" w:color="000000" w:sz="10" w:space="0"/>
              <w:right w:val="single" w:color="000000" w:sz="10" w:space="0"/>
            </w:tcBorders>
            <w:vAlign w:val="top"/>
          </w:tcPr>
          <w:p w14:paraId="36144E8A">
            <w:pPr>
              <w:widowControl/>
              <w:kinsoku w:val="0"/>
              <w:autoSpaceDE w:val="0"/>
              <w:autoSpaceDN w:val="0"/>
              <w:adjustRightInd w:val="0"/>
              <w:snapToGrid w:val="0"/>
              <w:spacing w:line="329" w:lineRule="auto"/>
              <w:jc w:val="left"/>
              <w:textAlignment w:val="baseline"/>
              <w:rPr>
                <w:rFonts w:ascii="Arial" w:hAnsi="Arial" w:eastAsia="Arial" w:cs="Arial"/>
                <w:snapToGrid w:val="0"/>
                <w:color w:val="000000"/>
                <w:kern w:val="0"/>
                <w:sz w:val="21"/>
                <w:lang w:eastAsia="en-US"/>
              </w:rPr>
            </w:pPr>
          </w:p>
          <w:p w14:paraId="16A0CD1F">
            <w:pPr>
              <w:kinsoku w:val="0"/>
              <w:autoSpaceDE w:val="0"/>
              <w:autoSpaceDN w:val="0"/>
              <w:adjustRightInd w:val="0"/>
              <w:snapToGrid w:val="0"/>
              <w:spacing w:before="59"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FCE30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2" w:hRule="atLeast"/>
        </w:trPr>
        <w:tc>
          <w:tcPr>
            <w:tcW w:w="677" w:type="dxa"/>
            <w:tcBorders>
              <w:top w:val="single" w:color="000000" w:sz="10" w:space="0"/>
              <w:left w:val="single" w:color="000000" w:sz="10" w:space="0"/>
              <w:bottom w:val="single" w:color="000000" w:sz="2" w:space="0"/>
            </w:tcBorders>
            <w:vAlign w:val="top"/>
          </w:tcPr>
          <w:p w14:paraId="1E97B445">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1AB5D969">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3C8FF143">
            <w:pPr>
              <w:widowControl/>
              <w:kinsoku w:val="0"/>
              <w:autoSpaceDE w:val="0"/>
              <w:autoSpaceDN w:val="0"/>
              <w:adjustRightInd w:val="0"/>
              <w:snapToGrid w:val="0"/>
              <w:spacing w:before="51" w:line="188" w:lineRule="auto"/>
              <w:ind w:left="118"/>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6.</w:t>
            </w:r>
          </w:p>
        </w:tc>
        <w:tc>
          <w:tcPr>
            <w:tcW w:w="3502" w:type="dxa"/>
            <w:tcBorders>
              <w:top w:val="single" w:color="000000" w:sz="10" w:space="0"/>
              <w:bottom w:val="single" w:color="000000" w:sz="2" w:space="0"/>
            </w:tcBorders>
            <w:vAlign w:val="top"/>
          </w:tcPr>
          <w:p w14:paraId="31C92938">
            <w:pPr>
              <w:kinsoku w:val="0"/>
              <w:autoSpaceDE w:val="0"/>
              <w:autoSpaceDN w:val="0"/>
              <w:adjustRightInd w:val="0"/>
              <w:snapToGrid w:val="0"/>
              <w:spacing w:before="41" w:line="236" w:lineRule="auto"/>
              <w:ind w:left="100" w:right="103" w:firstLine="2"/>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灭火器、灭火毯应放置于醒目且便于取用</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位置。灭火器应保持标识清晰，各种部件</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不应有严重损伤、变形、锈蚀等缺陷，存</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放地点及环境应符合要求，并定期进行检</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查、维保。</w:t>
            </w:r>
          </w:p>
        </w:tc>
        <w:tc>
          <w:tcPr>
            <w:tcW w:w="2218" w:type="dxa"/>
            <w:tcBorders>
              <w:top w:val="single" w:color="000000" w:sz="10" w:space="0"/>
              <w:bottom w:val="single" w:color="000000" w:sz="2" w:space="0"/>
            </w:tcBorders>
            <w:vAlign w:val="top"/>
          </w:tcPr>
          <w:p w14:paraId="2E8D7B17">
            <w:pPr>
              <w:kinsoku w:val="0"/>
              <w:autoSpaceDE w:val="0"/>
              <w:autoSpaceDN w:val="0"/>
              <w:adjustRightInd w:val="0"/>
              <w:snapToGrid w:val="0"/>
              <w:spacing w:before="282" w:line="219" w:lineRule="auto"/>
              <w:ind w:left="13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《汽车加油加气站消防安</w:t>
            </w:r>
          </w:p>
          <w:p w14:paraId="364724DF">
            <w:pPr>
              <w:kinsoku w:val="0"/>
              <w:autoSpaceDE w:val="0"/>
              <w:autoSpaceDN w:val="0"/>
              <w:adjustRightInd w:val="0"/>
              <w:snapToGrid w:val="0"/>
              <w:spacing w:line="266" w:lineRule="exact"/>
              <w:ind w:left="167"/>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position w:val="1"/>
                <w:sz w:val="18"/>
                <w:szCs w:val="18"/>
                <w:lang w:val="en-US" w:eastAsia="en-US" w:bidi="ar-SA"/>
              </w:rPr>
              <w:t>全管理》</w:t>
            </w:r>
            <w:r>
              <w:rPr>
                <w:rFonts w:ascii="Times New Roman" w:hAnsi="Times New Roman" w:eastAsia="Times New Roman" w:cs="Times New Roman"/>
                <w:snapToGrid w:val="0"/>
                <w:color w:val="000000"/>
                <w:spacing w:val="-1"/>
                <w:kern w:val="0"/>
                <w:position w:val="1"/>
                <w:sz w:val="18"/>
                <w:szCs w:val="18"/>
                <w:lang w:val="en-US" w:eastAsia="en-US" w:bidi="ar-SA"/>
              </w:rPr>
              <w:t>XF/T3004-2020</w:t>
            </w:r>
          </w:p>
          <w:p w14:paraId="3AAAEDC3">
            <w:pPr>
              <w:kinsoku w:val="0"/>
              <w:autoSpaceDE w:val="0"/>
              <w:autoSpaceDN w:val="0"/>
              <w:adjustRightInd w:val="0"/>
              <w:snapToGrid w:val="0"/>
              <w:spacing w:line="220" w:lineRule="auto"/>
              <w:ind w:left="70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7.3.3</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条</w:t>
            </w:r>
          </w:p>
        </w:tc>
        <w:tc>
          <w:tcPr>
            <w:tcW w:w="2088" w:type="dxa"/>
            <w:tcBorders>
              <w:top w:val="single" w:color="000000" w:sz="10" w:space="0"/>
              <w:bottom w:val="single" w:color="000000" w:sz="2" w:space="0"/>
            </w:tcBorders>
            <w:vAlign w:val="top"/>
          </w:tcPr>
          <w:p w14:paraId="664021A9">
            <w:pPr>
              <w:widowControl/>
              <w:kinsoku w:val="0"/>
              <w:autoSpaceDE w:val="0"/>
              <w:autoSpaceDN w:val="0"/>
              <w:adjustRightInd w:val="0"/>
              <w:snapToGrid w:val="0"/>
              <w:spacing w:line="341" w:lineRule="auto"/>
              <w:jc w:val="left"/>
              <w:textAlignment w:val="baseline"/>
              <w:rPr>
                <w:rFonts w:ascii="Arial" w:hAnsi="Arial" w:eastAsia="Arial" w:cs="Arial"/>
                <w:snapToGrid w:val="0"/>
                <w:color w:val="000000"/>
                <w:kern w:val="0"/>
                <w:sz w:val="21"/>
                <w:lang w:eastAsia="en-US"/>
              </w:rPr>
            </w:pPr>
          </w:p>
          <w:p w14:paraId="32016C2A">
            <w:pPr>
              <w:kinsoku w:val="0"/>
              <w:autoSpaceDE w:val="0"/>
              <w:autoSpaceDN w:val="0"/>
              <w:adjustRightInd w:val="0"/>
              <w:snapToGrid w:val="0"/>
              <w:spacing w:before="59" w:line="234" w:lineRule="auto"/>
              <w:ind w:left="117" w:right="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均放置于醒目且便于取</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3"/>
                <w:kern w:val="0"/>
                <w:sz w:val="18"/>
                <w:szCs w:val="18"/>
                <w:lang w:val="en-US" w:eastAsia="en-US" w:bidi="ar-SA"/>
              </w:rPr>
              <w:t>用位置。</w:t>
            </w:r>
          </w:p>
        </w:tc>
        <w:tc>
          <w:tcPr>
            <w:tcW w:w="675" w:type="dxa"/>
            <w:tcBorders>
              <w:top w:val="single" w:color="000000" w:sz="10" w:space="0"/>
              <w:bottom w:val="single" w:color="000000" w:sz="2" w:space="0"/>
              <w:right w:val="single" w:color="000000" w:sz="10" w:space="0"/>
            </w:tcBorders>
            <w:vAlign w:val="top"/>
          </w:tcPr>
          <w:p w14:paraId="47100D76">
            <w:pPr>
              <w:widowControl/>
              <w:kinsoku w:val="0"/>
              <w:autoSpaceDE w:val="0"/>
              <w:autoSpaceDN w:val="0"/>
              <w:adjustRightInd w:val="0"/>
              <w:snapToGrid w:val="0"/>
              <w:spacing w:line="461" w:lineRule="auto"/>
              <w:jc w:val="left"/>
              <w:textAlignment w:val="baseline"/>
              <w:rPr>
                <w:rFonts w:ascii="Arial" w:hAnsi="Arial" w:eastAsia="Arial" w:cs="Arial"/>
                <w:snapToGrid w:val="0"/>
                <w:color w:val="000000"/>
                <w:kern w:val="0"/>
                <w:sz w:val="21"/>
                <w:lang w:eastAsia="en-US"/>
              </w:rPr>
            </w:pPr>
          </w:p>
          <w:p w14:paraId="0926FC6C">
            <w:pPr>
              <w:kinsoku w:val="0"/>
              <w:autoSpaceDE w:val="0"/>
              <w:autoSpaceDN w:val="0"/>
              <w:adjustRightInd w:val="0"/>
              <w:snapToGrid w:val="0"/>
              <w:spacing w:before="58"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0AAE2B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7" w:hRule="atLeast"/>
        </w:trPr>
        <w:tc>
          <w:tcPr>
            <w:tcW w:w="677" w:type="dxa"/>
            <w:tcBorders>
              <w:top w:val="single" w:color="000000" w:sz="2" w:space="0"/>
              <w:left w:val="single" w:color="000000" w:sz="10" w:space="0"/>
              <w:bottom w:val="single" w:color="000000" w:sz="2" w:space="0"/>
            </w:tcBorders>
            <w:vAlign w:val="top"/>
          </w:tcPr>
          <w:p w14:paraId="555E28B4">
            <w:pPr>
              <w:widowControl/>
              <w:kinsoku w:val="0"/>
              <w:autoSpaceDE w:val="0"/>
              <w:autoSpaceDN w:val="0"/>
              <w:adjustRightInd w:val="0"/>
              <w:snapToGrid w:val="0"/>
              <w:spacing w:line="399" w:lineRule="auto"/>
              <w:jc w:val="left"/>
              <w:textAlignment w:val="baseline"/>
              <w:rPr>
                <w:rFonts w:ascii="Arial" w:hAnsi="Arial" w:eastAsia="Arial" w:cs="Arial"/>
                <w:snapToGrid w:val="0"/>
                <w:color w:val="000000"/>
                <w:kern w:val="0"/>
                <w:sz w:val="21"/>
                <w:lang w:eastAsia="en-US"/>
              </w:rPr>
            </w:pPr>
          </w:p>
          <w:p w14:paraId="5FE6A8DC">
            <w:pPr>
              <w:widowControl/>
              <w:kinsoku w:val="0"/>
              <w:autoSpaceDE w:val="0"/>
              <w:autoSpaceDN w:val="0"/>
              <w:adjustRightInd w:val="0"/>
              <w:snapToGrid w:val="0"/>
              <w:spacing w:before="51" w:line="185" w:lineRule="auto"/>
              <w:ind w:left="11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3"/>
                <w:kern w:val="0"/>
                <w:sz w:val="18"/>
                <w:szCs w:val="18"/>
                <w:lang w:eastAsia="en-US"/>
              </w:rPr>
              <w:t>7.</w:t>
            </w:r>
          </w:p>
        </w:tc>
        <w:tc>
          <w:tcPr>
            <w:tcW w:w="3502" w:type="dxa"/>
            <w:tcBorders>
              <w:top w:val="single" w:color="000000" w:sz="2" w:space="0"/>
              <w:bottom w:val="single" w:color="000000" w:sz="2" w:space="0"/>
            </w:tcBorders>
            <w:vAlign w:val="top"/>
          </w:tcPr>
          <w:p w14:paraId="3CE813D1">
            <w:pPr>
              <w:kinsoku w:val="0"/>
              <w:autoSpaceDE w:val="0"/>
              <w:autoSpaceDN w:val="0"/>
              <w:adjustRightInd w:val="0"/>
              <w:snapToGrid w:val="0"/>
              <w:spacing w:before="60" w:line="235" w:lineRule="auto"/>
              <w:ind w:left="100" w:right="103" w:firstLine="4"/>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消防沙箱或沙池内应保持沙量充足，不应</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存放杂物，沙子应保持干燥不结块，不含</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树叶、石子等杂质，附近应配置沙铲、沙</w:t>
            </w:r>
            <w:r>
              <w:rPr>
                <w:rFonts w:ascii="宋体" w:hAnsi="宋体" w:eastAsia="宋体" w:cs="宋体"/>
                <w:snapToGrid w:val="0"/>
                <w:color w:val="000000"/>
                <w:spacing w:val="11"/>
                <w:kern w:val="0"/>
                <w:sz w:val="18"/>
                <w:szCs w:val="18"/>
                <w:lang w:val="en-US" w:eastAsia="en-US" w:bidi="ar-SA"/>
              </w:rPr>
              <w:t xml:space="preserve"> </w:t>
            </w:r>
            <w:r>
              <w:rPr>
                <w:rFonts w:ascii="宋体" w:hAnsi="宋体" w:eastAsia="宋体" w:cs="宋体"/>
                <w:snapToGrid w:val="0"/>
                <w:color w:val="000000"/>
                <w:spacing w:val="-1"/>
                <w:kern w:val="0"/>
                <w:sz w:val="18"/>
                <w:szCs w:val="18"/>
                <w:lang w:val="en-US" w:eastAsia="en-US" w:bidi="ar-SA"/>
              </w:rPr>
              <w:t>桶、推车等灭火和应急处置辅助器材。</w:t>
            </w:r>
          </w:p>
        </w:tc>
        <w:tc>
          <w:tcPr>
            <w:tcW w:w="2218" w:type="dxa"/>
            <w:tcBorders>
              <w:top w:val="single" w:color="000000" w:sz="2" w:space="0"/>
              <w:bottom w:val="single" w:color="000000" w:sz="2" w:space="0"/>
            </w:tcBorders>
            <w:vAlign w:val="top"/>
          </w:tcPr>
          <w:p w14:paraId="1145C10A">
            <w:pPr>
              <w:kinsoku w:val="0"/>
              <w:autoSpaceDE w:val="0"/>
              <w:autoSpaceDN w:val="0"/>
              <w:adjustRightInd w:val="0"/>
              <w:snapToGrid w:val="0"/>
              <w:spacing w:before="179" w:line="219" w:lineRule="auto"/>
              <w:ind w:left="13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《汽车加油加气站消防安</w:t>
            </w:r>
          </w:p>
          <w:p w14:paraId="630E8909">
            <w:pPr>
              <w:kinsoku w:val="0"/>
              <w:autoSpaceDE w:val="0"/>
              <w:autoSpaceDN w:val="0"/>
              <w:adjustRightInd w:val="0"/>
              <w:snapToGrid w:val="0"/>
              <w:spacing w:line="266" w:lineRule="exact"/>
              <w:ind w:left="167"/>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position w:val="1"/>
                <w:sz w:val="18"/>
                <w:szCs w:val="18"/>
                <w:lang w:val="en-US" w:eastAsia="en-US" w:bidi="ar-SA"/>
              </w:rPr>
              <w:t>全管理》</w:t>
            </w:r>
            <w:r>
              <w:rPr>
                <w:rFonts w:ascii="Times New Roman" w:hAnsi="Times New Roman" w:eastAsia="Times New Roman" w:cs="Times New Roman"/>
                <w:snapToGrid w:val="0"/>
                <w:color w:val="000000"/>
                <w:spacing w:val="-1"/>
                <w:kern w:val="0"/>
                <w:position w:val="1"/>
                <w:sz w:val="18"/>
                <w:szCs w:val="18"/>
                <w:lang w:val="en-US" w:eastAsia="en-US" w:bidi="ar-SA"/>
              </w:rPr>
              <w:t>XF/T3004-2020</w:t>
            </w:r>
          </w:p>
          <w:p w14:paraId="61F304DA">
            <w:pPr>
              <w:kinsoku w:val="0"/>
              <w:autoSpaceDE w:val="0"/>
              <w:autoSpaceDN w:val="0"/>
              <w:adjustRightInd w:val="0"/>
              <w:snapToGrid w:val="0"/>
              <w:spacing w:line="220" w:lineRule="auto"/>
              <w:ind w:left="70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第</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2"/>
                <w:kern w:val="0"/>
                <w:sz w:val="18"/>
                <w:szCs w:val="18"/>
                <w:lang w:val="en-US" w:eastAsia="en-US" w:bidi="ar-SA"/>
              </w:rPr>
              <w:t>7.3.4</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条</w:t>
            </w:r>
          </w:p>
        </w:tc>
        <w:tc>
          <w:tcPr>
            <w:tcW w:w="2088" w:type="dxa"/>
            <w:tcBorders>
              <w:top w:val="single" w:color="000000" w:sz="2" w:space="0"/>
              <w:bottom w:val="single" w:color="000000" w:sz="2" w:space="0"/>
            </w:tcBorders>
            <w:vAlign w:val="top"/>
          </w:tcPr>
          <w:p w14:paraId="2A2A9720">
            <w:pPr>
              <w:kinsoku w:val="0"/>
              <w:autoSpaceDE w:val="0"/>
              <w:autoSpaceDN w:val="0"/>
              <w:adjustRightInd w:val="0"/>
              <w:snapToGrid w:val="0"/>
              <w:spacing w:before="299" w:line="233" w:lineRule="auto"/>
              <w:ind w:left="117" w:right="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沙池内沙子足量，且保</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护完好。</w:t>
            </w:r>
          </w:p>
        </w:tc>
        <w:tc>
          <w:tcPr>
            <w:tcW w:w="675" w:type="dxa"/>
            <w:tcBorders>
              <w:top w:val="single" w:color="000000" w:sz="2" w:space="0"/>
              <w:bottom w:val="single" w:color="000000" w:sz="2" w:space="0"/>
              <w:right w:val="single" w:color="000000" w:sz="10" w:space="0"/>
            </w:tcBorders>
            <w:vAlign w:val="top"/>
          </w:tcPr>
          <w:p w14:paraId="5FCDEB09">
            <w:pPr>
              <w:widowControl/>
              <w:kinsoku w:val="0"/>
              <w:autoSpaceDE w:val="0"/>
              <w:autoSpaceDN w:val="0"/>
              <w:adjustRightInd w:val="0"/>
              <w:snapToGrid w:val="0"/>
              <w:spacing w:line="358" w:lineRule="auto"/>
              <w:jc w:val="left"/>
              <w:textAlignment w:val="baseline"/>
              <w:rPr>
                <w:rFonts w:ascii="Arial" w:hAnsi="Arial" w:eastAsia="Arial" w:cs="Arial"/>
                <w:snapToGrid w:val="0"/>
                <w:color w:val="000000"/>
                <w:kern w:val="0"/>
                <w:sz w:val="21"/>
                <w:lang w:eastAsia="en-US"/>
              </w:rPr>
            </w:pPr>
          </w:p>
          <w:p w14:paraId="6D10B35D">
            <w:pPr>
              <w:kinsoku w:val="0"/>
              <w:autoSpaceDE w:val="0"/>
              <w:autoSpaceDN w:val="0"/>
              <w:adjustRightInd w:val="0"/>
              <w:snapToGrid w:val="0"/>
              <w:spacing w:before="59"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662354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4" w:hRule="atLeast"/>
        </w:trPr>
        <w:tc>
          <w:tcPr>
            <w:tcW w:w="677" w:type="dxa"/>
            <w:tcBorders>
              <w:top w:val="single" w:color="000000" w:sz="2" w:space="0"/>
              <w:left w:val="single" w:color="000000" w:sz="10" w:space="0"/>
              <w:bottom w:val="single" w:color="000000" w:sz="2" w:space="0"/>
            </w:tcBorders>
            <w:vAlign w:val="top"/>
          </w:tcPr>
          <w:p w14:paraId="721F5265">
            <w:pPr>
              <w:widowControl/>
              <w:kinsoku w:val="0"/>
              <w:autoSpaceDE w:val="0"/>
              <w:autoSpaceDN w:val="0"/>
              <w:adjustRightInd w:val="0"/>
              <w:snapToGrid w:val="0"/>
              <w:spacing w:line="429" w:lineRule="auto"/>
              <w:jc w:val="left"/>
              <w:textAlignment w:val="baseline"/>
              <w:rPr>
                <w:rFonts w:ascii="Arial" w:hAnsi="Arial" w:eastAsia="Arial" w:cs="Arial"/>
                <w:snapToGrid w:val="0"/>
                <w:color w:val="000000"/>
                <w:kern w:val="0"/>
                <w:sz w:val="21"/>
                <w:lang w:eastAsia="en-US"/>
              </w:rPr>
            </w:pPr>
          </w:p>
          <w:p w14:paraId="2CE84605">
            <w:pPr>
              <w:widowControl/>
              <w:kinsoku w:val="0"/>
              <w:autoSpaceDE w:val="0"/>
              <w:autoSpaceDN w:val="0"/>
              <w:adjustRightInd w:val="0"/>
              <w:snapToGrid w:val="0"/>
              <w:spacing w:before="52" w:line="188" w:lineRule="auto"/>
              <w:ind w:left="121"/>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5"/>
                <w:kern w:val="0"/>
                <w:sz w:val="18"/>
                <w:szCs w:val="18"/>
                <w:lang w:eastAsia="en-US"/>
              </w:rPr>
              <w:t>8.</w:t>
            </w:r>
          </w:p>
        </w:tc>
        <w:tc>
          <w:tcPr>
            <w:tcW w:w="3502" w:type="dxa"/>
            <w:tcBorders>
              <w:top w:val="single" w:color="000000" w:sz="2" w:space="0"/>
              <w:bottom w:val="single" w:color="000000" w:sz="2" w:space="0"/>
            </w:tcBorders>
            <w:vAlign w:val="top"/>
          </w:tcPr>
          <w:p w14:paraId="4389ABF1">
            <w:pPr>
              <w:kinsoku w:val="0"/>
              <w:autoSpaceDE w:val="0"/>
              <w:autoSpaceDN w:val="0"/>
              <w:adjustRightInd w:val="0"/>
              <w:snapToGrid w:val="0"/>
              <w:spacing w:before="213" w:line="238" w:lineRule="auto"/>
              <w:ind w:left="99" w:firstLine="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加油岛、加气岛的罩棚支柱醒目位置应设</w:t>
            </w:r>
            <w:r>
              <w:rPr>
                <w:rFonts w:ascii="宋体" w:hAnsi="宋体" w:eastAsia="宋体" w:cs="宋体"/>
                <w:snapToGrid w:val="0"/>
                <w:color w:val="000000"/>
                <w:spacing w:val="5"/>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置“严禁烟火</w:t>
            </w:r>
            <w:r>
              <w:rPr>
                <w:rFonts w:ascii="宋体" w:hAnsi="宋体" w:eastAsia="宋体" w:cs="宋体"/>
                <w:snapToGrid w:val="0"/>
                <w:color w:val="000000"/>
                <w:spacing w:val="-52"/>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”“禁打手机</w:t>
            </w:r>
            <w:r>
              <w:rPr>
                <w:rFonts w:ascii="宋体" w:hAnsi="宋体" w:eastAsia="宋体" w:cs="宋体"/>
                <w:snapToGrid w:val="0"/>
                <w:color w:val="000000"/>
                <w:spacing w:val="-66"/>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”“停车熄火</w:t>
            </w:r>
            <w:r>
              <w:rPr>
                <w:rFonts w:ascii="宋体" w:hAnsi="宋体" w:eastAsia="宋体" w:cs="宋体"/>
                <w:snapToGrid w:val="0"/>
                <w:color w:val="000000"/>
                <w:spacing w:val="-67"/>
                <w:kern w:val="0"/>
                <w:sz w:val="18"/>
                <w:szCs w:val="18"/>
                <w:lang w:val="en-US" w:eastAsia="en-US" w:bidi="ar-SA"/>
              </w:rPr>
              <w:t xml:space="preserve"> </w:t>
            </w:r>
            <w:r>
              <w:rPr>
                <w:rFonts w:ascii="宋体" w:hAnsi="宋体" w:eastAsia="宋体" w:cs="宋体"/>
                <w:snapToGrid w:val="0"/>
                <w:color w:val="000000"/>
                <w:spacing w:val="-6"/>
                <w:kern w:val="0"/>
                <w:sz w:val="18"/>
                <w:szCs w:val="18"/>
                <w:lang w:val="en-US" w:eastAsia="en-US" w:bidi="ar-SA"/>
              </w:rPr>
              <w:t>”</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标识。</w:t>
            </w:r>
          </w:p>
        </w:tc>
        <w:tc>
          <w:tcPr>
            <w:tcW w:w="2218" w:type="dxa"/>
            <w:tcBorders>
              <w:top w:val="single" w:color="000000" w:sz="2" w:space="0"/>
              <w:bottom w:val="single" w:color="000000" w:sz="2" w:space="0"/>
            </w:tcBorders>
            <w:vAlign w:val="top"/>
          </w:tcPr>
          <w:p w14:paraId="6AC765FE">
            <w:pPr>
              <w:kinsoku w:val="0"/>
              <w:autoSpaceDE w:val="0"/>
              <w:autoSpaceDN w:val="0"/>
              <w:adjustRightInd w:val="0"/>
              <w:snapToGrid w:val="0"/>
              <w:spacing w:before="214" w:line="217" w:lineRule="auto"/>
              <w:ind w:left="13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《汽车加油加气站消防安</w:t>
            </w:r>
          </w:p>
          <w:p w14:paraId="3862B6F4">
            <w:pPr>
              <w:kinsoku w:val="0"/>
              <w:autoSpaceDE w:val="0"/>
              <w:autoSpaceDN w:val="0"/>
              <w:adjustRightInd w:val="0"/>
              <w:snapToGrid w:val="0"/>
              <w:spacing w:line="268" w:lineRule="exact"/>
              <w:ind w:left="167"/>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position w:val="2"/>
                <w:sz w:val="18"/>
                <w:szCs w:val="18"/>
                <w:lang w:val="en-US" w:eastAsia="en-US" w:bidi="ar-SA"/>
              </w:rPr>
              <w:t>全管理》</w:t>
            </w:r>
            <w:r>
              <w:rPr>
                <w:rFonts w:ascii="Times New Roman" w:hAnsi="Times New Roman" w:eastAsia="Times New Roman" w:cs="Times New Roman"/>
                <w:snapToGrid w:val="0"/>
                <w:color w:val="000000"/>
                <w:spacing w:val="-1"/>
                <w:kern w:val="0"/>
                <w:position w:val="2"/>
                <w:sz w:val="18"/>
                <w:szCs w:val="18"/>
                <w:lang w:val="en-US" w:eastAsia="en-US" w:bidi="ar-SA"/>
              </w:rPr>
              <w:t>XF/T3004-2020</w:t>
            </w:r>
          </w:p>
          <w:p w14:paraId="5E312164">
            <w:pPr>
              <w:kinsoku w:val="0"/>
              <w:autoSpaceDE w:val="0"/>
              <w:autoSpaceDN w:val="0"/>
              <w:adjustRightInd w:val="0"/>
              <w:snapToGrid w:val="0"/>
              <w:spacing w:line="220" w:lineRule="auto"/>
              <w:ind w:left="774"/>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第</w:t>
            </w:r>
            <w:r>
              <w:rPr>
                <w:rFonts w:ascii="宋体" w:hAnsi="宋体" w:eastAsia="宋体" w:cs="宋体"/>
                <w:snapToGrid w:val="0"/>
                <w:color w:val="000000"/>
                <w:spacing w:val="-31"/>
                <w:kern w:val="0"/>
                <w:sz w:val="18"/>
                <w:szCs w:val="18"/>
                <w:lang w:val="en-US" w:eastAsia="en-US" w:bidi="ar-SA"/>
              </w:rPr>
              <w:t xml:space="preserve"> </w:t>
            </w:r>
            <w:r>
              <w:rPr>
                <w:rFonts w:ascii="Times New Roman" w:hAnsi="Times New Roman" w:eastAsia="Times New Roman" w:cs="Times New Roman"/>
                <w:snapToGrid w:val="0"/>
                <w:color w:val="000000"/>
                <w:spacing w:val="-4"/>
                <w:kern w:val="0"/>
                <w:sz w:val="18"/>
                <w:szCs w:val="18"/>
                <w:lang w:val="en-US" w:eastAsia="en-US" w:bidi="ar-SA"/>
              </w:rPr>
              <w:t>8.2</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条</w:t>
            </w:r>
          </w:p>
        </w:tc>
        <w:tc>
          <w:tcPr>
            <w:tcW w:w="2088" w:type="dxa"/>
            <w:tcBorders>
              <w:top w:val="single" w:color="000000" w:sz="2" w:space="0"/>
              <w:bottom w:val="single" w:color="000000" w:sz="2" w:space="0"/>
            </w:tcBorders>
            <w:vAlign w:val="top"/>
          </w:tcPr>
          <w:p w14:paraId="5060CAE7">
            <w:pPr>
              <w:kinsoku w:val="0"/>
              <w:autoSpaceDE w:val="0"/>
              <w:autoSpaceDN w:val="0"/>
              <w:adjustRightInd w:val="0"/>
              <w:snapToGrid w:val="0"/>
              <w:spacing w:before="216" w:line="237" w:lineRule="auto"/>
              <w:ind w:left="116" w:right="91"/>
              <w:jc w:val="both"/>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罩棚内立柱设有“严禁</w:t>
            </w:r>
            <w:r>
              <w:rPr>
                <w:rFonts w:ascii="宋体" w:hAnsi="宋体" w:eastAsia="宋体" w:cs="宋体"/>
                <w:snapToGrid w:val="0"/>
                <w:color w:val="000000"/>
                <w:spacing w:val="8"/>
                <w:kern w:val="0"/>
                <w:sz w:val="18"/>
                <w:szCs w:val="18"/>
                <w:lang w:val="en-US" w:eastAsia="en-US" w:bidi="ar-SA"/>
              </w:rPr>
              <w:t xml:space="preserve"> </w:t>
            </w:r>
            <w:r>
              <w:rPr>
                <w:rFonts w:ascii="宋体" w:hAnsi="宋体" w:eastAsia="宋体" w:cs="宋体"/>
                <w:snapToGrid w:val="0"/>
                <w:color w:val="000000"/>
                <w:spacing w:val="-15"/>
                <w:kern w:val="0"/>
                <w:sz w:val="18"/>
                <w:szCs w:val="18"/>
                <w:lang w:val="en-US" w:eastAsia="en-US" w:bidi="ar-SA"/>
              </w:rPr>
              <w:t>烟火</w:t>
            </w:r>
            <w:r>
              <w:rPr>
                <w:rFonts w:ascii="宋体" w:hAnsi="宋体" w:eastAsia="宋体" w:cs="宋体"/>
                <w:snapToGrid w:val="0"/>
                <w:color w:val="000000"/>
                <w:spacing w:val="-61"/>
                <w:kern w:val="0"/>
                <w:sz w:val="18"/>
                <w:szCs w:val="18"/>
                <w:lang w:val="en-US" w:eastAsia="en-US" w:bidi="ar-SA"/>
              </w:rPr>
              <w:t xml:space="preserve"> </w:t>
            </w:r>
            <w:r>
              <w:rPr>
                <w:rFonts w:ascii="宋体" w:hAnsi="宋体" w:eastAsia="宋体" w:cs="宋体"/>
                <w:snapToGrid w:val="0"/>
                <w:color w:val="000000"/>
                <w:spacing w:val="-15"/>
                <w:kern w:val="0"/>
                <w:sz w:val="18"/>
                <w:szCs w:val="18"/>
                <w:lang w:val="en-US" w:eastAsia="en-US" w:bidi="ar-SA"/>
              </w:rPr>
              <w:t>”“禁打手机</w:t>
            </w:r>
            <w:r>
              <w:rPr>
                <w:rFonts w:ascii="宋体" w:hAnsi="宋体" w:eastAsia="宋体" w:cs="宋体"/>
                <w:snapToGrid w:val="0"/>
                <w:color w:val="000000"/>
                <w:spacing w:val="-66"/>
                <w:kern w:val="0"/>
                <w:sz w:val="18"/>
                <w:szCs w:val="18"/>
                <w:lang w:val="en-US" w:eastAsia="en-US" w:bidi="ar-SA"/>
              </w:rPr>
              <w:t xml:space="preserve"> </w:t>
            </w:r>
            <w:r>
              <w:rPr>
                <w:rFonts w:ascii="宋体" w:hAnsi="宋体" w:eastAsia="宋体" w:cs="宋体"/>
                <w:snapToGrid w:val="0"/>
                <w:color w:val="000000"/>
                <w:spacing w:val="-15"/>
                <w:kern w:val="0"/>
                <w:sz w:val="18"/>
                <w:szCs w:val="18"/>
                <w:lang w:val="en-US" w:eastAsia="en-US" w:bidi="ar-SA"/>
              </w:rPr>
              <w:t>”“停</w:t>
            </w:r>
            <w:r>
              <w:rPr>
                <w:rFonts w:ascii="宋体" w:hAnsi="宋体" w:eastAsia="宋体" w:cs="宋体"/>
                <w:snapToGrid w:val="0"/>
                <w:color w:val="000000"/>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车熄火</w:t>
            </w:r>
            <w:r>
              <w:rPr>
                <w:rFonts w:ascii="宋体" w:hAnsi="宋体" w:eastAsia="宋体" w:cs="宋体"/>
                <w:snapToGrid w:val="0"/>
                <w:color w:val="000000"/>
                <w:spacing w:val="-67"/>
                <w:kern w:val="0"/>
                <w:sz w:val="18"/>
                <w:szCs w:val="18"/>
                <w:lang w:val="en-US" w:eastAsia="en-US" w:bidi="ar-SA"/>
              </w:rPr>
              <w:t xml:space="preserve"> </w:t>
            </w:r>
            <w:r>
              <w:rPr>
                <w:rFonts w:ascii="宋体" w:hAnsi="宋体" w:eastAsia="宋体" w:cs="宋体"/>
                <w:snapToGrid w:val="0"/>
                <w:color w:val="000000"/>
                <w:spacing w:val="-4"/>
                <w:kern w:val="0"/>
                <w:sz w:val="18"/>
                <w:szCs w:val="18"/>
                <w:lang w:val="en-US" w:eastAsia="en-US" w:bidi="ar-SA"/>
              </w:rPr>
              <w:t>”等标志。</w:t>
            </w:r>
          </w:p>
        </w:tc>
        <w:tc>
          <w:tcPr>
            <w:tcW w:w="675" w:type="dxa"/>
            <w:tcBorders>
              <w:top w:val="single" w:color="000000" w:sz="2" w:space="0"/>
              <w:bottom w:val="single" w:color="000000" w:sz="2" w:space="0"/>
              <w:right w:val="single" w:color="000000" w:sz="10" w:space="0"/>
            </w:tcBorders>
            <w:vAlign w:val="top"/>
          </w:tcPr>
          <w:p w14:paraId="25D45500">
            <w:pPr>
              <w:widowControl/>
              <w:kinsoku w:val="0"/>
              <w:autoSpaceDE w:val="0"/>
              <w:autoSpaceDN w:val="0"/>
              <w:adjustRightInd w:val="0"/>
              <w:snapToGrid w:val="0"/>
              <w:spacing w:line="393" w:lineRule="auto"/>
              <w:jc w:val="left"/>
              <w:textAlignment w:val="baseline"/>
              <w:rPr>
                <w:rFonts w:ascii="Arial" w:hAnsi="Arial" w:eastAsia="Arial" w:cs="Arial"/>
                <w:snapToGrid w:val="0"/>
                <w:color w:val="000000"/>
                <w:kern w:val="0"/>
                <w:sz w:val="21"/>
                <w:lang w:eastAsia="en-US"/>
              </w:rPr>
            </w:pPr>
          </w:p>
          <w:p w14:paraId="52A896E4">
            <w:pPr>
              <w:kinsoku w:val="0"/>
              <w:autoSpaceDE w:val="0"/>
              <w:autoSpaceDN w:val="0"/>
              <w:adjustRightInd w:val="0"/>
              <w:snapToGrid w:val="0"/>
              <w:spacing w:before="59"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r w14:paraId="11AD2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1" w:hRule="atLeast"/>
        </w:trPr>
        <w:tc>
          <w:tcPr>
            <w:tcW w:w="677" w:type="dxa"/>
            <w:tcBorders>
              <w:top w:val="single" w:color="000000" w:sz="2" w:space="0"/>
              <w:left w:val="single" w:color="000000" w:sz="10" w:space="0"/>
              <w:bottom w:val="single" w:color="000000" w:sz="10" w:space="0"/>
            </w:tcBorders>
            <w:vAlign w:val="top"/>
          </w:tcPr>
          <w:p w14:paraId="384B3986">
            <w:pPr>
              <w:widowControl/>
              <w:kinsoku w:val="0"/>
              <w:autoSpaceDE w:val="0"/>
              <w:autoSpaceDN w:val="0"/>
              <w:adjustRightInd w:val="0"/>
              <w:snapToGrid w:val="0"/>
              <w:spacing w:line="378" w:lineRule="auto"/>
              <w:jc w:val="left"/>
              <w:textAlignment w:val="baseline"/>
              <w:rPr>
                <w:rFonts w:ascii="Arial" w:hAnsi="Arial" w:eastAsia="Arial" w:cs="Arial"/>
                <w:snapToGrid w:val="0"/>
                <w:color w:val="000000"/>
                <w:kern w:val="0"/>
                <w:sz w:val="21"/>
                <w:lang w:eastAsia="en-US"/>
              </w:rPr>
            </w:pPr>
          </w:p>
          <w:p w14:paraId="2F1F0DD3">
            <w:pPr>
              <w:widowControl/>
              <w:kinsoku w:val="0"/>
              <w:autoSpaceDE w:val="0"/>
              <w:autoSpaceDN w:val="0"/>
              <w:adjustRightInd w:val="0"/>
              <w:snapToGrid w:val="0"/>
              <w:spacing w:before="52" w:line="188" w:lineRule="auto"/>
              <w:ind w:left="117"/>
              <w:jc w:val="left"/>
              <w:textAlignment w:val="baseline"/>
              <w:rPr>
                <w:rFonts w:ascii="Times New Roman" w:hAnsi="Times New Roman" w:eastAsia="Times New Roman" w:cs="Times New Roman"/>
                <w:snapToGrid w:val="0"/>
                <w:color w:val="000000"/>
                <w:kern w:val="0"/>
                <w:sz w:val="18"/>
                <w:szCs w:val="18"/>
                <w:lang w:eastAsia="en-US"/>
              </w:rPr>
            </w:pPr>
            <w:r>
              <w:rPr>
                <w:rFonts w:ascii="Times New Roman" w:hAnsi="Times New Roman" w:eastAsia="Times New Roman" w:cs="Times New Roman"/>
                <w:snapToGrid w:val="0"/>
                <w:color w:val="000000"/>
                <w:spacing w:val="-4"/>
                <w:kern w:val="0"/>
                <w:sz w:val="18"/>
                <w:szCs w:val="18"/>
                <w:lang w:eastAsia="en-US"/>
              </w:rPr>
              <w:t>9.</w:t>
            </w:r>
          </w:p>
        </w:tc>
        <w:tc>
          <w:tcPr>
            <w:tcW w:w="3502" w:type="dxa"/>
            <w:tcBorders>
              <w:top w:val="single" w:color="000000" w:sz="2" w:space="0"/>
              <w:bottom w:val="single" w:color="000000" w:sz="10" w:space="0"/>
            </w:tcBorders>
            <w:vAlign w:val="top"/>
          </w:tcPr>
          <w:p w14:paraId="412033C4">
            <w:pPr>
              <w:widowControl/>
              <w:kinsoku w:val="0"/>
              <w:autoSpaceDE w:val="0"/>
              <w:autoSpaceDN w:val="0"/>
              <w:adjustRightInd w:val="0"/>
              <w:snapToGrid w:val="0"/>
              <w:spacing w:line="341" w:lineRule="auto"/>
              <w:jc w:val="left"/>
              <w:textAlignment w:val="baseline"/>
              <w:rPr>
                <w:rFonts w:ascii="Arial" w:hAnsi="Arial" w:eastAsia="Arial" w:cs="Arial"/>
                <w:snapToGrid w:val="0"/>
                <w:color w:val="000000"/>
                <w:kern w:val="0"/>
                <w:sz w:val="21"/>
                <w:lang w:eastAsia="en-US"/>
              </w:rPr>
            </w:pPr>
          </w:p>
          <w:p w14:paraId="58B0741C">
            <w:pPr>
              <w:kinsoku w:val="0"/>
              <w:autoSpaceDE w:val="0"/>
              <w:autoSpaceDN w:val="0"/>
              <w:adjustRightInd w:val="0"/>
              <w:snapToGrid w:val="0"/>
              <w:spacing w:before="59" w:line="219" w:lineRule="auto"/>
              <w:ind w:left="10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严禁使用油罐车直接向机动车加注油品。</w:t>
            </w:r>
          </w:p>
        </w:tc>
        <w:tc>
          <w:tcPr>
            <w:tcW w:w="2218" w:type="dxa"/>
            <w:tcBorders>
              <w:top w:val="single" w:color="000000" w:sz="2" w:space="0"/>
              <w:bottom w:val="single" w:color="000000" w:sz="10" w:space="0"/>
            </w:tcBorders>
            <w:vAlign w:val="top"/>
          </w:tcPr>
          <w:p w14:paraId="27D42797">
            <w:pPr>
              <w:kinsoku w:val="0"/>
              <w:autoSpaceDE w:val="0"/>
              <w:autoSpaceDN w:val="0"/>
              <w:adjustRightInd w:val="0"/>
              <w:snapToGrid w:val="0"/>
              <w:spacing w:before="161" w:line="219" w:lineRule="auto"/>
              <w:ind w:left="13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《汽车加油加气站消防安</w:t>
            </w:r>
          </w:p>
          <w:p w14:paraId="62B3FA38">
            <w:pPr>
              <w:kinsoku w:val="0"/>
              <w:autoSpaceDE w:val="0"/>
              <w:autoSpaceDN w:val="0"/>
              <w:adjustRightInd w:val="0"/>
              <w:snapToGrid w:val="0"/>
              <w:spacing w:line="266" w:lineRule="exact"/>
              <w:ind w:left="167"/>
              <w:jc w:val="left"/>
              <w:textAlignment w:val="baseline"/>
              <w:rPr>
                <w:rFonts w:ascii="Times New Roman" w:hAnsi="Times New Roman" w:eastAsia="Times New Roman" w:cs="Times New Roman"/>
                <w:snapToGrid w:val="0"/>
                <w:color w:val="000000"/>
                <w:kern w:val="0"/>
                <w:sz w:val="18"/>
                <w:szCs w:val="18"/>
                <w:lang w:val="en-US" w:eastAsia="en-US" w:bidi="ar-SA"/>
              </w:rPr>
            </w:pPr>
            <w:r>
              <w:rPr>
                <w:rFonts w:ascii="宋体" w:hAnsi="宋体" w:eastAsia="宋体" w:cs="宋体"/>
                <w:snapToGrid w:val="0"/>
                <w:color w:val="000000"/>
                <w:spacing w:val="-1"/>
                <w:kern w:val="0"/>
                <w:position w:val="1"/>
                <w:sz w:val="18"/>
                <w:szCs w:val="18"/>
                <w:lang w:val="en-US" w:eastAsia="en-US" w:bidi="ar-SA"/>
              </w:rPr>
              <w:t>全管理》</w:t>
            </w:r>
            <w:r>
              <w:rPr>
                <w:rFonts w:ascii="Times New Roman" w:hAnsi="Times New Roman" w:eastAsia="Times New Roman" w:cs="Times New Roman"/>
                <w:snapToGrid w:val="0"/>
                <w:color w:val="000000"/>
                <w:spacing w:val="-1"/>
                <w:kern w:val="0"/>
                <w:position w:val="1"/>
                <w:sz w:val="18"/>
                <w:szCs w:val="18"/>
                <w:lang w:val="en-US" w:eastAsia="en-US" w:bidi="ar-SA"/>
              </w:rPr>
              <w:t>XF/T3004-2020</w:t>
            </w:r>
          </w:p>
          <w:p w14:paraId="24BC72E3">
            <w:pPr>
              <w:kinsoku w:val="0"/>
              <w:autoSpaceDE w:val="0"/>
              <w:autoSpaceDN w:val="0"/>
              <w:adjustRightInd w:val="0"/>
              <w:snapToGrid w:val="0"/>
              <w:spacing w:line="220" w:lineRule="auto"/>
              <w:ind w:left="707"/>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第</w:t>
            </w:r>
            <w:r>
              <w:rPr>
                <w:rFonts w:ascii="宋体" w:hAnsi="宋体" w:eastAsia="宋体" w:cs="宋体"/>
                <w:snapToGrid w:val="0"/>
                <w:color w:val="000000"/>
                <w:spacing w:val="-38"/>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9.</w:t>
            </w:r>
            <w:r>
              <w:rPr>
                <w:rFonts w:ascii="Times New Roman" w:hAnsi="Times New Roman" w:eastAsia="Times New Roman" w:cs="Times New Roman"/>
                <w:snapToGrid w:val="0"/>
                <w:color w:val="000000"/>
                <w:spacing w:val="-24"/>
                <w:kern w:val="0"/>
                <w:sz w:val="18"/>
                <w:szCs w:val="18"/>
                <w:lang w:val="en-US" w:eastAsia="en-US" w:bidi="ar-SA"/>
              </w:rPr>
              <w:t xml:space="preserve"> </w:t>
            </w:r>
            <w:r>
              <w:rPr>
                <w:rFonts w:ascii="Times New Roman" w:hAnsi="Times New Roman" w:eastAsia="Times New Roman" w:cs="Times New Roman"/>
                <w:snapToGrid w:val="0"/>
                <w:color w:val="000000"/>
                <w:spacing w:val="-5"/>
                <w:kern w:val="0"/>
                <w:sz w:val="18"/>
                <w:szCs w:val="18"/>
                <w:lang w:val="en-US" w:eastAsia="en-US" w:bidi="ar-SA"/>
              </w:rPr>
              <w:t>1.2</w:t>
            </w:r>
            <w:r>
              <w:rPr>
                <w:rFonts w:ascii="Times New Roman" w:hAnsi="Times New Roman" w:eastAsia="Times New Roman" w:cs="Times New Roman"/>
                <w:snapToGrid w:val="0"/>
                <w:color w:val="000000"/>
                <w:spacing w:val="8"/>
                <w:kern w:val="0"/>
                <w:sz w:val="18"/>
                <w:szCs w:val="18"/>
                <w:lang w:val="en-US" w:eastAsia="en-US" w:bidi="ar-SA"/>
              </w:rPr>
              <w:t xml:space="preserve"> </w:t>
            </w:r>
            <w:r>
              <w:rPr>
                <w:rFonts w:ascii="宋体" w:hAnsi="宋体" w:eastAsia="宋体" w:cs="宋体"/>
                <w:snapToGrid w:val="0"/>
                <w:color w:val="000000"/>
                <w:spacing w:val="-5"/>
                <w:kern w:val="0"/>
                <w:sz w:val="18"/>
                <w:szCs w:val="18"/>
                <w:lang w:val="en-US" w:eastAsia="en-US" w:bidi="ar-SA"/>
              </w:rPr>
              <w:t>条</w:t>
            </w:r>
          </w:p>
        </w:tc>
        <w:tc>
          <w:tcPr>
            <w:tcW w:w="2088" w:type="dxa"/>
            <w:tcBorders>
              <w:top w:val="single" w:color="000000" w:sz="2" w:space="0"/>
              <w:bottom w:val="single" w:color="000000" w:sz="10" w:space="0"/>
            </w:tcBorders>
            <w:vAlign w:val="top"/>
          </w:tcPr>
          <w:p w14:paraId="0F83B7BA">
            <w:pPr>
              <w:kinsoku w:val="0"/>
              <w:autoSpaceDE w:val="0"/>
              <w:autoSpaceDN w:val="0"/>
              <w:adjustRightInd w:val="0"/>
              <w:snapToGrid w:val="0"/>
              <w:spacing w:before="282" w:line="233" w:lineRule="auto"/>
              <w:ind w:left="118" w:right="91"/>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现场无油罐车直接向汽</w:t>
            </w:r>
            <w:r>
              <w:rPr>
                <w:rFonts w:ascii="宋体" w:hAnsi="宋体" w:eastAsia="宋体" w:cs="宋体"/>
                <w:snapToGrid w:val="0"/>
                <w:color w:val="000000"/>
                <w:spacing w:val="7"/>
                <w:kern w:val="0"/>
                <w:sz w:val="18"/>
                <w:szCs w:val="18"/>
                <w:lang w:val="en-US" w:eastAsia="en-US" w:bidi="ar-SA"/>
              </w:rPr>
              <w:t xml:space="preserve"> </w:t>
            </w:r>
            <w:r>
              <w:rPr>
                <w:rFonts w:ascii="宋体" w:hAnsi="宋体" w:eastAsia="宋体" w:cs="宋体"/>
                <w:snapToGrid w:val="0"/>
                <w:color w:val="000000"/>
                <w:spacing w:val="-2"/>
                <w:kern w:val="0"/>
                <w:sz w:val="18"/>
                <w:szCs w:val="18"/>
                <w:lang w:val="en-US" w:eastAsia="en-US" w:bidi="ar-SA"/>
              </w:rPr>
              <w:t>车加油情况。</w:t>
            </w:r>
          </w:p>
        </w:tc>
        <w:tc>
          <w:tcPr>
            <w:tcW w:w="675" w:type="dxa"/>
            <w:tcBorders>
              <w:top w:val="single" w:color="000000" w:sz="2" w:space="0"/>
              <w:bottom w:val="single" w:color="000000" w:sz="10" w:space="0"/>
              <w:right w:val="single" w:color="000000" w:sz="10" w:space="0"/>
            </w:tcBorders>
            <w:vAlign w:val="top"/>
          </w:tcPr>
          <w:p w14:paraId="6A322ECB">
            <w:pPr>
              <w:widowControl/>
              <w:kinsoku w:val="0"/>
              <w:autoSpaceDE w:val="0"/>
              <w:autoSpaceDN w:val="0"/>
              <w:adjustRightInd w:val="0"/>
              <w:snapToGrid w:val="0"/>
              <w:spacing w:line="341" w:lineRule="auto"/>
              <w:jc w:val="left"/>
              <w:textAlignment w:val="baseline"/>
              <w:rPr>
                <w:rFonts w:ascii="Arial" w:hAnsi="Arial" w:eastAsia="Arial" w:cs="Arial"/>
                <w:snapToGrid w:val="0"/>
                <w:color w:val="000000"/>
                <w:kern w:val="0"/>
                <w:sz w:val="21"/>
                <w:lang w:eastAsia="en-US"/>
              </w:rPr>
            </w:pPr>
          </w:p>
          <w:p w14:paraId="0AB4A9BE">
            <w:pPr>
              <w:kinsoku w:val="0"/>
              <w:autoSpaceDE w:val="0"/>
              <w:autoSpaceDN w:val="0"/>
              <w:adjustRightInd w:val="0"/>
              <w:snapToGrid w:val="0"/>
              <w:spacing w:before="58" w:line="220" w:lineRule="auto"/>
              <w:ind w:left="166"/>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符合</w:t>
            </w:r>
          </w:p>
        </w:tc>
      </w:tr>
    </w:tbl>
    <w:p w14:paraId="7D96FA6B">
      <w:pPr>
        <w:keepNext w:val="0"/>
        <w:keepLines w:val="0"/>
        <w:pageBreakBefore w:val="0"/>
        <w:widowControl w:val="0"/>
        <w:kinsoku/>
        <w:wordWrap/>
        <w:overflowPunct/>
        <w:topLinePunct w:val="0"/>
        <w:autoSpaceDE/>
        <w:autoSpaceDN/>
        <w:bidi w:val="0"/>
        <w:adjustRightInd/>
        <w:snapToGrid/>
        <w:ind w:firstLine="568" w:firstLineChars="200"/>
        <w:textAlignment w:val="auto"/>
        <w:rPr>
          <w:rFonts w:hint="eastAsia" w:ascii="宋体" w:hAnsi="宋体" w:eastAsia="宋体" w:cs="宋体"/>
          <w:snapToGrid w:val="0"/>
          <w:color w:val="000000"/>
          <w:spacing w:val="-2"/>
          <w:kern w:val="0"/>
          <w:sz w:val="28"/>
          <w:szCs w:val="28"/>
          <w:lang w:val="en-US" w:eastAsia="zh-CN"/>
        </w:rPr>
      </w:pPr>
      <w:r>
        <w:rPr>
          <w:rFonts w:ascii="宋体" w:hAnsi="宋体" w:eastAsia="宋体" w:cs="宋体"/>
          <w:snapToGrid w:val="0"/>
          <w:color w:val="000000"/>
          <w:spacing w:val="2"/>
          <w:kern w:val="0"/>
          <w:sz w:val="28"/>
          <w:szCs w:val="28"/>
          <w:lang w:eastAsia="en-US"/>
        </w:rPr>
        <w:t>该单元采用《安全检查表法》共检查项目</w:t>
      </w:r>
      <w:r>
        <w:rPr>
          <w:rFonts w:ascii="宋体" w:hAnsi="宋体" w:eastAsia="宋体" w:cs="宋体"/>
          <w:snapToGrid w:val="0"/>
          <w:color w:val="000000"/>
          <w:spacing w:val="-55"/>
          <w:kern w:val="0"/>
          <w:sz w:val="28"/>
          <w:szCs w:val="28"/>
          <w:lang w:eastAsia="en-US"/>
        </w:rPr>
        <w:t xml:space="preserve"> </w:t>
      </w:r>
      <w:r>
        <w:rPr>
          <w:rFonts w:ascii="Times New Roman" w:hAnsi="Times New Roman" w:eastAsia="Times New Roman" w:cs="Times New Roman"/>
          <w:snapToGrid w:val="0"/>
          <w:color w:val="000000"/>
          <w:spacing w:val="2"/>
          <w:kern w:val="0"/>
          <w:sz w:val="28"/>
          <w:szCs w:val="28"/>
          <w:lang w:eastAsia="en-US"/>
        </w:rPr>
        <w:t>9</w:t>
      </w:r>
      <w:r>
        <w:rPr>
          <w:rFonts w:ascii="宋体" w:hAnsi="宋体" w:eastAsia="宋体" w:cs="宋体"/>
          <w:snapToGrid w:val="0"/>
          <w:color w:val="000000"/>
          <w:spacing w:val="2"/>
          <w:kern w:val="0"/>
          <w:sz w:val="28"/>
          <w:szCs w:val="28"/>
          <w:lang w:eastAsia="en-US"/>
        </w:rPr>
        <w:t>项，均符合要求。该站已</w:t>
      </w:r>
      <w:r>
        <w:rPr>
          <w:rFonts w:ascii="宋体" w:hAnsi="宋体" w:eastAsia="宋体" w:cs="宋体"/>
          <w:snapToGrid w:val="0"/>
          <w:color w:val="000000"/>
          <w:spacing w:val="-2"/>
          <w:kern w:val="0"/>
          <w:sz w:val="28"/>
          <w:szCs w:val="28"/>
          <w:lang w:eastAsia="en-US"/>
        </w:rPr>
        <w:t>取得建设工程消防验收意见书：</w:t>
      </w:r>
      <w:r>
        <w:rPr>
          <w:rFonts w:hint="eastAsia" w:ascii="宋体" w:hAnsi="宋体" w:eastAsia="宋体" w:cs="宋体"/>
          <w:snapToGrid w:val="0"/>
          <w:color w:val="000000"/>
          <w:spacing w:val="-2"/>
          <w:kern w:val="0"/>
          <w:sz w:val="28"/>
          <w:szCs w:val="28"/>
          <w:lang w:val="en-US" w:eastAsia="zh-CN"/>
        </w:rPr>
        <w:t>详细见附图。</w:t>
      </w:r>
    </w:p>
    <w:p w14:paraId="652F1068">
      <w:pPr>
        <w:pStyle w:val="5"/>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37" w:name="_Toc12954"/>
      <w:r>
        <w:rPr>
          <w:rFonts w:hint="eastAsia" w:ascii="楷体" w:hAnsi="楷体" w:eastAsia="楷体" w:cs="楷体"/>
          <w:sz w:val="32"/>
          <w:szCs w:val="32"/>
          <w:lang w:eastAsia="en-US"/>
        </w:rPr>
        <w:t>5.7 综合管理单元</w:t>
      </w:r>
      <w:bookmarkEnd w:id="237"/>
    </w:p>
    <w:p w14:paraId="45165405">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38" w:name="_Toc19914"/>
      <w:r>
        <w:rPr>
          <w:rFonts w:hint="eastAsia" w:ascii="楷体" w:hAnsi="楷体" w:eastAsia="楷体" w:cs="楷体"/>
          <w:sz w:val="32"/>
          <w:szCs w:val="32"/>
          <w:lang w:eastAsia="en-US"/>
        </w:rPr>
        <w:t>5.7.1 重大生产安全事故隐患判定分析</w:t>
      </w:r>
      <w:bookmarkEnd w:id="238"/>
    </w:p>
    <w:p w14:paraId="7FB65F6D">
      <w:pPr>
        <w:keepNext w:val="0"/>
        <w:keepLines w:val="0"/>
        <w:pageBreakBefore w:val="0"/>
        <w:widowControl w:val="0"/>
        <w:kinsoku/>
        <w:wordWrap/>
        <w:overflowPunct/>
        <w:topLinePunct w:val="0"/>
        <w:autoSpaceDE/>
        <w:autoSpaceDN/>
        <w:bidi w:val="0"/>
        <w:adjustRightInd/>
        <w:snapToGrid/>
        <w:ind w:firstLine="568" w:firstLineChars="200"/>
        <w:textAlignment w:val="auto"/>
        <w:rPr>
          <w:rFonts w:hint="eastAsia" w:ascii="宋体" w:hAnsi="宋体" w:eastAsia="宋体" w:cs="宋体"/>
          <w:snapToGrid w:val="0"/>
          <w:color w:val="000000"/>
          <w:spacing w:val="2"/>
          <w:kern w:val="0"/>
          <w:sz w:val="28"/>
          <w:szCs w:val="28"/>
          <w:lang w:eastAsia="en-US"/>
        </w:rPr>
      </w:pPr>
      <w:r>
        <w:rPr>
          <w:rFonts w:hint="eastAsia" w:ascii="宋体" w:hAnsi="宋体" w:eastAsia="宋体" w:cs="宋体"/>
          <w:snapToGrid w:val="0"/>
          <w:color w:val="000000"/>
          <w:spacing w:val="2"/>
          <w:kern w:val="0"/>
          <w:sz w:val="28"/>
          <w:szCs w:val="28"/>
          <w:lang w:eastAsia="en-US"/>
        </w:rPr>
        <w:t>为准确判定、及时整改该加油站的重大生产安全事故隐患，有效防范遏制重特大生产安全事故，根据国家安全监管总局关于印发《化工和危险化学品生产经营单位重大生产安全事故隐患判定标准（试行）》的通知（安监总管三[2017]121号）的要求，现对该加油站进行重大生产安全事故隐患判定见表5</w:t>
      </w:r>
      <w:r>
        <w:rPr>
          <w:rFonts w:hint="eastAsia" w:ascii="宋体" w:hAnsi="宋体" w:cs="宋体"/>
          <w:snapToGrid w:val="0"/>
          <w:color w:val="000000"/>
          <w:spacing w:val="2"/>
          <w:kern w:val="0"/>
          <w:sz w:val="28"/>
          <w:szCs w:val="28"/>
          <w:lang w:val="en-US" w:eastAsia="zh-CN"/>
        </w:rPr>
        <w:t>-12</w:t>
      </w:r>
      <w:r>
        <w:rPr>
          <w:rFonts w:hint="eastAsia" w:ascii="宋体" w:hAnsi="宋体" w:eastAsia="宋体" w:cs="宋体"/>
          <w:snapToGrid w:val="0"/>
          <w:color w:val="000000"/>
          <w:spacing w:val="2"/>
          <w:kern w:val="0"/>
          <w:sz w:val="28"/>
          <w:szCs w:val="28"/>
          <w:lang w:eastAsia="en-US"/>
        </w:rPr>
        <w:t>。</w:t>
      </w:r>
    </w:p>
    <w:p w14:paraId="0E8C46E1">
      <w:pPr>
        <w:widowControl/>
        <w:kinsoku w:val="0"/>
        <w:autoSpaceDE w:val="0"/>
        <w:autoSpaceDN w:val="0"/>
        <w:adjustRightInd w:val="0"/>
        <w:snapToGrid w:val="0"/>
        <w:spacing w:before="311" w:line="220" w:lineRule="auto"/>
        <w:ind w:left="2577"/>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48"/>
          <w:kern w:val="0"/>
          <w:sz w:val="24"/>
          <w:szCs w:val="24"/>
          <w:lang w:eastAsia="en-US"/>
        </w:rPr>
        <w:t xml:space="preserve"> </w:t>
      </w:r>
      <w:r>
        <w:rPr>
          <w:rFonts w:hint="eastAsia" w:ascii="Times New Roman" w:hAnsi="Times New Roman" w:eastAsia="宋体" w:cs="Times New Roman"/>
          <w:b/>
          <w:bCs/>
          <w:snapToGrid w:val="0"/>
          <w:color w:val="000000"/>
          <w:spacing w:val="-2"/>
          <w:kern w:val="0"/>
          <w:sz w:val="24"/>
          <w:szCs w:val="24"/>
          <w:lang w:val="en-US" w:eastAsia="zh-CN"/>
        </w:rPr>
        <w:t>5-12</w:t>
      </w:r>
      <w:r>
        <w:rPr>
          <w:rFonts w:ascii="宋体" w:hAnsi="宋体" w:eastAsia="宋体" w:cs="宋体"/>
          <w:b/>
          <w:bCs/>
          <w:snapToGrid w:val="0"/>
          <w:color w:val="000000"/>
          <w:spacing w:val="-2"/>
          <w:kern w:val="0"/>
          <w:sz w:val="24"/>
          <w:szCs w:val="24"/>
          <w:lang w:eastAsia="en-US"/>
        </w:rPr>
        <w:t>重大生产安全事故隐患判定表</w:t>
      </w:r>
    </w:p>
    <w:p w14:paraId="361F167C">
      <w:pPr>
        <w:widowControl/>
        <w:kinsoku w:val="0"/>
        <w:autoSpaceDE w:val="0"/>
        <w:autoSpaceDN w:val="0"/>
        <w:adjustRightInd w:val="0"/>
        <w:snapToGrid w:val="0"/>
        <w:spacing w:line="39" w:lineRule="exact"/>
        <w:jc w:val="left"/>
        <w:textAlignment w:val="baseline"/>
        <w:rPr>
          <w:rFonts w:ascii="Arial" w:hAnsi="Arial" w:eastAsia="Arial" w:cs="Arial"/>
          <w:snapToGrid w:val="0"/>
          <w:color w:val="000000"/>
          <w:kern w:val="0"/>
          <w:lang w:eastAsia="en-US"/>
        </w:rPr>
      </w:pPr>
    </w:p>
    <w:tbl>
      <w:tblPr>
        <w:tblStyle w:val="47"/>
        <w:tblW w:w="9285"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11"/>
        <w:gridCol w:w="4220"/>
        <w:gridCol w:w="3057"/>
        <w:gridCol w:w="1097"/>
      </w:tblGrid>
      <w:tr w14:paraId="672C5D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11" w:type="dxa"/>
            <w:tcBorders>
              <w:top w:val="single" w:color="000000" w:sz="10" w:space="0"/>
              <w:left w:val="single" w:color="000000" w:sz="10" w:space="0"/>
            </w:tcBorders>
            <w:vAlign w:val="top"/>
          </w:tcPr>
          <w:p w14:paraId="04B116FD">
            <w:pPr>
              <w:kinsoku w:val="0"/>
              <w:autoSpaceDE w:val="0"/>
              <w:autoSpaceDN w:val="0"/>
              <w:adjustRightInd w:val="0"/>
              <w:snapToGrid w:val="0"/>
              <w:spacing w:before="135" w:line="230" w:lineRule="auto"/>
              <w:ind w:left="23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4"/>
                <w:kern w:val="0"/>
                <w:sz w:val="20"/>
                <w:szCs w:val="20"/>
                <w:lang w:val="en-US" w:eastAsia="en-US" w:bidi="ar-SA"/>
              </w:rPr>
              <w:t>序号</w:t>
            </w:r>
          </w:p>
        </w:tc>
        <w:tc>
          <w:tcPr>
            <w:tcW w:w="4220" w:type="dxa"/>
            <w:tcBorders>
              <w:top w:val="single" w:color="000000" w:sz="10" w:space="0"/>
            </w:tcBorders>
            <w:vAlign w:val="top"/>
          </w:tcPr>
          <w:p w14:paraId="677DE5FA">
            <w:pPr>
              <w:kinsoku w:val="0"/>
              <w:autoSpaceDE w:val="0"/>
              <w:autoSpaceDN w:val="0"/>
              <w:adjustRightInd w:val="0"/>
              <w:snapToGrid w:val="0"/>
              <w:spacing w:before="136" w:line="228" w:lineRule="auto"/>
              <w:ind w:left="137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7"/>
                <w:kern w:val="0"/>
                <w:sz w:val="20"/>
                <w:szCs w:val="20"/>
                <w:lang w:val="en-US" w:eastAsia="en-US" w:bidi="ar-SA"/>
              </w:rPr>
              <w:t>检查项目及内容</w:t>
            </w:r>
          </w:p>
        </w:tc>
        <w:tc>
          <w:tcPr>
            <w:tcW w:w="3057" w:type="dxa"/>
            <w:tcBorders>
              <w:top w:val="single" w:color="000000" w:sz="10" w:space="0"/>
            </w:tcBorders>
            <w:vAlign w:val="top"/>
          </w:tcPr>
          <w:p w14:paraId="506BA9BA">
            <w:pPr>
              <w:kinsoku w:val="0"/>
              <w:autoSpaceDE w:val="0"/>
              <w:autoSpaceDN w:val="0"/>
              <w:adjustRightInd w:val="0"/>
              <w:snapToGrid w:val="0"/>
              <w:spacing w:before="136" w:line="228" w:lineRule="auto"/>
              <w:ind w:left="111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检查记录</w:t>
            </w:r>
          </w:p>
        </w:tc>
        <w:tc>
          <w:tcPr>
            <w:tcW w:w="1097" w:type="dxa"/>
            <w:tcBorders>
              <w:top w:val="single" w:color="000000" w:sz="10" w:space="0"/>
              <w:right w:val="single" w:color="000000" w:sz="10" w:space="0"/>
            </w:tcBorders>
            <w:vAlign w:val="top"/>
          </w:tcPr>
          <w:p w14:paraId="3D0970DD">
            <w:pPr>
              <w:kinsoku w:val="0"/>
              <w:autoSpaceDE w:val="0"/>
              <w:autoSpaceDN w:val="0"/>
              <w:adjustRightInd w:val="0"/>
              <w:snapToGrid w:val="0"/>
              <w:spacing w:before="135" w:line="229" w:lineRule="auto"/>
              <w:ind w:left="13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判定结论</w:t>
            </w:r>
          </w:p>
        </w:tc>
      </w:tr>
      <w:tr w14:paraId="16A95F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911" w:type="dxa"/>
            <w:tcBorders>
              <w:left w:val="single" w:color="000000" w:sz="10" w:space="0"/>
            </w:tcBorders>
            <w:vAlign w:val="top"/>
          </w:tcPr>
          <w:p w14:paraId="756B5E8A">
            <w:pPr>
              <w:widowControl/>
              <w:kinsoku w:val="0"/>
              <w:autoSpaceDE w:val="0"/>
              <w:autoSpaceDN w:val="0"/>
              <w:adjustRightInd w:val="0"/>
              <w:snapToGrid w:val="0"/>
              <w:spacing w:before="224" w:line="195" w:lineRule="auto"/>
              <w:ind w:left="41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4220" w:type="dxa"/>
            <w:vAlign w:val="top"/>
          </w:tcPr>
          <w:p w14:paraId="0337F06F">
            <w:pPr>
              <w:kinsoku w:val="0"/>
              <w:autoSpaceDE w:val="0"/>
              <w:autoSpaceDN w:val="0"/>
              <w:adjustRightInd w:val="0"/>
              <w:snapToGrid w:val="0"/>
              <w:spacing w:before="46" w:line="233" w:lineRule="auto"/>
              <w:ind w:left="102" w:right="131" w:firstLine="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危险化学品生产、经营单位主要负责人和安</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全生产管理人员未依法经考核合格。</w:t>
            </w:r>
          </w:p>
        </w:tc>
        <w:tc>
          <w:tcPr>
            <w:tcW w:w="3057" w:type="dxa"/>
            <w:vAlign w:val="top"/>
          </w:tcPr>
          <w:p w14:paraId="57A195E0">
            <w:pPr>
              <w:kinsoku w:val="0"/>
              <w:autoSpaceDE w:val="0"/>
              <w:autoSpaceDN w:val="0"/>
              <w:adjustRightInd w:val="0"/>
              <w:snapToGrid w:val="0"/>
              <w:spacing w:before="46" w:line="233" w:lineRule="auto"/>
              <w:ind w:left="124" w:right="214" w:hanging="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主要负责人和安全生产管理人</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员均已依法经考核合格。</w:t>
            </w:r>
          </w:p>
        </w:tc>
        <w:tc>
          <w:tcPr>
            <w:tcW w:w="1097" w:type="dxa"/>
            <w:tcBorders>
              <w:right w:val="single" w:color="000000" w:sz="10" w:space="0"/>
            </w:tcBorders>
            <w:vAlign w:val="top"/>
          </w:tcPr>
          <w:p w14:paraId="14F6E408">
            <w:pPr>
              <w:kinsoku w:val="0"/>
              <w:autoSpaceDE w:val="0"/>
              <w:autoSpaceDN w:val="0"/>
              <w:adjustRightInd w:val="0"/>
              <w:snapToGrid w:val="0"/>
              <w:spacing w:before="188"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0C7FC2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911" w:type="dxa"/>
            <w:tcBorders>
              <w:left w:val="single" w:color="000000" w:sz="10" w:space="0"/>
            </w:tcBorders>
            <w:vAlign w:val="top"/>
          </w:tcPr>
          <w:p w14:paraId="03ECCB1F">
            <w:pPr>
              <w:widowControl/>
              <w:kinsoku w:val="0"/>
              <w:autoSpaceDE w:val="0"/>
              <w:autoSpaceDN w:val="0"/>
              <w:adjustRightInd w:val="0"/>
              <w:snapToGrid w:val="0"/>
              <w:spacing w:before="226" w:line="195" w:lineRule="auto"/>
              <w:ind w:left="39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4220" w:type="dxa"/>
            <w:vAlign w:val="top"/>
          </w:tcPr>
          <w:p w14:paraId="3238D8A4">
            <w:pPr>
              <w:kinsoku w:val="0"/>
              <w:autoSpaceDE w:val="0"/>
              <w:autoSpaceDN w:val="0"/>
              <w:adjustRightInd w:val="0"/>
              <w:snapToGrid w:val="0"/>
              <w:spacing w:before="191" w:line="228" w:lineRule="auto"/>
              <w:ind w:left="10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特种作业人员未持证上岗。</w:t>
            </w:r>
          </w:p>
        </w:tc>
        <w:tc>
          <w:tcPr>
            <w:tcW w:w="3057" w:type="dxa"/>
            <w:vAlign w:val="top"/>
          </w:tcPr>
          <w:p w14:paraId="7D1FF1B9">
            <w:pPr>
              <w:kinsoku w:val="0"/>
              <w:autoSpaceDE w:val="0"/>
              <w:autoSpaceDN w:val="0"/>
              <w:adjustRightInd w:val="0"/>
              <w:snapToGrid w:val="0"/>
              <w:spacing w:before="52" w:line="230" w:lineRule="auto"/>
              <w:ind w:left="116" w:right="97" w:firstLine="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没有特种设备，电工作业需要时</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聘请有相应资质的单位或人员</w:t>
            </w:r>
          </w:p>
        </w:tc>
        <w:tc>
          <w:tcPr>
            <w:tcW w:w="1097" w:type="dxa"/>
            <w:tcBorders>
              <w:right w:val="single" w:color="000000" w:sz="10" w:space="0"/>
            </w:tcBorders>
            <w:vAlign w:val="top"/>
          </w:tcPr>
          <w:p w14:paraId="38725B6D">
            <w:pPr>
              <w:kinsoku w:val="0"/>
              <w:autoSpaceDE w:val="0"/>
              <w:autoSpaceDN w:val="0"/>
              <w:adjustRightInd w:val="0"/>
              <w:snapToGrid w:val="0"/>
              <w:spacing w:before="191"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2EFC57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911" w:type="dxa"/>
            <w:tcBorders>
              <w:left w:val="single" w:color="000000" w:sz="10" w:space="0"/>
            </w:tcBorders>
            <w:vAlign w:val="top"/>
          </w:tcPr>
          <w:p w14:paraId="60D503BA">
            <w:pPr>
              <w:widowControl/>
              <w:kinsoku w:val="0"/>
              <w:autoSpaceDE w:val="0"/>
              <w:autoSpaceDN w:val="0"/>
              <w:adjustRightInd w:val="0"/>
              <w:snapToGrid w:val="0"/>
              <w:spacing w:before="231" w:line="195" w:lineRule="auto"/>
              <w:ind w:left="394"/>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4220" w:type="dxa"/>
            <w:vAlign w:val="top"/>
          </w:tcPr>
          <w:p w14:paraId="00B7EFD7">
            <w:pPr>
              <w:kinsoku w:val="0"/>
              <w:autoSpaceDE w:val="0"/>
              <w:autoSpaceDN w:val="0"/>
              <w:adjustRightInd w:val="0"/>
              <w:snapToGrid w:val="0"/>
              <w:spacing w:before="54" w:line="229" w:lineRule="auto"/>
              <w:ind w:left="102" w:right="131" w:firstLine="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涉及“两重点一重大</w:t>
            </w:r>
            <w:r>
              <w:rPr>
                <w:rFonts w:ascii="宋体" w:hAnsi="宋体" w:eastAsia="宋体" w:cs="宋体"/>
                <w:snapToGrid w:val="0"/>
                <w:color w:val="000000"/>
                <w:spacing w:val="-55"/>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”的生产装置、储存设</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施外部安全防护距离不符合国家标准要求。</w:t>
            </w:r>
          </w:p>
        </w:tc>
        <w:tc>
          <w:tcPr>
            <w:tcW w:w="3057" w:type="dxa"/>
            <w:vAlign w:val="top"/>
          </w:tcPr>
          <w:p w14:paraId="6AFDA0DE">
            <w:pPr>
              <w:kinsoku w:val="0"/>
              <w:autoSpaceDE w:val="0"/>
              <w:autoSpaceDN w:val="0"/>
              <w:adjustRightInd w:val="0"/>
              <w:snapToGrid w:val="0"/>
              <w:spacing w:before="195" w:line="230" w:lineRule="auto"/>
              <w:ind w:left="11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c>
          <w:tcPr>
            <w:tcW w:w="1097" w:type="dxa"/>
            <w:tcBorders>
              <w:right w:val="single" w:color="000000" w:sz="10" w:space="0"/>
            </w:tcBorders>
            <w:vAlign w:val="top"/>
          </w:tcPr>
          <w:p w14:paraId="27FA1BBE">
            <w:pPr>
              <w:kinsoku w:val="0"/>
              <w:autoSpaceDE w:val="0"/>
              <w:autoSpaceDN w:val="0"/>
              <w:adjustRightInd w:val="0"/>
              <w:snapToGrid w:val="0"/>
              <w:spacing w:before="195" w:line="230" w:lineRule="auto"/>
              <w:ind w:left="24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r>
      <w:tr w14:paraId="1D24A7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18" w:hRule="atLeast"/>
        </w:trPr>
        <w:tc>
          <w:tcPr>
            <w:tcW w:w="911" w:type="dxa"/>
            <w:tcBorders>
              <w:left w:val="single" w:color="000000" w:sz="10" w:space="0"/>
            </w:tcBorders>
            <w:vAlign w:val="top"/>
          </w:tcPr>
          <w:p w14:paraId="225DEDEF">
            <w:pPr>
              <w:widowControl/>
              <w:kinsoku w:val="0"/>
              <w:autoSpaceDE w:val="0"/>
              <w:autoSpaceDN w:val="0"/>
              <w:adjustRightInd w:val="0"/>
              <w:snapToGrid w:val="0"/>
              <w:spacing w:line="455" w:lineRule="auto"/>
              <w:jc w:val="left"/>
              <w:textAlignment w:val="baseline"/>
              <w:rPr>
                <w:rFonts w:ascii="Arial" w:hAnsi="Arial" w:eastAsia="Arial" w:cs="Arial"/>
                <w:snapToGrid w:val="0"/>
                <w:color w:val="000000"/>
                <w:kern w:val="0"/>
                <w:sz w:val="21"/>
                <w:lang w:eastAsia="en-US"/>
              </w:rPr>
            </w:pPr>
          </w:p>
          <w:p w14:paraId="65FB8785">
            <w:pPr>
              <w:widowControl/>
              <w:kinsoku w:val="0"/>
              <w:autoSpaceDE w:val="0"/>
              <w:autoSpaceDN w:val="0"/>
              <w:adjustRightInd w:val="0"/>
              <w:snapToGrid w:val="0"/>
              <w:spacing w:before="57" w:line="195" w:lineRule="auto"/>
              <w:ind w:left="38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4</w:t>
            </w:r>
          </w:p>
        </w:tc>
        <w:tc>
          <w:tcPr>
            <w:tcW w:w="4220" w:type="dxa"/>
            <w:vAlign w:val="top"/>
          </w:tcPr>
          <w:p w14:paraId="7879DDAA">
            <w:pPr>
              <w:kinsoku w:val="0"/>
              <w:autoSpaceDE w:val="0"/>
              <w:autoSpaceDN w:val="0"/>
              <w:adjustRightInd w:val="0"/>
              <w:snapToGrid w:val="0"/>
              <w:spacing w:before="59" w:line="242" w:lineRule="auto"/>
              <w:ind w:left="103" w:right="13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涉及重点监管危险化工工艺的装置未实现自</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动化控制，系统未实现紧急停车功能，装备</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的自动化控制系统、紧急停车系统未投入使</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用。</w:t>
            </w:r>
          </w:p>
        </w:tc>
        <w:tc>
          <w:tcPr>
            <w:tcW w:w="3057" w:type="dxa"/>
            <w:vAlign w:val="top"/>
          </w:tcPr>
          <w:p w14:paraId="4C2B6008">
            <w:pPr>
              <w:widowControl/>
              <w:kinsoku w:val="0"/>
              <w:autoSpaceDE w:val="0"/>
              <w:autoSpaceDN w:val="0"/>
              <w:adjustRightInd w:val="0"/>
              <w:snapToGrid w:val="0"/>
              <w:spacing w:line="273" w:lineRule="auto"/>
              <w:jc w:val="left"/>
              <w:textAlignment w:val="baseline"/>
              <w:rPr>
                <w:rFonts w:ascii="Arial" w:hAnsi="Arial" w:eastAsia="Arial" w:cs="Arial"/>
                <w:snapToGrid w:val="0"/>
                <w:color w:val="000000"/>
                <w:kern w:val="0"/>
                <w:sz w:val="21"/>
                <w:lang w:eastAsia="en-US"/>
              </w:rPr>
            </w:pPr>
          </w:p>
          <w:p w14:paraId="69935C63">
            <w:pPr>
              <w:kinsoku w:val="0"/>
              <w:autoSpaceDE w:val="0"/>
              <w:autoSpaceDN w:val="0"/>
              <w:adjustRightInd w:val="0"/>
              <w:snapToGrid w:val="0"/>
              <w:spacing w:before="65" w:line="243" w:lineRule="auto"/>
              <w:ind w:left="133" w:right="214" w:hanging="1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无涉及重点监管危险化工工艺</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的装置。</w:t>
            </w:r>
          </w:p>
        </w:tc>
        <w:tc>
          <w:tcPr>
            <w:tcW w:w="1097" w:type="dxa"/>
            <w:tcBorders>
              <w:right w:val="single" w:color="000000" w:sz="10" w:space="0"/>
            </w:tcBorders>
            <w:vAlign w:val="top"/>
          </w:tcPr>
          <w:p w14:paraId="25BAE147">
            <w:pPr>
              <w:widowControl/>
              <w:kinsoku w:val="0"/>
              <w:autoSpaceDE w:val="0"/>
              <w:autoSpaceDN w:val="0"/>
              <w:adjustRightInd w:val="0"/>
              <w:snapToGrid w:val="0"/>
              <w:spacing w:line="411" w:lineRule="auto"/>
              <w:jc w:val="left"/>
              <w:textAlignment w:val="baseline"/>
              <w:rPr>
                <w:rFonts w:ascii="Arial" w:hAnsi="Arial" w:eastAsia="Arial" w:cs="Arial"/>
                <w:snapToGrid w:val="0"/>
                <w:color w:val="000000"/>
                <w:kern w:val="0"/>
                <w:sz w:val="21"/>
                <w:lang w:eastAsia="en-US"/>
              </w:rPr>
            </w:pPr>
          </w:p>
          <w:p w14:paraId="6E7A27FD">
            <w:pPr>
              <w:kinsoku w:val="0"/>
              <w:autoSpaceDE w:val="0"/>
              <w:autoSpaceDN w:val="0"/>
              <w:adjustRightInd w:val="0"/>
              <w:snapToGrid w:val="0"/>
              <w:spacing w:before="65" w:line="230" w:lineRule="auto"/>
              <w:ind w:left="24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r>
      <w:tr w14:paraId="560F67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93" w:hRule="atLeast"/>
        </w:trPr>
        <w:tc>
          <w:tcPr>
            <w:tcW w:w="911" w:type="dxa"/>
            <w:tcBorders>
              <w:left w:val="single" w:color="000000" w:sz="10" w:space="0"/>
            </w:tcBorders>
            <w:vAlign w:val="top"/>
          </w:tcPr>
          <w:p w14:paraId="10E8EE34">
            <w:pPr>
              <w:widowControl/>
              <w:kinsoku w:val="0"/>
              <w:autoSpaceDE w:val="0"/>
              <w:autoSpaceDN w:val="0"/>
              <w:adjustRightInd w:val="0"/>
              <w:snapToGrid w:val="0"/>
              <w:spacing w:before="245" w:line="192" w:lineRule="auto"/>
              <w:ind w:left="39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5</w:t>
            </w:r>
          </w:p>
        </w:tc>
        <w:tc>
          <w:tcPr>
            <w:tcW w:w="4220" w:type="dxa"/>
            <w:vAlign w:val="top"/>
          </w:tcPr>
          <w:p w14:paraId="7706DC86">
            <w:pPr>
              <w:kinsoku w:val="0"/>
              <w:autoSpaceDE w:val="0"/>
              <w:autoSpaceDN w:val="0"/>
              <w:adjustRightInd w:val="0"/>
              <w:snapToGrid w:val="0"/>
              <w:spacing w:before="66" w:line="234" w:lineRule="auto"/>
              <w:ind w:left="117" w:right="131" w:hanging="1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构成一级、二级重大危险源的危险化学品罐</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区未实现紧急切断功能；涉及毒性气体、液</w:t>
            </w:r>
            <w:r>
              <w:rPr>
                <w:rFonts w:ascii="宋体" w:hAnsi="宋体" w:eastAsia="宋体" w:cs="宋体"/>
                <w:snapToGrid w:val="0"/>
                <w:color w:val="000000"/>
                <w:spacing w:val="9"/>
                <w:kern w:val="0"/>
                <w:sz w:val="20"/>
                <w:szCs w:val="20"/>
                <w:lang w:val="en-US" w:eastAsia="en-US" w:bidi="ar-SA"/>
              </w:rPr>
              <w:t>化气体、剧毒液体的一级、二级重大危险源</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的危险化学品罐区未配备独立的安全仪表系</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统。</w:t>
            </w:r>
          </w:p>
        </w:tc>
        <w:tc>
          <w:tcPr>
            <w:tcW w:w="3057" w:type="dxa"/>
            <w:vAlign w:val="top"/>
          </w:tcPr>
          <w:p w14:paraId="6F7F96D4">
            <w:pPr>
              <w:kinsoku w:val="0"/>
              <w:autoSpaceDE w:val="0"/>
              <w:autoSpaceDN w:val="0"/>
              <w:adjustRightInd w:val="0"/>
              <w:snapToGrid w:val="0"/>
              <w:spacing w:before="206" w:line="229" w:lineRule="auto"/>
              <w:ind w:right="14"/>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未构成危险化学品重大危险源。</w:t>
            </w:r>
          </w:p>
        </w:tc>
        <w:tc>
          <w:tcPr>
            <w:tcW w:w="1097" w:type="dxa"/>
            <w:tcBorders>
              <w:right w:val="single" w:color="000000" w:sz="10" w:space="0"/>
            </w:tcBorders>
            <w:vAlign w:val="top"/>
          </w:tcPr>
          <w:p w14:paraId="6A80FEFF">
            <w:pPr>
              <w:kinsoku w:val="0"/>
              <w:autoSpaceDE w:val="0"/>
              <w:autoSpaceDN w:val="0"/>
              <w:adjustRightInd w:val="0"/>
              <w:snapToGrid w:val="0"/>
              <w:spacing w:before="206"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05796C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911" w:type="dxa"/>
            <w:tcBorders>
              <w:left w:val="single" w:color="000000" w:sz="10" w:space="0"/>
            </w:tcBorders>
            <w:vAlign w:val="top"/>
          </w:tcPr>
          <w:p w14:paraId="1EADEE4F">
            <w:pPr>
              <w:widowControl/>
              <w:kinsoku w:val="0"/>
              <w:autoSpaceDE w:val="0"/>
              <w:autoSpaceDN w:val="0"/>
              <w:adjustRightInd w:val="0"/>
              <w:snapToGrid w:val="0"/>
              <w:spacing w:before="223" w:line="195" w:lineRule="auto"/>
              <w:ind w:left="39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4220" w:type="dxa"/>
            <w:vAlign w:val="top"/>
          </w:tcPr>
          <w:p w14:paraId="473062A3">
            <w:pPr>
              <w:kinsoku w:val="0"/>
              <w:autoSpaceDE w:val="0"/>
              <w:autoSpaceDN w:val="0"/>
              <w:adjustRightInd w:val="0"/>
              <w:snapToGrid w:val="0"/>
              <w:spacing w:before="47" w:line="234" w:lineRule="auto"/>
              <w:ind w:left="102" w:right="13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全压力式液化烃储罐未按国家标准设置注水</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措施。</w:t>
            </w:r>
          </w:p>
        </w:tc>
        <w:tc>
          <w:tcPr>
            <w:tcW w:w="3057" w:type="dxa"/>
            <w:vAlign w:val="top"/>
          </w:tcPr>
          <w:p w14:paraId="77DF2CC8">
            <w:pPr>
              <w:kinsoku w:val="0"/>
              <w:autoSpaceDE w:val="0"/>
              <w:autoSpaceDN w:val="0"/>
              <w:adjustRightInd w:val="0"/>
              <w:snapToGrid w:val="0"/>
              <w:spacing w:before="187" w:line="228" w:lineRule="auto"/>
              <w:ind w:left="11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无全压力式液化烃储罐。</w:t>
            </w:r>
          </w:p>
        </w:tc>
        <w:tc>
          <w:tcPr>
            <w:tcW w:w="1097" w:type="dxa"/>
            <w:tcBorders>
              <w:right w:val="single" w:color="000000" w:sz="10" w:space="0"/>
            </w:tcBorders>
            <w:vAlign w:val="top"/>
          </w:tcPr>
          <w:p w14:paraId="420F50B3">
            <w:pPr>
              <w:kinsoku w:val="0"/>
              <w:autoSpaceDE w:val="0"/>
              <w:autoSpaceDN w:val="0"/>
              <w:adjustRightInd w:val="0"/>
              <w:snapToGrid w:val="0"/>
              <w:spacing w:before="187" w:line="230" w:lineRule="auto"/>
              <w:ind w:left="24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r>
      <w:tr w14:paraId="6C1803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911" w:type="dxa"/>
            <w:tcBorders>
              <w:left w:val="single" w:color="000000" w:sz="10" w:space="0"/>
            </w:tcBorders>
            <w:vAlign w:val="top"/>
          </w:tcPr>
          <w:p w14:paraId="54CAE61D">
            <w:pPr>
              <w:widowControl/>
              <w:kinsoku w:val="0"/>
              <w:autoSpaceDE w:val="0"/>
              <w:autoSpaceDN w:val="0"/>
              <w:adjustRightInd w:val="0"/>
              <w:snapToGrid w:val="0"/>
              <w:spacing w:before="228" w:line="192" w:lineRule="auto"/>
              <w:ind w:left="39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4220" w:type="dxa"/>
            <w:vAlign w:val="top"/>
          </w:tcPr>
          <w:p w14:paraId="011A14EC">
            <w:pPr>
              <w:kinsoku w:val="0"/>
              <w:autoSpaceDE w:val="0"/>
              <w:autoSpaceDN w:val="0"/>
              <w:adjustRightInd w:val="0"/>
              <w:snapToGrid w:val="0"/>
              <w:spacing w:before="47" w:line="234" w:lineRule="auto"/>
              <w:ind w:left="104" w:right="13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液化烃、液氨、液氯等易燃易爆、有毒有害</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液化气体的充装未使用万向管道充装系统。</w:t>
            </w:r>
          </w:p>
        </w:tc>
        <w:tc>
          <w:tcPr>
            <w:tcW w:w="3057" w:type="dxa"/>
            <w:vAlign w:val="top"/>
          </w:tcPr>
          <w:p w14:paraId="56D2A043">
            <w:pPr>
              <w:kinsoku w:val="0"/>
              <w:autoSpaceDE w:val="0"/>
              <w:autoSpaceDN w:val="0"/>
              <w:adjustRightInd w:val="0"/>
              <w:snapToGrid w:val="0"/>
              <w:spacing w:before="189" w:line="229" w:lineRule="auto"/>
              <w:ind w:left="11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无液化气体的充装。</w:t>
            </w:r>
          </w:p>
        </w:tc>
        <w:tc>
          <w:tcPr>
            <w:tcW w:w="1097" w:type="dxa"/>
            <w:tcBorders>
              <w:right w:val="single" w:color="000000" w:sz="10" w:space="0"/>
            </w:tcBorders>
            <w:vAlign w:val="top"/>
          </w:tcPr>
          <w:p w14:paraId="2887B57A">
            <w:pPr>
              <w:kinsoku w:val="0"/>
              <w:autoSpaceDE w:val="0"/>
              <w:autoSpaceDN w:val="0"/>
              <w:adjustRightInd w:val="0"/>
              <w:snapToGrid w:val="0"/>
              <w:spacing w:before="189" w:line="230" w:lineRule="auto"/>
              <w:ind w:left="24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r>
      <w:tr w14:paraId="34A5AC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trPr>
        <w:tc>
          <w:tcPr>
            <w:tcW w:w="911" w:type="dxa"/>
            <w:tcBorders>
              <w:left w:val="single" w:color="000000" w:sz="10" w:space="0"/>
            </w:tcBorders>
            <w:vAlign w:val="top"/>
          </w:tcPr>
          <w:p w14:paraId="239D9202">
            <w:pPr>
              <w:widowControl/>
              <w:kinsoku w:val="0"/>
              <w:autoSpaceDE w:val="0"/>
              <w:autoSpaceDN w:val="0"/>
              <w:adjustRightInd w:val="0"/>
              <w:snapToGrid w:val="0"/>
              <w:spacing w:line="304" w:lineRule="auto"/>
              <w:jc w:val="left"/>
              <w:textAlignment w:val="baseline"/>
              <w:rPr>
                <w:rFonts w:ascii="Arial" w:hAnsi="Arial" w:eastAsia="Arial" w:cs="Arial"/>
                <w:snapToGrid w:val="0"/>
                <w:color w:val="000000"/>
                <w:kern w:val="0"/>
                <w:sz w:val="21"/>
                <w:lang w:eastAsia="en-US"/>
              </w:rPr>
            </w:pPr>
          </w:p>
          <w:p w14:paraId="00B88148">
            <w:pPr>
              <w:widowControl/>
              <w:kinsoku w:val="0"/>
              <w:autoSpaceDE w:val="0"/>
              <w:autoSpaceDN w:val="0"/>
              <w:adjustRightInd w:val="0"/>
              <w:snapToGrid w:val="0"/>
              <w:spacing w:before="58" w:line="195" w:lineRule="auto"/>
              <w:ind w:left="39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8</w:t>
            </w:r>
          </w:p>
        </w:tc>
        <w:tc>
          <w:tcPr>
            <w:tcW w:w="4220" w:type="dxa"/>
            <w:vAlign w:val="top"/>
          </w:tcPr>
          <w:p w14:paraId="30B12141">
            <w:pPr>
              <w:kinsoku w:val="0"/>
              <w:autoSpaceDE w:val="0"/>
              <w:autoSpaceDN w:val="0"/>
              <w:adjustRightInd w:val="0"/>
              <w:snapToGrid w:val="0"/>
              <w:spacing w:before="49" w:line="241" w:lineRule="auto"/>
              <w:ind w:left="102" w:right="131" w:firstLine="2"/>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光气、氯气等剧毒气体及硫化氢气体管道穿</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 xml:space="preserve">越除厂区（包括化工园区、工业园区）外的 </w:t>
            </w:r>
            <w:r>
              <w:rPr>
                <w:rFonts w:ascii="宋体" w:hAnsi="宋体" w:eastAsia="宋体" w:cs="宋体"/>
                <w:snapToGrid w:val="0"/>
                <w:color w:val="000000"/>
                <w:spacing w:val="6"/>
                <w:kern w:val="0"/>
                <w:sz w:val="20"/>
                <w:szCs w:val="20"/>
                <w:lang w:val="en-US" w:eastAsia="en-US" w:bidi="ar-SA"/>
              </w:rPr>
              <w:t>公共区域。</w:t>
            </w:r>
          </w:p>
        </w:tc>
        <w:tc>
          <w:tcPr>
            <w:tcW w:w="3057" w:type="dxa"/>
            <w:vAlign w:val="top"/>
          </w:tcPr>
          <w:p w14:paraId="1C57FECC">
            <w:pPr>
              <w:kinsoku w:val="0"/>
              <w:autoSpaceDE w:val="0"/>
              <w:autoSpaceDN w:val="0"/>
              <w:adjustRightInd w:val="0"/>
              <w:snapToGrid w:val="0"/>
              <w:spacing w:before="190" w:line="244" w:lineRule="auto"/>
              <w:ind w:left="116" w:right="97"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无光气、氯气等剧毒气体及硫化</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氢气体管道。</w:t>
            </w:r>
          </w:p>
        </w:tc>
        <w:tc>
          <w:tcPr>
            <w:tcW w:w="1097" w:type="dxa"/>
            <w:tcBorders>
              <w:right w:val="single" w:color="000000" w:sz="10" w:space="0"/>
            </w:tcBorders>
            <w:vAlign w:val="top"/>
          </w:tcPr>
          <w:p w14:paraId="547ECB74">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772DC004">
            <w:pPr>
              <w:kinsoku w:val="0"/>
              <w:autoSpaceDE w:val="0"/>
              <w:autoSpaceDN w:val="0"/>
              <w:adjustRightInd w:val="0"/>
              <w:snapToGrid w:val="0"/>
              <w:spacing w:before="65"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2C17D1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911" w:type="dxa"/>
            <w:tcBorders>
              <w:left w:val="single" w:color="000000" w:sz="10" w:space="0"/>
            </w:tcBorders>
            <w:vAlign w:val="top"/>
          </w:tcPr>
          <w:p w14:paraId="45C9B10B">
            <w:pPr>
              <w:widowControl/>
              <w:kinsoku w:val="0"/>
              <w:autoSpaceDE w:val="0"/>
              <w:autoSpaceDN w:val="0"/>
              <w:adjustRightInd w:val="0"/>
              <w:snapToGrid w:val="0"/>
              <w:spacing w:before="226" w:line="195" w:lineRule="auto"/>
              <w:ind w:left="394"/>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9</w:t>
            </w:r>
          </w:p>
        </w:tc>
        <w:tc>
          <w:tcPr>
            <w:tcW w:w="4220" w:type="dxa"/>
            <w:vAlign w:val="top"/>
          </w:tcPr>
          <w:p w14:paraId="38840A6E">
            <w:pPr>
              <w:kinsoku w:val="0"/>
              <w:autoSpaceDE w:val="0"/>
              <w:autoSpaceDN w:val="0"/>
              <w:adjustRightInd w:val="0"/>
              <w:snapToGrid w:val="0"/>
              <w:spacing w:before="51" w:line="232" w:lineRule="auto"/>
              <w:ind w:left="102" w:right="13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地区架空电力线路穿越生产区且不符合国家</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标准要求。</w:t>
            </w:r>
          </w:p>
        </w:tc>
        <w:tc>
          <w:tcPr>
            <w:tcW w:w="3057" w:type="dxa"/>
            <w:vAlign w:val="top"/>
          </w:tcPr>
          <w:p w14:paraId="479CD4C7">
            <w:pPr>
              <w:kinsoku w:val="0"/>
              <w:autoSpaceDE w:val="0"/>
              <w:autoSpaceDN w:val="0"/>
              <w:adjustRightInd w:val="0"/>
              <w:snapToGrid w:val="0"/>
              <w:spacing w:before="51" w:line="232" w:lineRule="auto"/>
              <w:ind w:left="131" w:right="214" w:hanging="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无架空电力线路穿越加油作业</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区。</w:t>
            </w:r>
          </w:p>
        </w:tc>
        <w:tc>
          <w:tcPr>
            <w:tcW w:w="1097" w:type="dxa"/>
            <w:tcBorders>
              <w:right w:val="single" w:color="000000" w:sz="10" w:space="0"/>
            </w:tcBorders>
            <w:vAlign w:val="top"/>
          </w:tcPr>
          <w:p w14:paraId="53267931">
            <w:pPr>
              <w:kinsoku w:val="0"/>
              <w:autoSpaceDE w:val="0"/>
              <w:autoSpaceDN w:val="0"/>
              <w:adjustRightInd w:val="0"/>
              <w:snapToGrid w:val="0"/>
              <w:spacing w:before="191"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66FB00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911" w:type="dxa"/>
            <w:tcBorders>
              <w:left w:val="single" w:color="000000" w:sz="10" w:space="0"/>
            </w:tcBorders>
            <w:vAlign w:val="top"/>
          </w:tcPr>
          <w:p w14:paraId="36F614BB">
            <w:pPr>
              <w:widowControl/>
              <w:kinsoku w:val="0"/>
              <w:autoSpaceDE w:val="0"/>
              <w:autoSpaceDN w:val="0"/>
              <w:adjustRightInd w:val="0"/>
              <w:snapToGrid w:val="0"/>
              <w:spacing w:before="228"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10</w:t>
            </w:r>
          </w:p>
        </w:tc>
        <w:tc>
          <w:tcPr>
            <w:tcW w:w="4220" w:type="dxa"/>
            <w:vAlign w:val="top"/>
          </w:tcPr>
          <w:p w14:paraId="1888B930">
            <w:pPr>
              <w:kinsoku w:val="0"/>
              <w:autoSpaceDE w:val="0"/>
              <w:autoSpaceDN w:val="0"/>
              <w:adjustRightInd w:val="0"/>
              <w:snapToGrid w:val="0"/>
              <w:spacing w:before="51" w:line="232" w:lineRule="auto"/>
              <w:ind w:left="102" w:right="13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 xml:space="preserve">在役化工装置未经正规设计且未进行安全设 </w:t>
            </w:r>
            <w:r>
              <w:rPr>
                <w:rFonts w:ascii="宋体" w:hAnsi="宋体" w:eastAsia="宋体" w:cs="宋体"/>
                <w:snapToGrid w:val="0"/>
                <w:color w:val="000000"/>
                <w:spacing w:val="5"/>
                <w:kern w:val="0"/>
                <w:sz w:val="20"/>
                <w:szCs w:val="20"/>
                <w:lang w:val="en-US" w:eastAsia="en-US" w:bidi="ar-SA"/>
              </w:rPr>
              <w:t>计诊断。</w:t>
            </w:r>
          </w:p>
        </w:tc>
        <w:tc>
          <w:tcPr>
            <w:tcW w:w="3057" w:type="dxa"/>
            <w:vAlign w:val="top"/>
          </w:tcPr>
          <w:p w14:paraId="04540346">
            <w:pPr>
              <w:kinsoku w:val="0"/>
              <w:autoSpaceDE w:val="0"/>
              <w:autoSpaceDN w:val="0"/>
              <w:adjustRightInd w:val="0"/>
              <w:snapToGrid w:val="0"/>
              <w:spacing w:before="51" w:line="232" w:lineRule="auto"/>
              <w:ind w:left="130" w:right="214" w:hanging="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加油站经河北海川能源科技有</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限公司设计。</w:t>
            </w:r>
          </w:p>
        </w:tc>
        <w:tc>
          <w:tcPr>
            <w:tcW w:w="1097" w:type="dxa"/>
            <w:tcBorders>
              <w:right w:val="single" w:color="000000" w:sz="10" w:space="0"/>
            </w:tcBorders>
            <w:vAlign w:val="top"/>
          </w:tcPr>
          <w:p w14:paraId="59D7037B">
            <w:pPr>
              <w:kinsoku w:val="0"/>
              <w:autoSpaceDE w:val="0"/>
              <w:autoSpaceDN w:val="0"/>
              <w:adjustRightInd w:val="0"/>
              <w:snapToGrid w:val="0"/>
              <w:spacing w:before="193"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13A4AF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911" w:type="dxa"/>
            <w:tcBorders>
              <w:left w:val="single" w:color="000000" w:sz="10" w:space="0"/>
            </w:tcBorders>
            <w:vAlign w:val="top"/>
          </w:tcPr>
          <w:p w14:paraId="26890ABA">
            <w:pPr>
              <w:widowControl/>
              <w:kinsoku w:val="0"/>
              <w:autoSpaceDE w:val="0"/>
              <w:autoSpaceDN w:val="0"/>
              <w:adjustRightInd w:val="0"/>
              <w:snapToGrid w:val="0"/>
              <w:spacing w:before="228" w:line="195" w:lineRule="auto"/>
              <w:ind w:left="362"/>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0"/>
                <w:kern w:val="0"/>
                <w:sz w:val="20"/>
                <w:szCs w:val="20"/>
                <w:lang w:eastAsia="en-US"/>
              </w:rPr>
              <w:t>11</w:t>
            </w:r>
          </w:p>
        </w:tc>
        <w:tc>
          <w:tcPr>
            <w:tcW w:w="4220" w:type="dxa"/>
            <w:vAlign w:val="top"/>
          </w:tcPr>
          <w:p w14:paraId="44D9503F">
            <w:pPr>
              <w:kinsoku w:val="0"/>
              <w:autoSpaceDE w:val="0"/>
              <w:autoSpaceDN w:val="0"/>
              <w:adjustRightInd w:val="0"/>
              <w:snapToGrid w:val="0"/>
              <w:spacing w:before="53" w:line="231" w:lineRule="auto"/>
              <w:ind w:left="119" w:right="131" w:hanging="1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使用淘汰落后安全技术工艺、设备目录列出</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的工艺、设备。</w:t>
            </w:r>
          </w:p>
        </w:tc>
        <w:tc>
          <w:tcPr>
            <w:tcW w:w="3057" w:type="dxa"/>
            <w:vAlign w:val="top"/>
          </w:tcPr>
          <w:p w14:paraId="795213C5">
            <w:pPr>
              <w:kinsoku w:val="0"/>
              <w:autoSpaceDE w:val="0"/>
              <w:autoSpaceDN w:val="0"/>
              <w:adjustRightInd w:val="0"/>
              <w:snapToGrid w:val="0"/>
              <w:spacing w:before="53" w:line="231" w:lineRule="auto"/>
              <w:ind w:left="119" w:right="40" w:hanging="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无使用淘汰落后安全技术工艺、</w:t>
            </w:r>
            <w:r>
              <w:rPr>
                <w:rFonts w:ascii="宋体" w:hAnsi="宋体" w:eastAsia="宋体" w:cs="宋体"/>
                <w:snapToGrid w:val="0"/>
                <w:color w:val="000000"/>
                <w:spacing w:val="8"/>
                <w:kern w:val="0"/>
                <w:sz w:val="20"/>
                <w:szCs w:val="20"/>
                <w:lang w:val="en-US" w:eastAsia="en-US" w:bidi="ar-SA"/>
              </w:rPr>
              <w:t xml:space="preserve"> 设备目录列出的工艺、设备。</w:t>
            </w:r>
          </w:p>
        </w:tc>
        <w:tc>
          <w:tcPr>
            <w:tcW w:w="1097" w:type="dxa"/>
            <w:tcBorders>
              <w:right w:val="single" w:color="000000" w:sz="10" w:space="0"/>
            </w:tcBorders>
            <w:vAlign w:val="top"/>
          </w:tcPr>
          <w:p w14:paraId="1D5AFD85">
            <w:pPr>
              <w:kinsoku w:val="0"/>
              <w:autoSpaceDE w:val="0"/>
              <w:autoSpaceDN w:val="0"/>
              <w:adjustRightInd w:val="0"/>
              <w:snapToGrid w:val="0"/>
              <w:spacing w:before="193"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79D069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trPr>
        <w:tc>
          <w:tcPr>
            <w:tcW w:w="911" w:type="dxa"/>
            <w:tcBorders>
              <w:left w:val="single" w:color="000000" w:sz="10" w:space="0"/>
            </w:tcBorders>
            <w:vAlign w:val="top"/>
          </w:tcPr>
          <w:p w14:paraId="428336F7">
            <w:pPr>
              <w:widowControl/>
              <w:kinsoku w:val="0"/>
              <w:autoSpaceDE w:val="0"/>
              <w:autoSpaceDN w:val="0"/>
              <w:adjustRightInd w:val="0"/>
              <w:snapToGrid w:val="0"/>
              <w:spacing w:line="310" w:lineRule="auto"/>
              <w:jc w:val="left"/>
              <w:textAlignment w:val="baseline"/>
              <w:rPr>
                <w:rFonts w:ascii="Arial" w:hAnsi="Arial" w:eastAsia="Arial" w:cs="Arial"/>
                <w:snapToGrid w:val="0"/>
                <w:color w:val="000000"/>
                <w:kern w:val="0"/>
                <w:sz w:val="21"/>
                <w:lang w:eastAsia="en-US"/>
              </w:rPr>
            </w:pPr>
          </w:p>
          <w:p w14:paraId="1B3858F0">
            <w:pPr>
              <w:widowControl/>
              <w:kinsoku w:val="0"/>
              <w:autoSpaceDE w:val="0"/>
              <w:autoSpaceDN w:val="0"/>
              <w:adjustRightInd w:val="0"/>
              <w:snapToGrid w:val="0"/>
              <w:spacing w:before="58"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12</w:t>
            </w:r>
          </w:p>
        </w:tc>
        <w:tc>
          <w:tcPr>
            <w:tcW w:w="4220" w:type="dxa"/>
            <w:vAlign w:val="top"/>
          </w:tcPr>
          <w:p w14:paraId="74EC6BD0">
            <w:pPr>
              <w:kinsoku w:val="0"/>
              <w:autoSpaceDE w:val="0"/>
              <w:autoSpaceDN w:val="0"/>
              <w:adjustRightInd w:val="0"/>
              <w:snapToGrid w:val="0"/>
              <w:spacing w:before="52" w:line="240" w:lineRule="auto"/>
              <w:ind w:left="104" w:right="13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涉及可燃和有毒有害气体泄漏的场所未按国</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家标准设置检测报警装置，爆炸危险场所未</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按国家标准安装使用防爆电气设备。</w:t>
            </w:r>
          </w:p>
        </w:tc>
        <w:tc>
          <w:tcPr>
            <w:tcW w:w="3057" w:type="dxa"/>
            <w:vAlign w:val="top"/>
          </w:tcPr>
          <w:p w14:paraId="3D844EF8">
            <w:pPr>
              <w:kinsoku w:val="0"/>
              <w:autoSpaceDE w:val="0"/>
              <w:autoSpaceDN w:val="0"/>
              <w:adjustRightInd w:val="0"/>
              <w:snapToGrid w:val="0"/>
              <w:spacing w:before="195" w:line="242" w:lineRule="auto"/>
              <w:ind w:left="117" w:right="214" w:hanging="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爆炸危险场所按国家标准安装</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使用防爆电气设备。</w:t>
            </w:r>
          </w:p>
        </w:tc>
        <w:tc>
          <w:tcPr>
            <w:tcW w:w="1097" w:type="dxa"/>
            <w:tcBorders>
              <w:right w:val="single" w:color="000000" w:sz="10" w:space="0"/>
            </w:tcBorders>
            <w:vAlign w:val="top"/>
          </w:tcPr>
          <w:p w14:paraId="40553AB9">
            <w:pPr>
              <w:widowControl/>
              <w:kinsoku w:val="0"/>
              <w:autoSpaceDE w:val="0"/>
              <w:autoSpaceDN w:val="0"/>
              <w:adjustRightInd w:val="0"/>
              <w:snapToGrid w:val="0"/>
              <w:spacing w:line="268" w:lineRule="auto"/>
              <w:jc w:val="left"/>
              <w:textAlignment w:val="baseline"/>
              <w:rPr>
                <w:rFonts w:ascii="Arial" w:hAnsi="Arial" w:eastAsia="Arial" w:cs="Arial"/>
                <w:snapToGrid w:val="0"/>
                <w:color w:val="000000"/>
                <w:kern w:val="0"/>
                <w:sz w:val="21"/>
                <w:lang w:eastAsia="en-US"/>
              </w:rPr>
            </w:pPr>
          </w:p>
          <w:p w14:paraId="272800F9">
            <w:pPr>
              <w:kinsoku w:val="0"/>
              <w:autoSpaceDE w:val="0"/>
              <w:autoSpaceDN w:val="0"/>
              <w:adjustRightInd w:val="0"/>
              <w:snapToGrid w:val="0"/>
              <w:spacing w:before="65"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16642B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trPr>
        <w:tc>
          <w:tcPr>
            <w:tcW w:w="911" w:type="dxa"/>
            <w:tcBorders>
              <w:left w:val="single" w:color="000000" w:sz="10" w:space="0"/>
            </w:tcBorders>
            <w:vAlign w:val="top"/>
          </w:tcPr>
          <w:p w14:paraId="3B576C21">
            <w:pPr>
              <w:widowControl/>
              <w:kinsoku w:val="0"/>
              <w:autoSpaceDE w:val="0"/>
              <w:autoSpaceDN w:val="0"/>
              <w:adjustRightInd w:val="0"/>
              <w:snapToGrid w:val="0"/>
              <w:spacing w:line="312" w:lineRule="auto"/>
              <w:jc w:val="left"/>
              <w:textAlignment w:val="baseline"/>
              <w:rPr>
                <w:rFonts w:ascii="Arial" w:hAnsi="Arial" w:eastAsia="Arial" w:cs="Arial"/>
                <w:snapToGrid w:val="0"/>
                <w:color w:val="000000"/>
                <w:kern w:val="0"/>
                <w:sz w:val="21"/>
                <w:lang w:eastAsia="en-US"/>
              </w:rPr>
            </w:pPr>
          </w:p>
          <w:p w14:paraId="7880E763">
            <w:pPr>
              <w:widowControl/>
              <w:kinsoku w:val="0"/>
              <w:autoSpaceDE w:val="0"/>
              <w:autoSpaceDN w:val="0"/>
              <w:adjustRightInd w:val="0"/>
              <w:snapToGrid w:val="0"/>
              <w:spacing w:before="57"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13</w:t>
            </w:r>
          </w:p>
        </w:tc>
        <w:tc>
          <w:tcPr>
            <w:tcW w:w="4220" w:type="dxa"/>
            <w:vAlign w:val="top"/>
          </w:tcPr>
          <w:p w14:paraId="7E6D689A">
            <w:pPr>
              <w:kinsoku w:val="0"/>
              <w:autoSpaceDE w:val="0"/>
              <w:autoSpaceDN w:val="0"/>
              <w:adjustRightInd w:val="0"/>
              <w:snapToGrid w:val="0"/>
              <w:spacing w:before="56" w:line="239" w:lineRule="auto"/>
              <w:ind w:left="102" w:right="13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控制室或机柜间面向具有火灾、爆炸危险性 装置一侧不满足国家标准关于防火防爆的要</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求。</w:t>
            </w:r>
          </w:p>
        </w:tc>
        <w:tc>
          <w:tcPr>
            <w:tcW w:w="3057" w:type="dxa"/>
            <w:vAlign w:val="top"/>
          </w:tcPr>
          <w:p w14:paraId="035EE98D">
            <w:pPr>
              <w:kinsoku w:val="0"/>
              <w:autoSpaceDE w:val="0"/>
              <w:autoSpaceDN w:val="0"/>
              <w:adjustRightInd w:val="0"/>
              <w:snapToGrid w:val="0"/>
              <w:spacing w:before="195" w:line="244" w:lineRule="auto"/>
              <w:ind w:left="117" w:right="2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站内设施的防火间距满足国家</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标准关于防火防爆的要求。</w:t>
            </w:r>
          </w:p>
        </w:tc>
        <w:tc>
          <w:tcPr>
            <w:tcW w:w="1097" w:type="dxa"/>
            <w:tcBorders>
              <w:right w:val="single" w:color="000000" w:sz="10" w:space="0"/>
            </w:tcBorders>
            <w:vAlign w:val="top"/>
          </w:tcPr>
          <w:p w14:paraId="1007D448">
            <w:pPr>
              <w:widowControl/>
              <w:kinsoku w:val="0"/>
              <w:autoSpaceDE w:val="0"/>
              <w:autoSpaceDN w:val="0"/>
              <w:adjustRightInd w:val="0"/>
              <w:snapToGrid w:val="0"/>
              <w:spacing w:line="269" w:lineRule="auto"/>
              <w:jc w:val="left"/>
              <w:textAlignment w:val="baseline"/>
              <w:rPr>
                <w:rFonts w:ascii="Arial" w:hAnsi="Arial" w:eastAsia="Arial" w:cs="Arial"/>
                <w:snapToGrid w:val="0"/>
                <w:color w:val="000000"/>
                <w:kern w:val="0"/>
                <w:sz w:val="21"/>
                <w:lang w:eastAsia="en-US"/>
              </w:rPr>
            </w:pPr>
          </w:p>
          <w:p w14:paraId="78F0EAF5">
            <w:pPr>
              <w:kinsoku w:val="0"/>
              <w:autoSpaceDE w:val="0"/>
              <w:autoSpaceDN w:val="0"/>
              <w:adjustRightInd w:val="0"/>
              <w:snapToGrid w:val="0"/>
              <w:spacing w:before="65"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37FECE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911" w:type="dxa"/>
            <w:tcBorders>
              <w:left w:val="single" w:color="000000" w:sz="10" w:space="0"/>
            </w:tcBorders>
            <w:vAlign w:val="top"/>
          </w:tcPr>
          <w:p w14:paraId="63460E44">
            <w:pPr>
              <w:widowControl/>
              <w:kinsoku w:val="0"/>
              <w:autoSpaceDE w:val="0"/>
              <w:autoSpaceDN w:val="0"/>
              <w:adjustRightInd w:val="0"/>
              <w:snapToGrid w:val="0"/>
              <w:spacing w:before="234"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14</w:t>
            </w:r>
          </w:p>
        </w:tc>
        <w:tc>
          <w:tcPr>
            <w:tcW w:w="4220" w:type="dxa"/>
            <w:vAlign w:val="top"/>
          </w:tcPr>
          <w:p w14:paraId="23BDFFA9">
            <w:pPr>
              <w:kinsoku w:val="0"/>
              <w:autoSpaceDE w:val="0"/>
              <w:autoSpaceDN w:val="0"/>
              <w:adjustRightInd w:val="0"/>
              <w:snapToGrid w:val="0"/>
              <w:spacing w:before="60" w:line="228" w:lineRule="auto"/>
              <w:ind w:left="102" w:right="33"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化工生产装置未按国家标准要求设置双重电</w:t>
            </w:r>
            <w:r>
              <w:rPr>
                <w:rFonts w:ascii="宋体" w:hAnsi="宋体" w:eastAsia="宋体" w:cs="宋体"/>
                <w:snapToGrid w:val="0"/>
                <w:color w:val="000000"/>
                <w:spacing w:val="3"/>
                <w:kern w:val="0"/>
                <w:sz w:val="20"/>
                <w:szCs w:val="20"/>
                <w:lang w:val="en-US" w:eastAsia="en-US" w:bidi="ar-SA"/>
              </w:rPr>
              <w:t xml:space="preserve">  源供电，自动化控制系统未设置不间断电源。</w:t>
            </w:r>
          </w:p>
        </w:tc>
        <w:tc>
          <w:tcPr>
            <w:tcW w:w="3057" w:type="dxa"/>
            <w:vAlign w:val="top"/>
          </w:tcPr>
          <w:p w14:paraId="03667D0C">
            <w:pPr>
              <w:kinsoku w:val="0"/>
              <w:autoSpaceDE w:val="0"/>
              <w:autoSpaceDN w:val="0"/>
              <w:adjustRightInd w:val="0"/>
              <w:snapToGrid w:val="0"/>
              <w:spacing w:before="60" w:line="228" w:lineRule="auto"/>
              <w:ind w:left="114" w:right="97" w:firstLine="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没有化工生产装置，信息系统设</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置不间断电源。</w:t>
            </w:r>
          </w:p>
        </w:tc>
        <w:tc>
          <w:tcPr>
            <w:tcW w:w="1097" w:type="dxa"/>
            <w:tcBorders>
              <w:right w:val="single" w:color="000000" w:sz="10" w:space="0"/>
            </w:tcBorders>
            <w:vAlign w:val="top"/>
          </w:tcPr>
          <w:p w14:paraId="6103AC87">
            <w:pPr>
              <w:kinsoku w:val="0"/>
              <w:autoSpaceDE w:val="0"/>
              <w:autoSpaceDN w:val="0"/>
              <w:adjustRightInd w:val="0"/>
              <w:snapToGrid w:val="0"/>
              <w:spacing w:before="198"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2ECD4D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911" w:type="dxa"/>
            <w:tcBorders>
              <w:left w:val="single" w:color="000000" w:sz="10" w:space="0"/>
            </w:tcBorders>
            <w:vAlign w:val="top"/>
          </w:tcPr>
          <w:p w14:paraId="0B0AABBC">
            <w:pPr>
              <w:widowControl/>
              <w:kinsoku w:val="0"/>
              <w:autoSpaceDE w:val="0"/>
              <w:autoSpaceDN w:val="0"/>
              <w:adjustRightInd w:val="0"/>
              <w:snapToGrid w:val="0"/>
              <w:spacing w:before="236"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15</w:t>
            </w:r>
          </w:p>
        </w:tc>
        <w:tc>
          <w:tcPr>
            <w:tcW w:w="4220" w:type="dxa"/>
            <w:vAlign w:val="top"/>
          </w:tcPr>
          <w:p w14:paraId="2F925666">
            <w:pPr>
              <w:kinsoku w:val="0"/>
              <w:autoSpaceDE w:val="0"/>
              <w:autoSpaceDN w:val="0"/>
              <w:adjustRightInd w:val="0"/>
              <w:snapToGrid w:val="0"/>
              <w:spacing w:before="200" w:line="227" w:lineRule="auto"/>
              <w:ind w:left="10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安全阀、爆破片等安全附件未正常投用。</w:t>
            </w:r>
          </w:p>
        </w:tc>
        <w:tc>
          <w:tcPr>
            <w:tcW w:w="3057" w:type="dxa"/>
            <w:vAlign w:val="top"/>
          </w:tcPr>
          <w:p w14:paraId="32CEBBCE">
            <w:pPr>
              <w:kinsoku w:val="0"/>
              <w:autoSpaceDE w:val="0"/>
              <w:autoSpaceDN w:val="0"/>
              <w:adjustRightInd w:val="0"/>
              <w:snapToGrid w:val="0"/>
              <w:spacing w:before="57" w:line="229" w:lineRule="auto"/>
              <w:ind w:left="132" w:right="97" w:hanging="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拉断阀、剪切阀、呼吸阀等安全</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附件正常投用。</w:t>
            </w:r>
          </w:p>
        </w:tc>
        <w:tc>
          <w:tcPr>
            <w:tcW w:w="1097" w:type="dxa"/>
            <w:tcBorders>
              <w:right w:val="single" w:color="000000" w:sz="10" w:space="0"/>
            </w:tcBorders>
            <w:vAlign w:val="top"/>
          </w:tcPr>
          <w:p w14:paraId="5717349F">
            <w:pPr>
              <w:kinsoku w:val="0"/>
              <w:autoSpaceDE w:val="0"/>
              <w:autoSpaceDN w:val="0"/>
              <w:adjustRightInd w:val="0"/>
              <w:snapToGrid w:val="0"/>
              <w:spacing w:before="200"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5AEBE7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trPr>
        <w:tc>
          <w:tcPr>
            <w:tcW w:w="911" w:type="dxa"/>
            <w:tcBorders>
              <w:left w:val="single" w:color="000000" w:sz="10" w:space="0"/>
            </w:tcBorders>
            <w:vAlign w:val="top"/>
          </w:tcPr>
          <w:p w14:paraId="51AD16A3">
            <w:pPr>
              <w:widowControl/>
              <w:kinsoku w:val="0"/>
              <w:autoSpaceDE w:val="0"/>
              <w:autoSpaceDN w:val="0"/>
              <w:adjustRightInd w:val="0"/>
              <w:snapToGrid w:val="0"/>
              <w:spacing w:line="315" w:lineRule="auto"/>
              <w:jc w:val="left"/>
              <w:textAlignment w:val="baseline"/>
              <w:rPr>
                <w:rFonts w:ascii="Arial" w:hAnsi="Arial" w:eastAsia="Arial" w:cs="Arial"/>
                <w:snapToGrid w:val="0"/>
                <w:color w:val="000000"/>
                <w:kern w:val="0"/>
                <w:sz w:val="21"/>
                <w:lang w:eastAsia="en-US"/>
              </w:rPr>
            </w:pPr>
          </w:p>
          <w:p w14:paraId="24816E5D">
            <w:pPr>
              <w:widowControl/>
              <w:kinsoku w:val="0"/>
              <w:autoSpaceDE w:val="0"/>
              <w:autoSpaceDN w:val="0"/>
              <w:adjustRightInd w:val="0"/>
              <w:snapToGrid w:val="0"/>
              <w:spacing w:before="58"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16</w:t>
            </w:r>
          </w:p>
        </w:tc>
        <w:tc>
          <w:tcPr>
            <w:tcW w:w="4220" w:type="dxa"/>
            <w:vAlign w:val="top"/>
          </w:tcPr>
          <w:p w14:paraId="268B1DAF">
            <w:pPr>
              <w:kinsoku w:val="0"/>
              <w:autoSpaceDE w:val="0"/>
              <w:autoSpaceDN w:val="0"/>
              <w:adjustRightInd w:val="0"/>
              <w:snapToGrid w:val="0"/>
              <w:spacing w:before="59" w:line="238" w:lineRule="auto"/>
              <w:ind w:left="103" w:right="131" w:firstLine="2"/>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未建立与岗位相匹配的全员安全生产责任制</w:t>
            </w:r>
            <w:r>
              <w:rPr>
                <w:rFonts w:ascii="宋体" w:hAnsi="宋体" w:eastAsia="宋体" w:cs="宋体"/>
                <w:snapToGrid w:val="0"/>
                <w:color w:val="000000"/>
                <w:spacing w:val="5"/>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或者未制定实施生产安全事故隐患排查治理</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制度。</w:t>
            </w:r>
          </w:p>
        </w:tc>
        <w:tc>
          <w:tcPr>
            <w:tcW w:w="3057" w:type="dxa"/>
            <w:vAlign w:val="top"/>
          </w:tcPr>
          <w:p w14:paraId="03CF4170">
            <w:pPr>
              <w:kinsoku w:val="0"/>
              <w:autoSpaceDE w:val="0"/>
              <w:autoSpaceDN w:val="0"/>
              <w:adjustRightInd w:val="0"/>
              <w:snapToGrid w:val="0"/>
              <w:spacing w:before="59" w:line="238" w:lineRule="auto"/>
              <w:ind w:left="116" w:right="97" w:firstLine="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建立与岗位相匹配的全员安全</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生产责任制，制定实施生产安全</w:t>
            </w:r>
            <w:r>
              <w:rPr>
                <w:rFonts w:ascii="宋体" w:hAnsi="宋体" w:eastAsia="宋体" w:cs="宋体"/>
                <w:snapToGrid w:val="0"/>
                <w:color w:val="000000"/>
                <w:spacing w:val="9"/>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事故隐患排查治理制度。</w:t>
            </w:r>
          </w:p>
        </w:tc>
        <w:tc>
          <w:tcPr>
            <w:tcW w:w="1097" w:type="dxa"/>
            <w:tcBorders>
              <w:right w:val="single" w:color="000000" w:sz="10" w:space="0"/>
            </w:tcBorders>
            <w:vAlign w:val="top"/>
          </w:tcPr>
          <w:p w14:paraId="0C75501A">
            <w:pPr>
              <w:widowControl/>
              <w:kinsoku w:val="0"/>
              <w:autoSpaceDE w:val="0"/>
              <w:autoSpaceDN w:val="0"/>
              <w:adjustRightInd w:val="0"/>
              <w:snapToGrid w:val="0"/>
              <w:spacing w:line="273" w:lineRule="auto"/>
              <w:jc w:val="left"/>
              <w:textAlignment w:val="baseline"/>
              <w:rPr>
                <w:rFonts w:ascii="Arial" w:hAnsi="Arial" w:eastAsia="Arial" w:cs="Arial"/>
                <w:snapToGrid w:val="0"/>
                <w:color w:val="000000"/>
                <w:kern w:val="0"/>
                <w:sz w:val="21"/>
                <w:lang w:eastAsia="en-US"/>
              </w:rPr>
            </w:pPr>
          </w:p>
          <w:p w14:paraId="057FA781">
            <w:pPr>
              <w:kinsoku w:val="0"/>
              <w:autoSpaceDE w:val="0"/>
              <w:autoSpaceDN w:val="0"/>
              <w:adjustRightInd w:val="0"/>
              <w:snapToGrid w:val="0"/>
              <w:spacing w:before="65"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36DD94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911" w:type="dxa"/>
            <w:tcBorders>
              <w:left w:val="single" w:color="000000" w:sz="10" w:space="0"/>
            </w:tcBorders>
            <w:vAlign w:val="top"/>
          </w:tcPr>
          <w:p w14:paraId="71CB9817">
            <w:pPr>
              <w:widowControl/>
              <w:kinsoku w:val="0"/>
              <w:autoSpaceDE w:val="0"/>
              <w:autoSpaceDN w:val="0"/>
              <w:adjustRightInd w:val="0"/>
              <w:snapToGrid w:val="0"/>
              <w:spacing w:before="184"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17</w:t>
            </w:r>
          </w:p>
        </w:tc>
        <w:tc>
          <w:tcPr>
            <w:tcW w:w="4220" w:type="dxa"/>
            <w:vAlign w:val="top"/>
          </w:tcPr>
          <w:p w14:paraId="1C2DEDC7">
            <w:pPr>
              <w:kinsoku w:val="0"/>
              <w:autoSpaceDE w:val="0"/>
              <w:autoSpaceDN w:val="0"/>
              <w:adjustRightInd w:val="0"/>
              <w:snapToGrid w:val="0"/>
              <w:spacing w:before="149" w:line="228" w:lineRule="auto"/>
              <w:ind w:left="10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未制定操作规程和工艺控制指标。</w:t>
            </w:r>
          </w:p>
        </w:tc>
        <w:tc>
          <w:tcPr>
            <w:tcW w:w="3057" w:type="dxa"/>
            <w:vAlign w:val="top"/>
          </w:tcPr>
          <w:p w14:paraId="4B9CFD21">
            <w:pPr>
              <w:kinsoku w:val="0"/>
              <w:autoSpaceDE w:val="0"/>
              <w:autoSpaceDN w:val="0"/>
              <w:adjustRightInd w:val="0"/>
              <w:snapToGrid w:val="0"/>
              <w:spacing w:before="149" w:line="228" w:lineRule="auto"/>
              <w:ind w:right="14"/>
              <w:jc w:val="righ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制定操作规程和工艺控制指标。</w:t>
            </w:r>
          </w:p>
        </w:tc>
        <w:tc>
          <w:tcPr>
            <w:tcW w:w="1097" w:type="dxa"/>
            <w:tcBorders>
              <w:right w:val="single" w:color="000000" w:sz="10" w:space="0"/>
            </w:tcBorders>
            <w:vAlign w:val="top"/>
          </w:tcPr>
          <w:p w14:paraId="03BB15E3">
            <w:pPr>
              <w:kinsoku w:val="0"/>
              <w:autoSpaceDE w:val="0"/>
              <w:autoSpaceDN w:val="0"/>
              <w:adjustRightInd w:val="0"/>
              <w:snapToGrid w:val="0"/>
              <w:spacing w:before="149"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5B783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trPr>
        <w:tc>
          <w:tcPr>
            <w:tcW w:w="911" w:type="dxa"/>
            <w:tcBorders>
              <w:left w:val="single" w:color="000000" w:sz="10" w:space="0"/>
            </w:tcBorders>
            <w:vAlign w:val="top"/>
          </w:tcPr>
          <w:p w14:paraId="45A44739">
            <w:pPr>
              <w:widowControl/>
              <w:kinsoku w:val="0"/>
              <w:autoSpaceDE w:val="0"/>
              <w:autoSpaceDN w:val="0"/>
              <w:adjustRightInd w:val="0"/>
              <w:snapToGrid w:val="0"/>
              <w:spacing w:line="320" w:lineRule="auto"/>
              <w:jc w:val="left"/>
              <w:textAlignment w:val="baseline"/>
              <w:rPr>
                <w:rFonts w:ascii="Arial" w:hAnsi="Arial" w:eastAsia="Arial" w:cs="Arial"/>
                <w:snapToGrid w:val="0"/>
                <w:color w:val="000000"/>
                <w:kern w:val="0"/>
                <w:sz w:val="21"/>
                <w:lang w:eastAsia="en-US"/>
              </w:rPr>
            </w:pPr>
          </w:p>
          <w:p w14:paraId="7908ACC8">
            <w:pPr>
              <w:widowControl/>
              <w:kinsoku w:val="0"/>
              <w:autoSpaceDE w:val="0"/>
              <w:autoSpaceDN w:val="0"/>
              <w:adjustRightInd w:val="0"/>
              <w:snapToGrid w:val="0"/>
              <w:spacing w:before="57"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18</w:t>
            </w:r>
          </w:p>
        </w:tc>
        <w:tc>
          <w:tcPr>
            <w:tcW w:w="4220" w:type="dxa"/>
            <w:vAlign w:val="top"/>
          </w:tcPr>
          <w:p w14:paraId="4CBC009C">
            <w:pPr>
              <w:kinsoku w:val="0"/>
              <w:autoSpaceDE w:val="0"/>
              <w:autoSpaceDN w:val="0"/>
              <w:adjustRightInd w:val="0"/>
              <w:snapToGrid w:val="0"/>
              <w:spacing w:before="203" w:line="243" w:lineRule="auto"/>
              <w:ind w:left="102" w:right="131" w:firstLine="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未按照国家标准制定动火、进入受限空间等</w:t>
            </w:r>
            <w:r>
              <w:rPr>
                <w:rFonts w:ascii="宋体" w:hAnsi="宋体" w:eastAsia="宋体" w:cs="宋体"/>
                <w:snapToGrid w:val="0"/>
                <w:color w:val="000000"/>
                <w:spacing w:val="5"/>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特殊作业管理制度，或者制度未有效执行。</w:t>
            </w:r>
          </w:p>
        </w:tc>
        <w:tc>
          <w:tcPr>
            <w:tcW w:w="3057" w:type="dxa"/>
            <w:vAlign w:val="top"/>
          </w:tcPr>
          <w:p w14:paraId="3DDBF85C">
            <w:pPr>
              <w:kinsoku w:val="0"/>
              <w:autoSpaceDE w:val="0"/>
              <w:autoSpaceDN w:val="0"/>
              <w:adjustRightInd w:val="0"/>
              <w:snapToGrid w:val="0"/>
              <w:spacing w:before="62" w:line="237" w:lineRule="auto"/>
              <w:ind w:left="117" w:right="97"/>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按照国家标准制定动火、进入受</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限空间等特殊作业管理制度，并</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有效执行。</w:t>
            </w:r>
          </w:p>
        </w:tc>
        <w:tc>
          <w:tcPr>
            <w:tcW w:w="1097" w:type="dxa"/>
            <w:tcBorders>
              <w:right w:val="single" w:color="000000" w:sz="10" w:space="0"/>
            </w:tcBorders>
            <w:vAlign w:val="top"/>
          </w:tcPr>
          <w:p w14:paraId="6314D717">
            <w:pPr>
              <w:widowControl/>
              <w:kinsoku w:val="0"/>
              <w:autoSpaceDE w:val="0"/>
              <w:autoSpaceDN w:val="0"/>
              <w:adjustRightInd w:val="0"/>
              <w:snapToGrid w:val="0"/>
              <w:spacing w:line="277" w:lineRule="auto"/>
              <w:jc w:val="left"/>
              <w:textAlignment w:val="baseline"/>
              <w:rPr>
                <w:rFonts w:ascii="Arial" w:hAnsi="Arial" w:eastAsia="Arial" w:cs="Arial"/>
                <w:snapToGrid w:val="0"/>
                <w:color w:val="000000"/>
                <w:kern w:val="0"/>
                <w:sz w:val="21"/>
                <w:lang w:eastAsia="en-US"/>
              </w:rPr>
            </w:pPr>
          </w:p>
          <w:p w14:paraId="118FD9C7">
            <w:pPr>
              <w:kinsoku w:val="0"/>
              <w:autoSpaceDE w:val="0"/>
              <w:autoSpaceDN w:val="0"/>
              <w:adjustRightInd w:val="0"/>
              <w:snapToGrid w:val="0"/>
              <w:spacing w:before="65"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54B3A8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82" w:hRule="atLeast"/>
        </w:trPr>
        <w:tc>
          <w:tcPr>
            <w:tcW w:w="911" w:type="dxa"/>
            <w:tcBorders>
              <w:left w:val="single" w:color="000000" w:sz="10" w:space="0"/>
            </w:tcBorders>
            <w:vAlign w:val="top"/>
          </w:tcPr>
          <w:p w14:paraId="0C046411">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232E377B">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58EEB3F1">
            <w:pPr>
              <w:widowControl/>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lang w:eastAsia="en-US"/>
              </w:rPr>
            </w:pPr>
          </w:p>
          <w:p w14:paraId="54DA1164">
            <w:pPr>
              <w:widowControl/>
              <w:kinsoku w:val="0"/>
              <w:autoSpaceDE w:val="0"/>
              <w:autoSpaceDN w:val="0"/>
              <w:adjustRightInd w:val="0"/>
              <w:snapToGrid w:val="0"/>
              <w:spacing w:before="57" w:line="195" w:lineRule="auto"/>
              <w:ind w:left="35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19</w:t>
            </w:r>
          </w:p>
        </w:tc>
        <w:tc>
          <w:tcPr>
            <w:tcW w:w="4220" w:type="dxa"/>
            <w:vAlign w:val="top"/>
          </w:tcPr>
          <w:p w14:paraId="3AAEF41F">
            <w:pPr>
              <w:kinsoku w:val="0"/>
              <w:autoSpaceDE w:val="0"/>
              <w:autoSpaceDN w:val="0"/>
              <w:adjustRightInd w:val="0"/>
              <w:snapToGrid w:val="0"/>
              <w:spacing w:before="66" w:line="247" w:lineRule="auto"/>
              <w:ind w:left="102" w:right="13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新开发的危险化学品生产工艺未经小试、中</w:t>
            </w:r>
            <w:r>
              <w:rPr>
                <w:rFonts w:ascii="宋体" w:hAnsi="宋体" w:eastAsia="宋体" w:cs="宋体"/>
                <w:snapToGrid w:val="0"/>
                <w:color w:val="000000"/>
                <w:spacing w:val="7"/>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试、工业化试验直接进行工业化生产；国内</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首次使用的化工工艺未经过省级人民政府有</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关部门组织的安全可靠性论证；新建装置未</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制定试生产方案投料开车；精细化工企业未</w:t>
            </w:r>
            <w:r>
              <w:rPr>
                <w:rFonts w:ascii="宋体" w:hAnsi="宋体" w:eastAsia="宋体" w:cs="宋体"/>
                <w:snapToGrid w:val="0"/>
                <w:color w:val="000000"/>
                <w:spacing w:val="8"/>
                <w:kern w:val="0"/>
                <w:sz w:val="20"/>
                <w:szCs w:val="20"/>
                <w:lang w:val="en-US" w:eastAsia="en-US" w:bidi="ar-SA"/>
              </w:rPr>
              <w:t xml:space="preserve"> 按规范性文件要求开展反应安全风险评估。</w:t>
            </w:r>
          </w:p>
        </w:tc>
        <w:tc>
          <w:tcPr>
            <w:tcW w:w="3057" w:type="dxa"/>
            <w:vAlign w:val="top"/>
          </w:tcPr>
          <w:p w14:paraId="78BA66E8">
            <w:pPr>
              <w:widowControl/>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lang w:eastAsia="en-US"/>
              </w:rPr>
            </w:pPr>
          </w:p>
          <w:p w14:paraId="05E3F8DE">
            <w:pPr>
              <w:widowControl/>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lang w:eastAsia="en-US"/>
              </w:rPr>
            </w:pPr>
          </w:p>
          <w:p w14:paraId="72FDFF73">
            <w:pPr>
              <w:kinsoku w:val="0"/>
              <w:autoSpaceDE w:val="0"/>
              <w:autoSpaceDN w:val="0"/>
              <w:adjustRightInd w:val="0"/>
              <w:snapToGrid w:val="0"/>
              <w:spacing w:before="65" w:line="246" w:lineRule="auto"/>
              <w:ind w:left="114" w:right="214" w:firstLine="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属于既有加油站，没有新建装</w:t>
            </w:r>
            <w:r>
              <w:rPr>
                <w:rFonts w:ascii="宋体" w:hAnsi="宋体" w:eastAsia="宋体" w:cs="宋体"/>
                <w:snapToGrid w:val="0"/>
                <w:color w:val="000000"/>
                <w:spacing w:val="1"/>
                <w:kern w:val="0"/>
                <w:sz w:val="20"/>
                <w:szCs w:val="20"/>
                <w:lang w:val="en-US" w:eastAsia="en-US" w:bidi="ar-SA"/>
              </w:rPr>
              <w:t xml:space="preserve"> 置。</w:t>
            </w:r>
          </w:p>
        </w:tc>
        <w:tc>
          <w:tcPr>
            <w:tcW w:w="1097" w:type="dxa"/>
            <w:tcBorders>
              <w:right w:val="single" w:color="000000" w:sz="10" w:space="0"/>
            </w:tcBorders>
            <w:vAlign w:val="top"/>
          </w:tcPr>
          <w:p w14:paraId="20E0D574">
            <w:pPr>
              <w:widowControl/>
              <w:kinsoku w:val="0"/>
              <w:autoSpaceDE w:val="0"/>
              <w:autoSpaceDN w:val="0"/>
              <w:adjustRightInd w:val="0"/>
              <w:snapToGrid w:val="0"/>
              <w:spacing w:line="348" w:lineRule="auto"/>
              <w:jc w:val="left"/>
              <w:textAlignment w:val="baseline"/>
              <w:rPr>
                <w:rFonts w:ascii="Arial" w:hAnsi="Arial" w:eastAsia="Arial" w:cs="Arial"/>
                <w:snapToGrid w:val="0"/>
                <w:color w:val="000000"/>
                <w:kern w:val="0"/>
                <w:sz w:val="21"/>
                <w:lang w:eastAsia="en-US"/>
              </w:rPr>
            </w:pPr>
          </w:p>
          <w:p w14:paraId="00CA7812">
            <w:pPr>
              <w:widowControl/>
              <w:kinsoku w:val="0"/>
              <w:autoSpaceDE w:val="0"/>
              <w:autoSpaceDN w:val="0"/>
              <w:adjustRightInd w:val="0"/>
              <w:snapToGrid w:val="0"/>
              <w:spacing w:line="348" w:lineRule="auto"/>
              <w:jc w:val="left"/>
              <w:textAlignment w:val="baseline"/>
              <w:rPr>
                <w:rFonts w:ascii="Arial" w:hAnsi="Arial" w:eastAsia="Arial" w:cs="Arial"/>
                <w:snapToGrid w:val="0"/>
                <w:color w:val="000000"/>
                <w:kern w:val="0"/>
                <w:sz w:val="21"/>
                <w:lang w:eastAsia="en-US"/>
              </w:rPr>
            </w:pPr>
          </w:p>
          <w:p w14:paraId="07AE875C">
            <w:pPr>
              <w:kinsoku w:val="0"/>
              <w:autoSpaceDE w:val="0"/>
              <w:autoSpaceDN w:val="0"/>
              <w:adjustRightInd w:val="0"/>
              <w:snapToGrid w:val="0"/>
              <w:spacing w:before="65"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r w14:paraId="68AA81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7" w:hRule="atLeast"/>
        </w:trPr>
        <w:tc>
          <w:tcPr>
            <w:tcW w:w="911" w:type="dxa"/>
            <w:tcBorders>
              <w:left w:val="single" w:color="000000" w:sz="10" w:space="0"/>
              <w:bottom w:val="single" w:color="000000" w:sz="10" w:space="0"/>
            </w:tcBorders>
            <w:vAlign w:val="top"/>
          </w:tcPr>
          <w:p w14:paraId="7BE38F52">
            <w:pPr>
              <w:widowControl/>
              <w:kinsoku w:val="0"/>
              <w:autoSpaceDE w:val="0"/>
              <w:autoSpaceDN w:val="0"/>
              <w:adjustRightInd w:val="0"/>
              <w:snapToGrid w:val="0"/>
              <w:spacing w:line="324" w:lineRule="auto"/>
              <w:jc w:val="left"/>
              <w:textAlignment w:val="baseline"/>
              <w:rPr>
                <w:rFonts w:ascii="Arial" w:hAnsi="Arial" w:eastAsia="Arial" w:cs="Arial"/>
                <w:snapToGrid w:val="0"/>
                <w:color w:val="000000"/>
                <w:kern w:val="0"/>
                <w:sz w:val="21"/>
                <w:lang w:eastAsia="en-US"/>
              </w:rPr>
            </w:pPr>
          </w:p>
          <w:p w14:paraId="21FBE689">
            <w:pPr>
              <w:widowControl/>
              <w:kinsoku w:val="0"/>
              <w:autoSpaceDE w:val="0"/>
              <w:autoSpaceDN w:val="0"/>
              <w:adjustRightInd w:val="0"/>
              <w:snapToGrid w:val="0"/>
              <w:spacing w:before="57" w:line="195" w:lineRule="auto"/>
              <w:ind w:left="33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2"/>
                <w:kern w:val="0"/>
                <w:sz w:val="20"/>
                <w:szCs w:val="20"/>
                <w:lang w:eastAsia="en-US"/>
              </w:rPr>
              <w:t>20</w:t>
            </w:r>
          </w:p>
        </w:tc>
        <w:tc>
          <w:tcPr>
            <w:tcW w:w="4220" w:type="dxa"/>
            <w:tcBorders>
              <w:bottom w:val="single" w:color="000000" w:sz="10" w:space="0"/>
            </w:tcBorders>
            <w:vAlign w:val="top"/>
          </w:tcPr>
          <w:p w14:paraId="4006D4A9">
            <w:pPr>
              <w:kinsoku w:val="0"/>
              <w:autoSpaceDE w:val="0"/>
              <w:autoSpaceDN w:val="0"/>
              <w:adjustRightInd w:val="0"/>
              <w:snapToGrid w:val="0"/>
              <w:spacing w:before="70" w:line="242" w:lineRule="auto"/>
              <w:ind w:left="102" w:right="131" w:firstLine="3"/>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未按国家标准分区分类储存危险化学品，超</w:t>
            </w:r>
            <w:r>
              <w:rPr>
                <w:rFonts w:ascii="宋体" w:hAnsi="宋体" w:eastAsia="宋体" w:cs="宋体"/>
                <w:snapToGrid w:val="0"/>
                <w:color w:val="000000"/>
                <w:spacing w:val="5"/>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量、超品种储存危险化学品，相互禁配物质</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混放混存。</w:t>
            </w:r>
          </w:p>
        </w:tc>
        <w:tc>
          <w:tcPr>
            <w:tcW w:w="3057" w:type="dxa"/>
            <w:tcBorders>
              <w:bottom w:val="single" w:color="000000" w:sz="10" w:space="0"/>
            </w:tcBorders>
            <w:vAlign w:val="top"/>
          </w:tcPr>
          <w:p w14:paraId="12A587B9">
            <w:pPr>
              <w:kinsoku w:val="0"/>
              <w:autoSpaceDE w:val="0"/>
              <w:autoSpaceDN w:val="0"/>
              <w:adjustRightInd w:val="0"/>
              <w:snapToGrid w:val="0"/>
              <w:spacing w:before="70" w:line="242" w:lineRule="auto"/>
              <w:ind w:left="118" w:right="39" w:firstLine="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油品分类、分标号、分油罐储存，</w:t>
            </w:r>
            <w:r>
              <w:rPr>
                <w:rFonts w:ascii="宋体" w:hAnsi="宋体" w:eastAsia="宋体" w:cs="宋体"/>
                <w:snapToGrid w:val="0"/>
                <w:color w:val="000000"/>
                <w:spacing w:val="11"/>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无超量、超品种储存危险化学</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品，无相互禁配物质混放混存。</w:t>
            </w:r>
          </w:p>
        </w:tc>
        <w:tc>
          <w:tcPr>
            <w:tcW w:w="1097" w:type="dxa"/>
            <w:tcBorders>
              <w:bottom w:val="single" w:color="000000" w:sz="10" w:space="0"/>
              <w:right w:val="single" w:color="000000" w:sz="10" w:space="0"/>
            </w:tcBorders>
            <w:vAlign w:val="top"/>
          </w:tcPr>
          <w:p w14:paraId="56F3077D">
            <w:pPr>
              <w:widowControl/>
              <w:kinsoku w:val="0"/>
              <w:autoSpaceDE w:val="0"/>
              <w:autoSpaceDN w:val="0"/>
              <w:adjustRightInd w:val="0"/>
              <w:snapToGrid w:val="0"/>
              <w:spacing w:line="281" w:lineRule="auto"/>
              <w:jc w:val="left"/>
              <w:textAlignment w:val="baseline"/>
              <w:rPr>
                <w:rFonts w:ascii="Arial" w:hAnsi="Arial" w:eastAsia="Arial" w:cs="Arial"/>
                <w:snapToGrid w:val="0"/>
                <w:color w:val="000000"/>
                <w:kern w:val="0"/>
                <w:sz w:val="21"/>
                <w:lang w:eastAsia="en-US"/>
              </w:rPr>
            </w:pPr>
          </w:p>
          <w:p w14:paraId="79B9A14E">
            <w:pPr>
              <w:kinsoku w:val="0"/>
              <w:autoSpaceDE w:val="0"/>
              <w:autoSpaceDN w:val="0"/>
              <w:adjustRightInd w:val="0"/>
              <w:snapToGrid w:val="0"/>
              <w:spacing w:before="65" w:line="228" w:lineRule="auto"/>
              <w:ind w:left="3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合格</w:t>
            </w:r>
          </w:p>
        </w:tc>
      </w:tr>
    </w:tbl>
    <w:p w14:paraId="076F73CF">
      <w:pPr>
        <w:widowControl/>
        <w:kinsoku w:val="0"/>
        <w:autoSpaceDE w:val="0"/>
        <w:autoSpaceDN w:val="0"/>
        <w:adjustRightInd w:val="0"/>
        <w:snapToGrid w:val="0"/>
        <w:spacing w:before="114" w:line="220" w:lineRule="auto"/>
        <w:ind w:left="613"/>
        <w:jc w:val="center"/>
        <w:textAlignment w:val="baseline"/>
        <w:rPr>
          <w:rFonts w:ascii="宋体" w:hAnsi="宋体" w:eastAsia="宋体" w:cs="宋体"/>
          <w:b w:val="0"/>
          <w:bCs w:val="0"/>
          <w:snapToGrid w:val="0"/>
          <w:color w:val="000000"/>
          <w:kern w:val="0"/>
          <w:sz w:val="24"/>
          <w:szCs w:val="24"/>
          <w:lang w:eastAsia="en-US"/>
        </w:rPr>
      </w:pPr>
      <w:r>
        <w:rPr>
          <w:rFonts w:ascii="宋体" w:hAnsi="宋体" w:eastAsia="宋体" w:cs="宋体"/>
          <w:b w:val="0"/>
          <w:bCs w:val="0"/>
          <w:snapToGrid w:val="0"/>
          <w:color w:val="000000"/>
          <w:spacing w:val="-2"/>
          <w:kern w:val="0"/>
          <w:sz w:val="24"/>
          <w:szCs w:val="24"/>
          <w:lang w:eastAsia="en-US"/>
        </w:rPr>
        <w:t>从上表可见，该加油站经判定无重大生产安全</w:t>
      </w:r>
      <w:r>
        <w:rPr>
          <w:rFonts w:ascii="宋体" w:hAnsi="宋体" w:eastAsia="宋体" w:cs="宋体"/>
          <w:b w:val="0"/>
          <w:bCs w:val="0"/>
          <w:snapToGrid w:val="0"/>
          <w:color w:val="000000"/>
          <w:spacing w:val="-3"/>
          <w:kern w:val="0"/>
          <w:sz w:val="24"/>
          <w:szCs w:val="24"/>
          <w:lang w:eastAsia="en-US"/>
        </w:rPr>
        <w:t>事故隐患。</w:t>
      </w:r>
    </w:p>
    <w:p w14:paraId="50940A11">
      <w:pPr>
        <w:rPr>
          <w:rFonts w:hint="eastAsia"/>
          <w:lang w:eastAsia="en-US"/>
        </w:rPr>
      </w:pPr>
      <w:r>
        <w:rPr>
          <w:rFonts w:hint="eastAsia"/>
          <w:lang w:eastAsia="en-US"/>
        </w:rPr>
        <w:br w:type="page"/>
      </w:r>
    </w:p>
    <w:p w14:paraId="6B9688A7">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39" w:name="_Toc26427"/>
      <w:r>
        <w:rPr>
          <w:rFonts w:hint="eastAsia" w:ascii="楷体" w:hAnsi="楷体" w:eastAsia="楷体" w:cs="楷体"/>
          <w:sz w:val="32"/>
          <w:szCs w:val="32"/>
          <w:lang w:eastAsia="en-US"/>
        </w:rPr>
        <w:t>5.7.2 重点监管危险化学品安全检查表</w:t>
      </w:r>
      <w:bookmarkEnd w:id="239"/>
    </w:p>
    <w:p w14:paraId="49303EB9">
      <w:pPr>
        <w:widowControl/>
        <w:kinsoku w:val="0"/>
        <w:autoSpaceDE w:val="0"/>
        <w:autoSpaceDN w:val="0"/>
        <w:adjustRightInd w:val="0"/>
        <w:snapToGrid w:val="0"/>
        <w:spacing w:before="233" w:line="220" w:lineRule="auto"/>
        <w:ind w:left="2376"/>
        <w:jc w:val="left"/>
        <w:textAlignment w:val="baseline"/>
        <w:rPr>
          <w:rFonts w:ascii="宋体" w:hAnsi="宋体" w:eastAsia="宋体" w:cs="宋体"/>
          <w:snapToGrid w:val="0"/>
          <w:color w:val="000000"/>
          <w:kern w:val="0"/>
          <w:sz w:val="24"/>
          <w:szCs w:val="24"/>
          <w:lang w:eastAsia="en-US"/>
        </w:rPr>
      </w:pPr>
      <w:r>
        <w:rPr>
          <w:rFonts w:ascii="宋体" w:hAnsi="宋体" w:eastAsia="宋体" w:cs="宋体"/>
          <w:b/>
          <w:bCs/>
          <w:snapToGrid w:val="0"/>
          <w:color w:val="000000"/>
          <w:spacing w:val="-2"/>
          <w:kern w:val="0"/>
          <w:sz w:val="24"/>
          <w:szCs w:val="24"/>
          <w:lang w:eastAsia="en-US"/>
        </w:rPr>
        <w:t>表</w:t>
      </w:r>
      <w:r>
        <w:rPr>
          <w:rFonts w:ascii="宋体" w:hAnsi="宋体" w:eastAsia="宋体" w:cs="宋体"/>
          <w:snapToGrid w:val="0"/>
          <w:color w:val="000000"/>
          <w:spacing w:val="-47"/>
          <w:kern w:val="0"/>
          <w:sz w:val="24"/>
          <w:szCs w:val="24"/>
          <w:lang w:eastAsia="en-US"/>
        </w:rPr>
        <w:t xml:space="preserve"> </w:t>
      </w:r>
      <w:r>
        <w:rPr>
          <w:rFonts w:ascii="Times New Roman" w:hAnsi="Times New Roman" w:eastAsia="Times New Roman" w:cs="Times New Roman"/>
          <w:b/>
          <w:bCs/>
          <w:snapToGrid w:val="0"/>
          <w:color w:val="000000"/>
          <w:spacing w:val="-2"/>
          <w:kern w:val="0"/>
          <w:sz w:val="24"/>
          <w:szCs w:val="24"/>
          <w:lang w:eastAsia="en-US"/>
        </w:rPr>
        <w:t>5</w:t>
      </w:r>
      <w:r>
        <w:rPr>
          <w:rFonts w:hint="eastAsia" w:ascii="Times New Roman" w:hAnsi="Times New Roman" w:eastAsia="宋体" w:cs="Times New Roman"/>
          <w:b/>
          <w:bCs/>
          <w:snapToGrid w:val="0"/>
          <w:color w:val="000000"/>
          <w:spacing w:val="-2"/>
          <w:kern w:val="0"/>
          <w:sz w:val="24"/>
          <w:szCs w:val="24"/>
          <w:lang w:val="en-US" w:eastAsia="zh-CN"/>
        </w:rPr>
        <w:t>-13</w:t>
      </w:r>
      <w:r>
        <w:rPr>
          <w:rFonts w:ascii="宋体" w:hAnsi="宋体" w:eastAsia="宋体" w:cs="宋体"/>
          <w:b/>
          <w:bCs/>
          <w:snapToGrid w:val="0"/>
          <w:color w:val="000000"/>
          <w:spacing w:val="-2"/>
          <w:kern w:val="0"/>
          <w:sz w:val="24"/>
          <w:szCs w:val="24"/>
          <w:lang w:eastAsia="en-US"/>
        </w:rPr>
        <w:t>汽油重点监管危化品安全措施检查表</w:t>
      </w:r>
    </w:p>
    <w:p w14:paraId="1E6474E9">
      <w:pPr>
        <w:widowControl/>
        <w:kinsoku w:val="0"/>
        <w:autoSpaceDE w:val="0"/>
        <w:autoSpaceDN w:val="0"/>
        <w:adjustRightInd w:val="0"/>
        <w:snapToGrid w:val="0"/>
        <w:spacing w:line="67" w:lineRule="exact"/>
        <w:jc w:val="left"/>
        <w:textAlignment w:val="baseline"/>
        <w:rPr>
          <w:rFonts w:ascii="Arial" w:hAnsi="Arial" w:eastAsia="Arial" w:cs="Arial"/>
          <w:snapToGrid w:val="0"/>
          <w:color w:val="000000"/>
          <w:kern w:val="0"/>
          <w:lang w:eastAsia="en-US"/>
        </w:rPr>
      </w:pPr>
    </w:p>
    <w:tbl>
      <w:tblPr>
        <w:tblStyle w:val="47"/>
        <w:tblW w:w="9102"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3"/>
        <w:gridCol w:w="3137"/>
        <w:gridCol w:w="2896"/>
        <w:gridCol w:w="1554"/>
        <w:gridCol w:w="752"/>
      </w:tblGrid>
      <w:tr w14:paraId="4EC2F2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763" w:type="dxa"/>
            <w:tcBorders>
              <w:top w:val="single" w:color="000000" w:sz="10" w:space="0"/>
              <w:left w:val="single" w:color="000000" w:sz="10" w:space="0"/>
            </w:tcBorders>
            <w:vAlign w:val="top"/>
          </w:tcPr>
          <w:p w14:paraId="6823A1DD">
            <w:pPr>
              <w:kinsoku w:val="0"/>
              <w:autoSpaceDE w:val="0"/>
              <w:autoSpaceDN w:val="0"/>
              <w:adjustRightInd w:val="0"/>
              <w:snapToGrid w:val="0"/>
              <w:spacing w:before="58" w:line="230" w:lineRule="auto"/>
              <w:ind w:left="15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4"/>
                <w:kern w:val="0"/>
                <w:sz w:val="20"/>
                <w:szCs w:val="20"/>
                <w:lang w:val="en-US" w:eastAsia="en-US" w:bidi="ar-SA"/>
              </w:rPr>
              <w:t>序号</w:t>
            </w:r>
          </w:p>
        </w:tc>
        <w:tc>
          <w:tcPr>
            <w:tcW w:w="3137" w:type="dxa"/>
            <w:tcBorders>
              <w:top w:val="single" w:color="000000" w:sz="10" w:space="0"/>
            </w:tcBorders>
            <w:vAlign w:val="top"/>
          </w:tcPr>
          <w:p w14:paraId="7C8E7CB1">
            <w:pPr>
              <w:kinsoku w:val="0"/>
              <w:autoSpaceDE w:val="0"/>
              <w:autoSpaceDN w:val="0"/>
              <w:adjustRightInd w:val="0"/>
              <w:snapToGrid w:val="0"/>
              <w:spacing w:before="58" w:line="228" w:lineRule="auto"/>
              <w:ind w:left="83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7"/>
                <w:kern w:val="0"/>
                <w:sz w:val="20"/>
                <w:szCs w:val="20"/>
                <w:lang w:val="en-US" w:eastAsia="en-US" w:bidi="ar-SA"/>
              </w:rPr>
              <w:t>检查项目及内容</w:t>
            </w:r>
          </w:p>
        </w:tc>
        <w:tc>
          <w:tcPr>
            <w:tcW w:w="2896" w:type="dxa"/>
            <w:tcBorders>
              <w:top w:val="single" w:color="000000" w:sz="10" w:space="0"/>
            </w:tcBorders>
            <w:vAlign w:val="top"/>
          </w:tcPr>
          <w:p w14:paraId="478ED9A8">
            <w:pPr>
              <w:kinsoku w:val="0"/>
              <w:autoSpaceDE w:val="0"/>
              <w:autoSpaceDN w:val="0"/>
              <w:adjustRightInd w:val="0"/>
              <w:snapToGrid w:val="0"/>
              <w:spacing w:before="58" w:line="227" w:lineRule="auto"/>
              <w:ind w:left="103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评价依据</w:t>
            </w:r>
          </w:p>
        </w:tc>
        <w:tc>
          <w:tcPr>
            <w:tcW w:w="1554" w:type="dxa"/>
            <w:tcBorders>
              <w:top w:val="single" w:color="000000" w:sz="10" w:space="0"/>
            </w:tcBorders>
            <w:vAlign w:val="top"/>
          </w:tcPr>
          <w:p w14:paraId="53EF513C">
            <w:pPr>
              <w:kinsoku w:val="0"/>
              <w:autoSpaceDE w:val="0"/>
              <w:autoSpaceDN w:val="0"/>
              <w:adjustRightInd w:val="0"/>
              <w:snapToGrid w:val="0"/>
              <w:spacing w:before="58" w:line="228" w:lineRule="auto"/>
              <w:ind w:left="37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检查记录</w:t>
            </w:r>
          </w:p>
        </w:tc>
        <w:tc>
          <w:tcPr>
            <w:tcW w:w="752" w:type="dxa"/>
            <w:tcBorders>
              <w:top w:val="single" w:color="000000" w:sz="10" w:space="0"/>
              <w:right w:val="single" w:color="000000" w:sz="10" w:space="0"/>
            </w:tcBorders>
            <w:vAlign w:val="top"/>
          </w:tcPr>
          <w:p w14:paraId="14171B8B">
            <w:pPr>
              <w:kinsoku w:val="0"/>
              <w:autoSpaceDE w:val="0"/>
              <w:autoSpaceDN w:val="0"/>
              <w:adjustRightInd w:val="0"/>
              <w:snapToGrid w:val="0"/>
              <w:spacing w:before="58" w:line="229" w:lineRule="auto"/>
              <w:ind w:left="17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1"/>
                <w:kern w:val="0"/>
                <w:sz w:val="20"/>
                <w:szCs w:val="20"/>
                <w:lang w:val="en-US" w:eastAsia="en-US" w:bidi="ar-SA"/>
              </w:rPr>
              <w:t>结果</w:t>
            </w:r>
          </w:p>
        </w:tc>
      </w:tr>
      <w:tr w14:paraId="747804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763" w:type="dxa"/>
            <w:tcBorders>
              <w:left w:val="single" w:color="000000" w:sz="10" w:space="0"/>
            </w:tcBorders>
            <w:vAlign w:val="top"/>
          </w:tcPr>
          <w:p w14:paraId="7D1C5575">
            <w:pPr>
              <w:widowControl/>
              <w:kinsoku w:val="0"/>
              <w:autoSpaceDE w:val="0"/>
              <w:autoSpaceDN w:val="0"/>
              <w:adjustRightInd w:val="0"/>
              <w:snapToGrid w:val="0"/>
              <w:spacing w:line="366" w:lineRule="auto"/>
              <w:jc w:val="left"/>
              <w:textAlignment w:val="baseline"/>
              <w:rPr>
                <w:rFonts w:ascii="Arial" w:hAnsi="Arial" w:eastAsia="Arial" w:cs="Arial"/>
                <w:snapToGrid w:val="0"/>
                <w:color w:val="000000"/>
                <w:kern w:val="0"/>
                <w:sz w:val="21"/>
                <w:lang w:eastAsia="en-US"/>
              </w:rPr>
            </w:pPr>
          </w:p>
          <w:p w14:paraId="2D7A2DA7">
            <w:pPr>
              <w:widowControl/>
              <w:kinsoku w:val="0"/>
              <w:autoSpaceDE w:val="0"/>
              <w:autoSpaceDN w:val="0"/>
              <w:adjustRightInd w:val="0"/>
              <w:snapToGrid w:val="0"/>
              <w:spacing w:before="57" w:line="195" w:lineRule="auto"/>
              <w:ind w:left="33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3137" w:type="dxa"/>
            <w:vAlign w:val="top"/>
          </w:tcPr>
          <w:p w14:paraId="15C8CAA5">
            <w:pPr>
              <w:kinsoku w:val="0"/>
              <w:autoSpaceDE w:val="0"/>
              <w:autoSpaceDN w:val="0"/>
              <w:adjustRightInd w:val="0"/>
              <w:snapToGrid w:val="0"/>
              <w:spacing w:before="127" w:line="237" w:lineRule="auto"/>
              <w:ind w:left="23" w:right="2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操作人员必须经过专门培训，严格</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遵守操作规程，熟练掌握操作技</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能，具备应急处置知识；</w:t>
            </w:r>
          </w:p>
        </w:tc>
        <w:tc>
          <w:tcPr>
            <w:tcW w:w="2896" w:type="dxa"/>
            <w:vAlign w:val="top"/>
          </w:tcPr>
          <w:p w14:paraId="4B1EF5CE">
            <w:pPr>
              <w:kinsoku w:val="0"/>
              <w:autoSpaceDE w:val="0"/>
              <w:autoSpaceDN w:val="0"/>
              <w:adjustRightInd w:val="0"/>
              <w:snapToGrid w:val="0"/>
              <w:spacing w:before="128" w:line="235"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1490D733">
            <w:pPr>
              <w:kinsoku w:val="0"/>
              <w:autoSpaceDE w:val="0"/>
              <w:autoSpaceDN w:val="0"/>
              <w:adjustRightInd w:val="0"/>
              <w:snapToGrid w:val="0"/>
              <w:spacing w:before="10"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vAlign w:val="top"/>
          </w:tcPr>
          <w:p w14:paraId="16BF71C7">
            <w:pPr>
              <w:widowControl/>
              <w:kinsoku w:val="0"/>
              <w:autoSpaceDE w:val="0"/>
              <w:autoSpaceDN w:val="0"/>
              <w:adjustRightInd w:val="0"/>
              <w:snapToGrid w:val="0"/>
              <w:spacing w:line="323" w:lineRule="auto"/>
              <w:jc w:val="left"/>
              <w:textAlignment w:val="baseline"/>
              <w:rPr>
                <w:rFonts w:ascii="Arial" w:hAnsi="Arial" w:eastAsia="Arial" w:cs="Arial"/>
                <w:snapToGrid w:val="0"/>
                <w:color w:val="000000"/>
                <w:kern w:val="0"/>
                <w:sz w:val="21"/>
                <w:lang w:eastAsia="en-US"/>
              </w:rPr>
            </w:pPr>
          </w:p>
          <w:p w14:paraId="33ABF572">
            <w:pPr>
              <w:kinsoku w:val="0"/>
              <w:autoSpaceDE w:val="0"/>
              <w:autoSpaceDN w:val="0"/>
              <w:adjustRightInd w:val="0"/>
              <w:snapToGrid w:val="0"/>
              <w:spacing w:before="65" w:line="229" w:lineRule="auto"/>
              <w:ind w:left="4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经过专门培训。</w:t>
            </w:r>
          </w:p>
        </w:tc>
        <w:tc>
          <w:tcPr>
            <w:tcW w:w="752" w:type="dxa"/>
            <w:tcBorders>
              <w:right w:val="single" w:color="000000" w:sz="10" w:space="0"/>
            </w:tcBorders>
            <w:vAlign w:val="top"/>
          </w:tcPr>
          <w:p w14:paraId="00F8B5F6">
            <w:pPr>
              <w:widowControl/>
              <w:kinsoku w:val="0"/>
              <w:autoSpaceDE w:val="0"/>
              <w:autoSpaceDN w:val="0"/>
              <w:adjustRightInd w:val="0"/>
              <w:snapToGrid w:val="0"/>
              <w:spacing w:line="323" w:lineRule="auto"/>
              <w:jc w:val="left"/>
              <w:textAlignment w:val="baseline"/>
              <w:rPr>
                <w:rFonts w:ascii="Arial" w:hAnsi="Arial" w:eastAsia="Arial" w:cs="Arial"/>
                <w:snapToGrid w:val="0"/>
                <w:color w:val="000000"/>
                <w:kern w:val="0"/>
                <w:sz w:val="21"/>
                <w:lang w:eastAsia="en-US"/>
              </w:rPr>
            </w:pPr>
          </w:p>
          <w:p w14:paraId="44811E7B">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r w14:paraId="3120AB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76" w:hRule="atLeast"/>
        </w:trPr>
        <w:tc>
          <w:tcPr>
            <w:tcW w:w="763" w:type="dxa"/>
            <w:tcBorders>
              <w:left w:val="single" w:color="000000" w:sz="10" w:space="0"/>
            </w:tcBorders>
            <w:vAlign w:val="top"/>
          </w:tcPr>
          <w:p w14:paraId="2633C179">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4558094C">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76DB50E4">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77E1556F">
            <w:pPr>
              <w:widowControl/>
              <w:kinsoku w:val="0"/>
              <w:autoSpaceDE w:val="0"/>
              <w:autoSpaceDN w:val="0"/>
              <w:adjustRightInd w:val="0"/>
              <w:snapToGrid w:val="0"/>
              <w:spacing w:line="291" w:lineRule="auto"/>
              <w:jc w:val="left"/>
              <w:textAlignment w:val="baseline"/>
              <w:rPr>
                <w:rFonts w:ascii="Arial" w:hAnsi="Arial" w:eastAsia="Arial" w:cs="Arial"/>
                <w:snapToGrid w:val="0"/>
                <w:color w:val="000000"/>
                <w:kern w:val="0"/>
                <w:sz w:val="21"/>
                <w:lang w:eastAsia="en-US"/>
              </w:rPr>
            </w:pPr>
          </w:p>
          <w:p w14:paraId="07B0DA77">
            <w:pPr>
              <w:widowControl/>
              <w:kinsoku w:val="0"/>
              <w:autoSpaceDE w:val="0"/>
              <w:autoSpaceDN w:val="0"/>
              <w:adjustRightInd w:val="0"/>
              <w:snapToGrid w:val="0"/>
              <w:spacing w:before="57" w:line="195" w:lineRule="auto"/>
              <w:ind w:left="31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3137" w:type="dxa"/>
            <w:vAlign w:val="top"/>
          </w:tcPr>
          <w:p w14:paraId="22580DEF">
            <w:pPr>
              <w:widowControl/>
              <w:kinsoku w:val="0"/>
              <w:autoSpaceDE w:val="0"/>
              <w:autoSpaceDN w:val="0"/>
              <w:adjustRightInd w:val="0"/>
              <w:snapToGrid w:val="0"/>
              <w:spacing w:line="345" w:lineRule="auto"/>
              <w:jc w:val="left"/>
              <w:textAlignment w:val="baseline"/>
              <w:rPr>
                <w:rFonts w:ascii="Arial" w:hAnsi="Arial" w:eastAsia="Arial" w:cs="Arial"/>
                <w:snapToGrid w:val="0"/>
                <w:color w:val="000000"/>
                <w:kern w:val="0"/>
                <w:sz w:val="21"/>
                <w:lang w:eastAsia="en-US"/>
              </w:rPr>
            </w:pPr>
          </w:p>
          <w:p w14:paraId="73FE7A31">
            <w:pPr>
              <w:kinsoku w:val="0"/>
              <w:autoSpaceDE w:val="0"/>
              <w:autoSpaceDN w:val="0"/>
              <w:adjustRightInd w:val="0"/>
              <w:snapToGrid w:val="0"/>
              <w:spacing w:before="65" w:line="238" w:lineRule="auto"/>
              <w:ind w:left="23" w:firstLine="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密闭操作，防止泄漏，工作场所全</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面通风。远离火种、热源，工作场 所严禁吸烟。配备易燃气体泄漏监 测报警仪，使用防爆型通风系统和</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设备，配备两套以上重型防护服。</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 xml:space="preserve">操作人员穿防静电工作服，戴耐油 </w:t>
            </w:r>
            <w:r>
              <w:rPr>
                <w:rFonts w:ascii="宋体" w:hAnsi="宋体" w:eastAsia="宋体" w:cs="宋体"/>
                <w:snapToGrid w:val="0"/>
                <w:color w:val="000000"/>
                <w:spacing w:val="6"/>
                <w:kern w:val="0"/>
                <w:sz w:val="20"/>
                <w:szCs w:val="20"/>
                <w:lang w:val="en-US" w:eastAsia="en-US" w:bidi="ar-SA"/>
              </w:rPr>
              <w:t>橡胶手套；</w:t>
            </w:r>
          </w:p>
        </w:tc>
        <w:tc>
          <w:tcPr>
            <w:tcW w:w="2896" w:type="dxa"/>
            <w:vAlign w:val="top"/>
          </w:tcPr>
          <w:p w14:paraId="61E7292F">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6AD6A863">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73E0EBD1">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1A0F4EB2">
            <w:pPr>
              <w:kinsoku w:val="0"/>
              <w:autoSpaceDE w:val="0"/>
              <w:autoSpaceDN w:val="0"/>
              <w:adjustRightInd w:val="0"/>
              <w:snapToGrid w:val="0"/>
              <w:spacing w:before="65" w:line="235"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5A188808">
            <w:pPr>
              <w:kinsoku w:val="0"/>
              <w:autoSpaceDE w:val="0"/>
              <w:autoSpaceDN w:val="0"/>
              <w:adjustRightInd w:val="0"/>
              <w:snapToGrid w:val="0"/>
              <w:spacing w:before="11"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vAlign w:val="top"/>
          </w:tcPr>
          <w:p w14:paraId="37291251">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20127063">
            <w:pPr>
              <w:widowControl/>
              <w:kinsoku w:val="0"/>
              <w:autoSpaceDE w:val="0"/>
              <w:autoSpaceDN w:val="0"/>
              <w:adjustRightInd w:val="0"/>
              <w:snapToGrid w:val="0"/>
              <w:spacing w:line="286" w:lineRule="auto"/>
              <w:jc w:val="left"/>
              <w:textAlignment w:val="baseline"/>
              <w:rPr>
                <w:rFonts w:ascii="Arial" w:hAnsi="Arial" w:eastAsia="Arial" w:cs="Arial"/>
                <w:snapToGrid w:val="0"/>
                <w:color w:val="000000"/>
                <w:kern w:val="0"/>
                <w:sz w:val="21"/>
                <w:lang w:eastAsia="en-US"/>
              </w:rPr>
            </w:pPr>
          </w:p>
          <w:p w14:paraId="6DDEFDDC">
            <w:pPr>
              <w:widowControl/>
              <w:kinsoku w:val="0"/>
              <w:autoSpaceDE w:val="0"/>
              <w:autoSpaceDN w:val="0"/>
              <w:adjustRightInd w:val="0"/>
              <w:snapToGrid w:val="0"/>
              <w:spacing w:line="287" w:lineRule="auto"/>
              <w:jc w:val="left"/>
              <w:textAlignment w:val="baseline"/>
              <w:rPr>
                <w:rFonts w:ascii="Arial" w:hAnsi="Arial" w:eastAsia="Arial" w:cs="Arial"/>
                <w:snapToGrid w:val="0"/>
                <w:color w:val="000000"/>
                <w:kern w:val="0"/>
                <w:sz w:val="21"/>
                <w:lang w:eastAsia="en-US"/>
              </w:rPr>
            </w:pPr>
          </w:p>
          <w:p w14:paraId="365791E2">
            <w:pPr>
              <w:kinsoku w:val="0"/>
              <w:autoSpaceDE w:val="0"/>
              <w:autoSpaceDN w:val="0"/>
              <w:adjustRightInd w:val="0"/>
              <w:snapToGrid w:val="0"/>
              <w:spacing w:before="65" w:line="236" w:lineRule="auto"/>
              <w:ind w:left="41" w:right="46"/>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加油站可以不设</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易燃气体泄漏监</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测报警仪</w:t>
            </w:r>
          </w:p>
        </w:tc>
        <w:tc>
          <w:tcPr>
            <w:tcW w:w="752" w:type="dxa"/>
            <w:tcBorders>
              <w:right w:val="single" w:color="000000" w:sz="10" w:space="0"/>
            </w:tcBorders>
            <w:vAlign w:val="top"/>
          </w:tcPr>
          <w:p w14:paraId="68437BC7">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lang w:eastAsia="en-US"/>
              </w:rPr>
            </w:pPr>
          </w:p>
          <w:p w14:paraId="3DE3ABE9">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lang w:eastAsia="en-US"/>
              </w:rPr>
            </w:pPr>
          </w:p>
          <w:p w14:paraId="4A92809B">
            <w:pPr>
              <w:widowControl/>
              <w:kinsoku w:val="0"/>
              <w:autoSpaceDE w:val="0"/>
              <w:autoSpaceDN w:val="0"/>
              <w:adjustRightInd w:val="0"/>
              <w:snapToGrid w:val="0"/>
              <w:spacing w:line="280" w:lineRule="auto"/>
              <w:jc w:val="left"/>
              <w:textAlignment w:val="baseline"/>
              <w:rPr>
                <w:rFonts w:ascii="Arial" w:hAnsi="Arial" w:eastAsia="Arial" w:cs="Arial"/>
                <w:snapToGrid w:val="0"/>
                <w:color w:val="000000"/>
                <w:kern w:val="0"/>
                <w:sz w:val="21"/>
                <w:lang w:eastAsia="en-US"/>
              </w:rPr>
            </w:pPr>
          </w:p>
          <w:p w14:paraId="37EB1790">
            <w:pPr>
              <w:widowControl/>
              <w:kinsoku w:val="0"/>
              <w:autoSpaceDE w:val="0"/>
              <w:autoSpaceDN w:val="0"/>
              <w:adjustRightInd w:val="0"/>
              <w:snapToGrid w:val="0"/>
              <w:spacing w:line="280" w:lineRule="auto"/>
              <w:jc w:val="left"/>
              <w:textAlignment w:val="baseline"/>
              <w:rPr>
                <w:rFonts w:ascii="Arial" w:hAnsi="Arial" w:eastAsia="Arial" w:cs="Arial"/>
                <w:snapToGrid w:val="0"/>
                <w:color w:val="000000"/>
                <w:kern w:val="0"/>
                <w:sz w:val="21"/>
                <w:lang w:eastAsia="en-US"/>
              </w:rPr>
            </w:pPr>
          </w:p>
          <w:p w14:paraId="3BA3B7E7">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r w14:paraId="7B31A1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1" w:hRule="atLeast"/>
        </w:trPr>
        <w:tc>
          <w:tcPr>
            <w:tcW w:w="763" w:type="dxa"/>
            <w:tcBorders>
              <w:left w:val="single" w:color="000000" w:sz="10" w:space="0"/>
            </w:tcBorders>
            <w:vAlign w:val="top"/>
          </w:tcPr>
          <w:p w14:paraId="36BE6A99">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10BDFA56">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3817861C">
            <w:pPr>
              <w:widowControl/>
              <w:kinsoku w:val="0"/>
              <w:autoSpaceDE w:val="0"/>
              <w:autoSpaceDN w:val="0"/>
              <w:adjustRightInd w:val="0"/>
              <w:snapToGrid w:val="0"/>
              <w:spacing w:before="57" w:line="195" w:lineRule="auto"/>
              <w:ind w:left="32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3137" w:type="dxa"/>
            <w:vAlign w:val="top"/>
          </w:tcPr>
          <w:p w14:paraId="29A52563">
            <w:pPr>
              <w:kinsoku w:val="0"/>
              <w:autoSpaceDE w:val="0"/>
              <w:autoSpaceDN w:val="0"/>
              <w:adjustRightInd w:val="0"/>
              <w:snapToGrid w:val="0"/>
              <w:spacing w:before="296" w:line="236" w:lineRule="auto"/>
              <w:ind w:left="22" w:right="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储罐等容器和设备应设置液位计、</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温度计，并应装有带液位、温度远</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传记录和报警功能的安全装置；</w:t>
            </w:r>
          </w:p>
        </w:tc>
        <w:tc>
          <w:tcPr>
            <w:tcW w:w="2896" w:type="dxa"/>
            <w:vAlign w:val="top"/>
          </w:tcPr>
          <w:p w14:paraId="6E003BFD">
            <w:pPr>
              <w:kinsoku w:val="0"/>
              <w:autoSpaceDE w:val="0"/>
              <w:autoSpaceDN w:val="0"/>
              <w:adjustRightInd w:val="0"/>
              <w:snapToGrid w:val="0"/>
              <w:spacing w:before="296" w:line="234"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03A74B63">
            <w:pPr>
              <w:kinsoku w:val="0"/>
              <w:autoSpaceDE w:val="0"/>
              <w:autoSpaceDN w:val="0"/>
              <w:adjustRightInd w:val="0"/>
              <w:snapToGrid w:val="0"/>
              <w:spacing w:before="13"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vAlign w:val="top"/>
          </w:tcPr>
          <w:p w14:paraId="4AE80974">
            <w:pPr>
              <w:widowControl/>
              <w:kinsoku w:val="0"/>
              <w:autoSpaceDE w:val="0"/>
              <w:autoSpaceDN w:val="0"/>
              <w:adjustRightInd w:val="0"/>
              <w:snapToGrid w:val="0"/>
              <w:spacing w:line="359" w:lineRule="auto"/>
              <w:jc w:val="left"/>
              <w:textAlignment w:val="baseline"/>
              <w:rPr>
                <w:rFonts w:ascii="Arial" w:hAnsi="Arial" w:eastAsia="Arial" w:cs="Arial"/>
                <w:snapToGrid w:val="0"/>
                <w:color w:val="000000"/>
                <w:kern w:val="0"/>
                <w:sz w:val="21"/>
                <w:lang w:eastAsia="en-US"/>
              </w:rPr>
            </w:pPr>
          </w:p>
          <w:p w14:paraId="558CE704">
            <w:pPr>
              <w:kinsoku w:val="0"/>
              <w:autoSpaceDE w:val="0"/>
              <w:autoSpaceDN w:val="0"/>
              <w:adjustRightInd w:val="0"/>
              <w:snapToGrid w:val="0"/>
              <w:spacing w:before="65" w:line="235" w:lineRule="auto"/>
              <w:ind w:left="44" w:right="4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设有液位仪及报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警器。</w:t>
            </w:r>
          </w:p>
        </w:tc>
        <w:tc>
          <w:tcPr>
            <w:tcW w:w="752" w:type="dxa"/>
            <w:tcBorders>
              <w:right w:val="single" w:color="000000" w:sz="10" w:space="0"/>
            </w:tcBorders>
            <w:vAlign w:val="top"/>
          </w:tcPr>
          <w:p w14:paraId="38080888">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79947FAF">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14C4E21B">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r w14:paraId="789890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763" w:type="dxa"/>
            <w:tcBorders>
              <w:left w:val="single" w:color="000000" w:sz="10" w:space="0"/>
            </w:tcBorders>
            <w:vAlign w:val="top"/>
          </w:tcPr>
          <w:p w14:paraId="77012FF1">
            <w:pPr>
              <w:widowControl/>
              <w:kinsoku w:val="0"/>
              <w:autoSpaceDE w:val="0"/>
              <w:autoSpaceDN w:val="0"/>
              <w:adjustRightInd w:val="0"/>
              <w:snapToGrid w:val="0"/>
              <w:spacing w:line="377" w:lineRule="auto"/>
              <w:jc w:val="left"/>
              <w:textAlignment w:val="baseline"/>
              <w:rPr>
                <w:rFonts w:ascii="Arial" w:hAnsi="Arial" w:eastAsia="Arial" w:cs="Arial"/>
                <w:snapToGrid w:val="0"/>
                <w:color w:val="000000"/>
                <w:kern w:val="0"/>
                <w:sz w:val="21"/>
                <w:lang w:eastAsia="en-US"/>
              </w:rPr>
            </w:pPr>
          </w:p>
          <w:p w14:paraId="46210909">
            <w:pPr>
              <w:widowControl/>
              <w:kinsoku w:val="0"/>
              <w:autoSpaceDE w:val="0"/>
              <w:autoSpaceDN w:val="0"/>
              <w:adjustRightInd w:val="0"/>
              <w:snapToGrid w:val="0"/>
              <w:spacing w:before="57" w:line="195" w:lineRule="auto"/>
              <w:ind w:left="31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4</w:t>
            </w:r>
          </w:p>
        </w:tc>
        <w:tc>
          <w:tcPr>
            <w:tcW w:w="3137" w:type="dxa"/>
            <w:vAlign w:val="top"/>
          </w:tcPr>
          <w:p w14:paraId="00B4E55D">
            <w:pPr>
              <w:widowControl/>
              <w:kinsoku w:val="0"/>
              <w:autoSpaceDE w:val="0"/>
              <w:autoSpaceDN w:val="0"/>
              <w:adjustRightInd w:val="0"/>
              <w:snapToGrid w:val="0"/>
              <w:spacing w:line="333" w:lineRule="auto"/>
              <w:jc w:val="left"/>
              <w:textAlignment w:val="baseline"/>
              <w:rPr>
                <w:rFonts w:ascii="Arial" w:hAnsi="Arial" w:eastAsia="Arial" w:cs="Arial"/>
                <w:snapToGrid w:val="0"/>
                <w:color w:val="000000"/>
                <w:kern w:val="0"/>
                <w:sz w:val="21"/>
                <w:lang w:eastAsia="en-US"/>
              </w:rPr>
            </w:pPr>
          </w:p>
          <w:p w14:paraId="390763DE">
            <w:pPr>
              <w:kinsoku w:val="0"/>
              <w:autoSpaceDE w:val="0"/>
              <w:autoSpaceDN w:val="0"/>
              <w:adjustRightInd w:val="0"/>
              <w:snapToGrid w:val="0"/>
              <w:spacing w:before="65" w:line="228" w:lineRule="auto"/>
              <w:ind w:left="2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避免与氧化剂接触；</w:t>
            </w:r>
          </w:p>
        </w:tc>
        <w:tc>
          <w:tcPr>
            <w:tcW w:w="2896" w:type="dxa"/>
            <w:vAlign w:val="top"/>
          </w:tcPr>
          <w:p w14:paraId="0F7DA419">
            <w:pPr>
              <w:kinsoku w:val="0"/>
              <w:autoSpaceDE w:val="0"/>
              <w:autoSpaceDN w:val="0"/>
              <w:adjustRightInd w:val="0"/>
              <w:snapToGrid w:val="0"/>
              <w:spacing w:before="140" w:line="235"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2CB54B30">
            <w:pPr>
              <w:kinsoku w:val="0"/>
              <w:autoSpaceDE w:val="0"/>
              <w:autoSpaceDN w:val="0"/>
              <w:adjustRightInd w:val="0"/>
              <w:snapToGrid w:val="0"/>
              <w:spacing w:before="10"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vAlign w:val="top"/>
          </w:tcPr>
          <w:p w14:paraId="54FBC48B">
            <w:pPr>
              <w:widowControl/>
              <w:kinsoku w:val="0"/>
              <w:autoSpaceDE w:val="0"/>
              <w:autoSpaceDN w:val="0"/>
              <w:adjustRightInd w:val="0"/>
              <w:snapToGrid w:val="0"/>
              <w:spacing w:line="333" w:lineRule="auto"/>
              <w:jc w:val="left"/>
              <w:textAlignment w:val="baseline"/>
              <w:rPr>
                <w:rFonts w:ascii="Arial" w:hAnsi="Arial" w:eastAsia="Arial" w:cs="Arial"/>
                <w:snapToGrid w:val="0"/>
                <w:color w:val="000000"/>
                <w:kern w:val="0"/>
                <w:sz w:val="21"/>
                <w:lang w:eastAsia="en-US"/>
              </w:rPr>
            </w:pPr>
          </w:p>
          <w:p w14:paraId="3C20A22B">
            <w:pPr>
              <w:kinsoku w:val="0"/>
              <w:autoSpaceDE w:val="0"/>
              <w:autoSpaceDN w:val="0"/>
              <w:adjustRightInd w:val="0"/>
              <w:snapToGrid w:val="0"/>
              <w:spacing w:before="65" w:line="228" w:lineRule="auto"/>
              <w:ind w:left="4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无氧化剂接触。</w:t>
            </w:r>
          </w:p>
        </w:tc>
        <w:tc>
          <w:tcPr>
            <w:tcW w:w="752" w:type="dxa"/>
            <w:tcBorders>
              <w:right w:val="single" w:color="000000" w:sz="10" w:space="0"/>
            </w:tcBorders>
            <w:vAlign w:val="top"/>
          </w:tcPr>
          <w:p w14:paraId="6B7CB5A4">
            <w:pPr>
              <w:widowControl/>
              <w:kinsoku w:val="0"/>
              <w:autoSpaceDE w:val="0"/>
              <w:autoSpaceDN w:val="0"/>
              <w:adjustRightInd w:val="0"/>
              <w:snapToGrid w:val="0"/>
              <w:spacing w:line="334" w:lineRule="auto"/>
              <w:jc w:val="left"/>
              <w:textAlignment w:val="baseline"/>
              <w:rPr>
                <w:rFonts w:ascii="Arial" w:hAnsi="Arial" w:eastAsia="Arial" w:cs="Arial"/>
                <w:snapToGrid w:val="0"/>
                <w:color w:val="000000"/>
                <w:kern w:val="0"/>
                <w:sz w:val="21"/>
                <w:lang w:eastAsia="en-US"/>
              </w:rPr>
            </w:pPr>
          </w:p>
          <w:p w14:paraId="3643DEAE">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r w14:paraId="0BEA57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19" w:hRule="atLeast"/>
        </w:trPr>
        <w:tc>
          <w:tcPr>
            <w:tcW w:w="763" w:type="dxa"/>
            <w:tcBorders>
              <w:left w:val="single" w:color="000000" w:sz="10" w:space="0"/>
            </w:tcBorders>
            <w:vAlign w:val="top"/>
          </w:tcPr>
          <w:p w14:paraId="087D1D80">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222E4741">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40AC361E">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09D9AF5D">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745EA9C6">
            <w:pPr>
              <w:widowControl/>
              <w:kinsoku w:val="0"/>
              <w:autoSpaceDE w:val="0"/>
              <w:autoSpaceDN w:val="0"/>
              <w:adjustRightInd w:val="0"/>
              <w:snapToGrid w:val="0"/>
              <w:spacing w:before="57" w:line="192" w:lineRule="auto"/>
              <w:ind w:left="32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5</w:t>
            </w:r>
          </w:p>
        </w:tc>
        <w:tc>
          <w:tcPr>
            <w:tcW w:w="3137" w:type="dxa"/>
            <w:vAlign w:val="top"/>
          </w:tcPr>
          <w:p w14:paraId="5E80D64B">
            <w:pPr>
              <w:widowControl/>
              <w:kinsoku w:val="0"/>
              <w:autoSpaceDE w:val="0"/>
              <w:autoSpaceDN w:val="0"/>
              <w:adjustRightInd w:val="0"/>
              <w:snapToGrid w:val="0"/>
              <w:spacing w:line="325" w:lineRule="auto"/>
              <w:jc w:val="left"/>
              <w:textAlignment w:val="baseline"/>
              <w:rPr>
                <w:rFonts w:ascii="Arial" w:hAnsi="Arial" w:eastAsia="Arial" w:cs="Arial"/>
                <w:snapToGrid w:val="0"/>
                <w:color w:val="000000"/>
                <w:kern w:val="0"/>
                <w:sz w:val="21"/>
                <w:lang w:eastAsia="en-US"/>
              </w:rPr>
            </w:pPr>
          </w:p>
          <w:p w14:paraId="25FE30EF">
            <w:pPr>
              <w:kinsoku w:val="0"/>
              <w:autoSpaceDE w:val="0"/>
              <w:autoSpaceDN w:val="0"/>
              <w:adjustRightInd w:val="0"/>
              <w:snapToGrid w:val="0"/>
              <w:spacing w:before="65" w:line="238" w:lineRule="auto"/>
              <w:ind w:left="24" w:right="27"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生产、储存区域应设置安全警示标</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志。灌装时应控制流速，且有接地</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装置，防止静电积聚。搬运时要轻</w:t>
            </w:r>
            <w:r>
              <w:rPr>
                <w:rFonts w:ascii="宋体" w:hAnsi="宋体" w:eastAsia="宋体" w:cs="宋体"/>
                <w:snapToGrid w:val="0"/>
                <w:color w:val="000000"/>
                <w:spacing w:val="4"/>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装轻卸，防止包装及容器损坏。配</w:t>
            </w:r>
            <w:r>
              <w:rPr>
                <w:rFonts w:ascii="宋体" w:hAnsi="宋体" w:eastAsia="宋体" w:cs="宋体"/>
                <w:snapToGrid w:val="0"/>
                <w:color w:val="000000"/>
                <w:spacing w:val="4"/>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备相应品种和数量的消防器材及</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泄漏应急处理设备。</w:t>
            </w:r>
          </w:p>
        </w:tc>
        <w:tc>
          <w:tcPr>
            <w:tcW w:w="2896" w:type="dxa"/>
            <w:vAlign w:val="top"/>
          </w:tcPr>
          <w:p w14:paraId="1E6B3DCA">
            <w:pPr>
              <w:widowControl/>
              <w:kinsoku w:val="0"/>
              <w:autoSpaceDE w:val="0"/>
              <w:autoSpaceDN w:val="0"/>
              <w:adjustRightInd w:val="0"/>
              <w:snapToGrid w:val="0"/>
              <w:spacing w:line="356" w:lineRule="auto"/>
              <w:jc w:val="left"/>
              <w:textAlignment w:val="baseline"/>
              <w:rPr>
                <w:rFonts w:ascii="Arial" w:hAnsi="Arial" w:eastAsia="Arial" w:cs="Arial"/>
                <w:snapToGrid w:val="0"/>
                <w:color w:val="000000"/>
                <w:kern w:val="0"/>
                <w:sz w:val="21"/>
                <w:lang w:eastAsia="en-US"/>
              </w:rPr>
            </w:pPr>
          </w:p>
          <w:p w14:paraId="1B09E597">
            <w:pPr>
              <w:widowControl/>
              <w:kinsoku w:val="0"/>
              <w:autoSpaceDE w:val="0"/>
              <w:autoSpaceDN w:val="0"/>
              <w:adjustRightInd w:val="0"/>
              <w:snapToGrid w:val="0"/>
              <w:spacing w:line="356" w:lineRule="auto"/>
              <w:jc w:val="left"/>
              <w:textAlignment w:val="baseline"/>
              <w:rPr>
                <w:rFonts w:ascii="Arial" w:hAnsi="Arial" w:eastAsia="Arial" w:cs="Arial"/>
                <w:snapToGrid w:val="0"/>
                <w:color w:val="000000"/>
                <w:kern w:val="0"/>
                <w:sz w:val="21"/>
                <w:lang w:eastAsia="en-US"/>
              </w:rPr>
            </w:pPr>
          </w:p>
          <w:p w14:paraId="68D4D420">
            <w:pPr>
              <w:kinsoku w:val="0"/>
              <w:autoSpaceDE w:val="0"/>
              <w:autoSpaceDN w:val="0"/>
              <w:adjustRightInd w:val="0"/>
              <w:snapToGrid w:val="0"/>
              <w:spacing w:before="65" w:line="234"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484A1F06">
            <w:pPr>
              <w:kinsoku w:val="0"/>
              <w:autoSpaceDE w:val="0"/>
              <w:autoSpaceDN w:val="0"/>
              <w:adjustRightInd w:val="0"/>
              <w:snapToGrid w:val="0"/>
              <w:spacing w:before="10"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vAlign w:val="top"/>
          </w:tcPr>
          <w:p w14:paraId="5426275E">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17CF0F95">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529DE0F0">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62720A09">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0D98B813">
            <w:pPr>
              <w:kinsoku w:val="0"/>
              <w:autoSpaceDE w:val="0"/>
              <w:autoSpaceDN w:val="0"/>
              <w:adjustRightInd w:val="0"/>
              <w:snapToGrid w:val="0"/>
              <w:spacing w:before="65" w:line="229" w:lineRule="auto"/>
              <w:ind w:left="6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已设置标识。</w:t>
            </w:r>
          </w:p>
        </w:tc>
        <w:tc>
          <w:tcPr>
            <w:tcW w:w="752" w:type="dxa"/>
            <w:tcBorders>
              <w:right w:val="single" w:color="000000" w:sz="10" w:space="0"/>
            </w:tcBorders>
            <w:vAlign w:val="top"/>
          </w:tcPr>
          <w:p w14:paraId="082F0591">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7904393B">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48547FDB">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516E8183">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0FA7F71A">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r w14:paraId="04210C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763" w:type="dxa"/>
            <w:tcBorders>
              <w:left w:val="single" w:color="000000" w:sz="10" w:space="0"/>
            </w:tcBorders>
            <w:vAlign w:val="top"/>
          </w:tcPr>
          <w:p w14:paraId="2EAC8212">
            <w:pPr>
              <w:widowControl/>
              <w:kinsoku w:val="0"/>
              <w:autoSpaceDE w:val="0"/>
              <w:autoSpaceDN w:val="0"/>
              <w:adjustRightInd w:val="0"/>
              <w:snapToGrid w:val="0"/>
              <w:spacing w:line="384" w:lineRule="auto"/>
              <w:jc w:val="left"/>
              <w:textAlignment w:val="baseline"/>
              <w:rPr>
                <w:rFonts w:ascii="Arial" w:hAnsi="Arial" w:eastAsia="Arial" w:cs="Arial"/>
                <w:snapToGrid w:val="0"/>
                <w:color w:val="000000"/>
                <w:kern w:val="0"/>
                <w:sz w:val="21"/>
                <w:lang w:eastAsia="en-US"/>
              </w:rPr>
            </w:pPr>
          </w:p>
          <w:p w14:paraId="08562810">
            <w:pPr>
              <w:widowControl/>
              <w:kinsoku w:val="0"/>
              <w:autoSpaceDE w:val="0"/>
              <w:autoSpaceDN w:val="0"/>
              <w:adjustRightInd w:val="0"/>
              <w:snapToGrid w:val="0"/>
              <w:spacing w:before="57" w:line="195" w:lineRule="auto"/>
              <w:ind w:left="321"/>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3137" w:type="dxa"/>
            <w:vAlign w:val="top"/>
          </w:tcPr>
          <w:p w14:paraId="0037458D">
            <w:pPr>
              <w:kinsoku w:val="0"/>
              <w:autoSpaceDE w:val="0"/>
              <w:autoSpaceDN w:val="0"/>
              <w:adjustRightInd w:val="0"/>
              <w:snapToGrid w:val="0"/>
              <w:spacing w:before="145" w:line="237" w:lineRule="auto"/>
              <w:ind w:left="23" w:right="29" w:firstLine="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油罐及贮存桶装汽油附近要严禁</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烟火。禁止将汽油与其他易燃物放</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在一起。</w:t>
            </w:r>
          </w:p>
        </w:tc>
        <w:tc>
          <w:tcPr>
            <w:tcW w:w="2896" w:type="dxa"/>
            <w:vAlign w:val="top"/>
          </w:tcPr>
          <w:p w14:paraId="75234B4E">
            <w:pPr>
              <w:kinsoku w:val="0"/>
              <w:autoSpaceDE w:val="0"/>
              <w:autoSpaceDN w:val="0"/>
              <w:adjustRightInd w:val="0"/>
              <w:snapToGrid w:val="0"/>
              <w:spacing w:before="147" w:line="235"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0407C067">
            <w:pPr>
              <w:kinsoku w:val="0"/>
              <w:autoSpaceDE w:val="0"/>
              <w:autoSpaceDN w:val="0"/>
              <w:adjustRightInd w:val="0"/>
              <w:snapToGrid w:val="0"/>
              <w:spacing w:before="10"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vAlign w:val="top"/>
          </w:tcPr>
          <w:p w14:paraId="4FA3BC33">
            <w:pPr>
              <w:kinsoku w:val="0"/>
              <w:autoSpaceDE w:val="0"/>
              <w:autoSpaceDN w:val="0"/>
              <w:adjustRightInd w:val="0"/>
              <w:snapToGrid w:val="0"/>
              <w:spacing w:before="145" w:line="237" w:lineRule="auto"/>
              <w:ind w:left="40" w:right="4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储罐埋在地下，</w:t>
            </w:r>
            <w:r>
              <w:rPr>
                <w:rFonts w:ascii="宋体" w:hAnsi="宋体" w:eastAsia="宋体" w:cs="宋体"/>
                <w:snapToGrid w:val="0"/>
                <w:color w:val="000000"/>
                <w:spacing w:val="4"/>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加油区未存放其</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他易燃物品。</w:t>
            </w:r>
          </w:p>
        </w:tc>
        <w:tc>
          <w:tcPr>
            <w:tcW w:w="752" w:type="dxa"/>
            <w:tcBorders>
              <w:right w:val="single" w:color="000000" w:sz="10" w:space="0"/>
            </w:tcBorders>
            <w:vAlign w:val="top"/>
          </w:tcPr>
          <w:p w14:paraId="5898C2E5">
            <w:pPr>
              <w:widowControl/>
              <w:kinsoku w:val="0"/>
              <w:autoSpaceDE w:val="0"/>
              <w:autoSpaceDN w:val="0"/>
              <w:adjustRightInd w:val="0"/>
              <w:snapToGrid w:val="0"/>
              <w:spacing w:line="341" w:lineRule="auto"/>
              <w:jc w:val="left"/>
              <w:textAlignment w:val="baseline"/>
              <w:rPr>
                <w:rFonts w:ascii="Arial" w:hAnsi="Arial" w:eastAsia="Arial" w:cs="Arial"/>
                <w:snapToGrid w:val="0"/>
                <w:color w:val="000000"/>
                <w:kern w:val="0"/>
                <w:sz w:val="21"/>
                <w:lang w:eastAsia="en-US"/>
              </w:rPr>
            </w:pPr>
          </w:p>
          <w:p w14:paraId="1CECBA80">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r w14:paraId="676CD4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1" w:hRule="atLeast"/>
        </w:trPr>
        <w:tc>
          <w:tcPr>
            <w:tcW w:w="763" w:type="dxa"/>
            <w:tcBorders>
              <w:left w:val="single" w:color="000000" w:sz="10" w:space="0"/>
            </w:tcBorders>
            <w:vAlign w:val="top"/>
          </w:tcPr>
          <w:p w14:paraId="041890C4">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lang w:eastAsia="en-US"/>
              </w:rPr>
            </w:pPr>
          </w:p>
          <w:p w14:paraId="3E383267">
            <w:pPr>
              <w:widowControl/>
              <w:kinsoku w:val="0"/>
              <w:autoSpaceDE w:val="0"/>
              <w:autoSpaceDN w:val="0"/>
              <w:adjustRightInd w:val="0"/>
              <w:snapToGrid w:val="0"/>
              <w:spacing w:line="273" w:lineRule="auto"/>
              <w:jc w:val="left"/>
              <w:textAlignment w:val="baseline"/>
              <w:rPr>
                <w:rFonts w:ascii="Arial" w:hAnsi="Arial" w:eastAsia="Arial" w:cs="Arial"/>
                <w:snapToGrid w:val="0"/>
                <w:color w:val="000000"/>
                <w:kern w:val="0"/>
                <w:sz w:val="21"/>
                <w:lang w:eastAsia="en-US"/>
              </w:rPr>
            </w:pPr>
          </w:p>
          <w:p w14:paraId="5BACB12B">
            <w:pPr>
              <w:widowControl/>
              <w:kinsoku w:val="0"/>
              <w:autoSpaceDE w:val="0"/>
              <w:autoSpaceDN w:val="0"/>
              <w:adjustRightInd w:val="0"/>
              <w:snapToGrid w:val="0"/>
              <w:spacing w:before="57" w:line="192" w:lineRule="auto"/>
              <w:ind w:left="320"/>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3137" w:type="dxa"/>
            <w:vAlign w:val="top"/>
          </w:tcPr>
          <w:p w14:paraId="58751C83">
            <w:pPr>
              <w:kinsoku w:val="0"/>
              <w:autoSpaceDE w:val="0"/>
              <w:autoSpaceDN w:val="0"/>
              <w:adjustRightInd w:val="0"/>
              <w:snapToGrid w:val="0"/>
              <w:spacing w:before="179" w:line="236" w:lineRule="auto"/>
              <w:ind w:left="24" w:right="2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汽油油罐和贮存汽油区的上空，不</w:t>
            </w:r>
            <w:r>
              <w:rPr>
                <w:rFonts w:ascii="宋体" w:hAnsi="宋体" w:eastAsia="宋体" w:cs="宋体"/>
                <w:snapToGrid w:val="0"/>
                <w:color w:val="000000"/>
                <w:spacing w:val="4"/>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应有电线通过。油罐、库房与电线</w:t>
            </w:r>
            <w:r>
              <w:rPr>
                <w:rFonts w:ascii="宋体" w:hAnsi="宋体" w:eastAsia="宋体" w:cs="宋体"/>
                <w:snapToGrid w:val="0"/>
                <w:color w:val="000000"/>
                <w:spacing w:val="4"/>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的距离要为电杆长度的</w:t>
            </w:r>
            <w:r>
              <w:rPr>
                <w:rFonts w:ascii="宋体" w:hAnsi="宋体" w:eastAsia="宋体" w:cs="宋体"/>
                <w:snapToGrid w:val="0"/>
                <w:color w:val="000000"/>
                <w:spacing w:val="-21"/>
                <w:kern w:val="0"/>
                <w:sz w:val="20"/>
                <w:szCs w:val="20"/>
                <w:lang w:val="en-US" w:eastAsia="en-US" w:bidi="ar-SA"/>
              </w:rPr>
              <w:t xml:space="preserve"> </w:t>
            </w:r>
            <w:r>
              <w:rPr>
                <w:rFonts w:ascii="Times New Roman" w:hAnsi="Times New Roman" w:eastAsia="Times New Roman" w:cs="Times New Roman"/>
                <w:snapToGrid w:val="0"/>
                <w:color w:val="000000"/>
                <w:spacing w:val="6"/>
                <w:kern w:val="0"/>
                <w:sz w:val="20"/>
                <w:szCs w:val="20"/>
                <w:lang w:val="en-US" w:eastAsia="en-US" w:bidi="ar-SA"/>
              </w:rPr>
              <w:t xml:space="preserve">1.5 </w:t>
            </w:r>
            <w:r>
              <w:rPr>
                <w:rFonts w:ascii="宋体" w:hAnsi="宋体" w:eastAsia="宋体" w:cs="宋体"/>
                <w:snapToGrid w:val="0"/>
                <w:color w:val="000000"/>
                <w:spacing w:val="6"/>
                <w:kern w:val="0"/>
                <w:sz w:val="20"/>
                <w:szCs w:val="20"/>
                <w:lang w:val="en-US" w:eastAsia="en-US" w:bidi="ar-SA"/>
              </w:rPr>
              <w:t>倍以</w:t>
            </w:r>
          </w:p>
          <w:p w14:paraId="494287B8">
            <w:pPr>
              <w:kinsoku w:val="0"/>
              <w:autoSpaceDE w:val="0"/>
              <w:autoSpaceDN w:val="0"/>
              <w:adjustRightInd w:val="0"/>
              <w:snapToGrid w:val="0"/>
              <w:spacing w:before="12" w:line="241" w:lineRule="auto"/>
              <w:ind w:left="2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上。</w:t>
            </w:r>
          </w:p>
        </w:tc>
        <w:tc>
          <w:tcPr>
            <w:tcW w:w="2896" w:type="dxa"/>
            <w:vAlign w:val="top"/>
          </w:tcPr>
          <w:p w14:paraId="07C49CBA">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7572C332">
            <w:pPr>
              <w:kinsoku w:val="0"/>
              <w:autoSpaceDE w:val="0"/>
              <w:autoSpaceDN w:val="0"/>
              <w:adjustRightInd w:val="0"/>
              <w:snapToGrid w:val="0"/>
              <w:spacing w:before="66" w:line="234"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544AA6B8">
            <w:pPr>
              <w:kinsoku w:val="0"/>
              <w:autoSpaceDE w:val="0"/>
              <w:autoSpaceDN w:val="0"/>
              <w:adjustRightInd w:val="0"/>
              <w:snapToGrid w:val="0"/>
              <w:spacing w:before="13"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vAlign w:val="top"/>
          </w:tcPr>
          <w:p w14:paraId="4EC6E271">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75C9C3AB">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7572E602">
            <w:pPr>
              <w:kinsoku w:val="0"/>
              <w:autoSpaceDE w:val="0"/>
              <w:autoSpaceDN w:val="0"/>
              <w:adjustRightInd w:val="0"/>
              <w:snapToGrid w:val="0"/>
              <w:spacing w:before="65" w:line="230" w:lineRule="auto"/>
              <w:ind w:left="4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c>
          <w:tcPr>
            <w:tcW w:w="752" w:type="dxa"/>
            <w:tcBorders>
              <w:right w:val="single" w:color="000000" w:sz="10" w:space="0"/>
            </w:tcBorders>
            <w:vAlign w:val="top"/>
          </w:tcPr>
          <w:p w14:paraId="1AC9CEE3">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566DF15C">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5C07D0AC">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r w14:paraId="37A72D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7" w:hRule="atLeast"/>
        </w:trPr>
        <w:tc>
          <w:tcPr>
            <w:tcW w:w="763" w:type="dxa"/>
            <w:tcBorders>
              <w:left w:val="single" w:color="000000" w:sz="10" w:space="0"/>
              <w:bottom w:val="single" w:color="000000" w:sz="10" w:space="0"/>
            </w:tcBorders>
            <w:vAlign w:val="top"/>
          </w:tcPr>
          <w:p w14:paraId="32463CB3">
            <w:pPr>
              <w:widowControl/>
              <w:kinsoku w:val="0"/>
              <w:autoSpaceDE w:val="0"/>
              <w:autoSpaceDN w:val="0"/>
              <w:adjustRightInd w:val="0"/>
              <w:snapToGrid w:val="0"/>
              <w:spacing w:line="417" w:lineRule="auto"/>
              <w:jc w:val="left"/>
              <w:textAlignment w:val="baseline"/>
              <w:rPr>
                <w:rFonts w:ascii="Arial" w:hAnsi="Arial" w:eastAsia="Arial" w:cs="Arial"/>
                <w:snapToGrid w:val="0"/>
                <w:color w:val="000000"/>
                <w:kern w:val="0"/>
                <w:sz w:val="21"/>
                <w:lang w:eastAsia="en-US"/>
              </w:rPr>
            </w:pPr>
          </w:p>
          <w:p w14:paraId="24685699">
            <w:pPr>
              <w:widowControl/>
              <w:kinsoku w:val="0"/>
              <w:autoSpaceDE w:val="0"/>
              <w:autoSpaceDN w:val="0"/>
              <w:adjustRightInd w:val="0"/>
              <w:snapToGrid w:val="0"/>
              <w:spacing w:before="58" w:line="195" w:lineRule="auto"/>
              <w:ind w:left="32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8</w:t>
            </w:r>
          </w:p>
        </w:tc>
        <w:tc>
          <w:tcPr>
            <w:tcW w:w="3137" w:type="dxa"/>
            <w:tcBorders>
              <w:bottom w:val="single" w:color="000000" w:sz="10" w:space="0"/>
            </w:tcBorders>
            <w:vAlign w:val="top"/>
          </w:tcPr>
          <w:p w14:paraId="31631985">
            <w:pPr>
              <w:kinsoku w:val="0"/>
              <w:autoSpaceDE w:val="0"/>
              <w:autoSpaceDN w:val="0"/>
              <w:adjustRightInd w:val="0"/>
              <w:snapToGrid w:val="0"/>
              <w:spacing w:before="51" w:line="232" w:lineRule="auto"/>
              <w:ind w:left="23"/>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储存于阴凉、通风的库房。远离火</w:t>
            </w:r>
            <w:r>
              <w:rPr>
                <w:rFonts w:ascii="宋体" w:hAnsi="宋体" w:eastAsia="宋体" w:cs="宋体"/>
                <w:snapToGrid w:val="0"/>
                <w:color w:val="000000"/>
                <w:spacing w:val="9"/>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种、热源。库房温度不宜超过</w:t>
            </w:r>
            <w:r>
              <w:rPr>
                <w:rFonts w:ascii="Times New Roman" w:hAnsi="Times New Roman" w:eastAsia="Times New Roman" w:cs="Times New Roman"/>
                <w:snapToGrid w:val="0"/>
                <w:color w:val="000000"/>
                <w:spacing w:val="-6"/>
                <w:kern w:val="0"/>
                <w:sz w:val="20"/>
                <w:szCs w:val="20"/>
                <w:lang w:val="en-US" w:eastAsia="en-US" w:bidi="ar-SA"/>
              </w:rPr>
              <w:t>30</w:t>
            </w:r>
            <w:r>
              <w:rPr>
                <w:rFonts w:ascii="宋体" w:hAnsi="宋体" w:eastAsia="宋体" w:cs="宋体"/>
                <w:snapToGrid w:val="0"/>
                <w:color w:val="000000"/>
                <w:spacing w:val="-6"/>
                <w:kern w:val="0"/>
                <w:sz w:val="20"/>
                <w:szCs w:val="20"/>
                <w:lang w:val="en-US" w:eastAsia="en-US" w:bidi="ar-SA"/>
              </w:rPr>
              <w:t>℃。</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炎热季节应采取喷淋、通风等降温</w:t>
            </w:r>
            <w:r>
              <w:rPr>
                <w:rFonts w:ascii="宋体" w:hAnsi="宋体" w:eastAsia="宋体" w:cs="宋体"/>
                <w:snapToGrid w:val="0"/>
                <w:color w:val="000000"/>
                <w:spacing w:val="8"/>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措施。</w:t>
            </w:r>
          </w:p>
        </w:tc>
        <w:tc>
          <w:tcPr>
            <w:tcW w:w="2896" w:type="dxa"/>
            <w:tcBorders>
              <w:bottom w:val="single" w:color="000000" w:sz="10" w:space="0"/>
            </w:tcBorders>
            <w:vAlign w:val="top"/>
          </w:tcPr>
          <w:p w14:paraId="0A300275">
            <w:pPr>
              <w:kinsoku w:val="0"/>
              <w:autoSpaceDE w:val="0"/>
              <w:autoSpaceDN w:val="0"/>
              <w:adjustRightInd w:val="0"/>
              <w:snapToGrid w:val="0"/>
              <w:spacing w:before="183" w:line="234" w:lineRule="auto"/>
              <w:ind w:left="37" w:right="136"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《首批重点监管的危险化学品</w:t>
            </w:r>
            <w:r>
              <w:rPr>
                <w:rFonts w:ascii="宋体" w:hAnsi="宋体" w:eastAsia="宋体" w:cs="宋体"/>
                <w:snapToGrid w:val="0"/>
                <w:color w:val="000000"/>
                <w:spacing w:val="1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安全措施和应急处置措施》</w:t>
            </w:r>
          </w:p>
          <w:p w14:paraId="66848053">
            <w:pPr>
              <w:kinsoku w:val="0"/>
              <w:autoSpaceDE w:val="0"/>
              <w:autoSpaceDN w:val="0"/>
              <w:adjustRightInd w:val="0"/>
              <w:snapToGrid w:val="0"/>
              <w:spacing w:before="10" w:line="232" w:lineRule="auto"/>
              <w:ind w:left="3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4"/>
                <w:kern w:val="0"/>
                <w:sz w:val="20"/>
                <w:szCs w:val="20"/>
                <w:lang w:val="en-US" w:eastAsia="en-US" w:bidi="ar-SA"/>
              </w:rPr>
              <w:t>7.</w:t>
            </w:r>
            <w:r>
              <w:rPr>
                <w:rFonts w:ascii="宋体" w:hAnsi="宋体" w:eastAsia="宋体" w:cs="宋体"/>
                <w:snapToGrid w:val="0"/>
                <w:color w:val="000000"/>
                <w:spacing w:val="4"/>
                <w:kern w:val="0"/>
                <w:sz w:val="20"/>
                <w:szCs w:val="20"/>
                <w:lang w:val="en-US" w:eastAsia="en-US" w:bidi="ar-SA"/>
              </w:rPr>
              <w:t>汽油</w:t>
            </w:r>
          </w:p>
        </w:tc>
        <w:tc>
          <w:tcPr>
            <w:tcW w:w="1554" w:type="dxa"/>
            <w:tcBorders>
              <w:bottom w:val="single" w:color="000000" w:sz="10" w:space="0"/>
            </w:tcBorders>
            <w:vAlign w:val="top"/>
          </w:tcPr>
          <w:p w14:paraId="5147047B">
            <w:pPr>
              <w:widowControl/>
              <w:kinsoku w:val="0"/>
              <w:autoSpaceDE w:val="0"/>
              <w:autoSpaceDN w:val="0"/>
              <w:adjustRightInd w:val="0"/>
              <w:snapToGrid w:val="0"/>
              <w:spacing w:line="375" w:lineRule="auto"/>
              <w:jc w:val="left"/>
              <w:textAlignment w:val="baseline"/>
              <w:rPr>
                <w:rFonts w:ascii="Arial" w:hAnsi="Arial" w:eastAsia="Arial" w:cs="Arial"/>
                <w:snapToGrid w:val="0"/>
                <w:color w:val="000000"/>
                <w:kern w:val="0"/>
                <w:sz w:val="21"/>
                <w:lang w:eastAsia="en-US"/>
              </w:rPr>
            </w:pPr>
          </w:p>
          <w:p w14:paraId="679D5451">
            <w:pPr>
              <w:kinsoku w:val="0"/>
              <w:autoSpaceDE w:val="0"/>
              <w:autoSpaceDN w:val="0"/>
              <w:adjustRightInd w:val="0"/>
              <w:snapToGrid w:val="0"/>
              <w:spacing w:before="65" w:line="228" w:lineRule="auto"/>
              <w:ind w:left="4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储存位置满足。</w:t>
            </w:r>
          </w:p>
        </w:tc>
        <w:tc>
          <w:tcPr>
            <w:tcW w:w="752" w:type="dxa"/>
            <w:tcBorders>
              <w:bottom w:val="single" w:color="000000" w:sz="10" w:space="0"/>
              <w:right w:val="single" w:color="000000" w:sz="10" w:space="0"/>
            </w:tcBorders>
            <w:vAlign w:val="top"/>
          </w:tcPr>
          <w:p w14:paraId="729833CB">
            <w:pPr>
              <w:widowControl/>
              <w:kinsoku w:val="0"/>
              <w:autoSpaceDE w:val="0"/>
              <w:autoSpaceDN w:val="0"/>
              <w:adjustRightInd w:val="0"/>
              <w:snapToGrid w:val="0"/>
              <w:spacing w:line="375" w:lineRule="auto"/>
              <w:jc w:val="left"/>
              <w:textAlignment w:val="baseline"/>
              <w:rPr>
                <w:rFonts w:ascii="Arial" w:hAnsi="Arial" w:eastAsia="Arial" w:cs="Arial"/>
                <w:snapToGrid w:val="0"/>
                <w:color w:val="000000"/>
                <w:kern w:val="0"/>
                <w:sz w:val="21"/>
                <w:lang w:eastAsia="en-US"/>
              </w:rPr>
            </w:pPr>
          </w:p>
          <w:p w14:paraId="62059294">
            <w:pPr>
              <w:kinsoku w:val="0"/>
              <w:autoSpaceDE w:val="0"/>
              <w:autoSpaceDN w:val="0"/>
              <w:adjustRightInd w:val="0"/>
              <w:snapToGrid w:val="0"/>
              <w:spacing w:before="65" w:line="228" w:lineRule="auto"/>
              <w:ind w:left="17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r>
    </w:tbl>
    <w:p w14:paraId="303AE8F2">
      <w:pPr>
        <w:widowControl/>
        <w:kinsoku w:val="0"/>
        <w:autoSpaceDE w:val="0"/>
        <w:autoSpaceDN w:val="0"/>
        <w:adjustRightInd w:val="0"/>
        <w:snapToGrid w:val="0"/>
        <w:spacing w:before="117" w:line="219" w:lineRule="auto"/>
        <w:ind w:left="536"/>
        <w:jc w:val="center"/>
        <w:textAlignment w:val="baseline"/>
        <w:rPr>
          <w:rFonts w:ascii="宋体" w:hAnsi="宋体" w:eastAsia="宋体" w:cs="宋体"/>
          <w:b w:val="0"/>
          <w:bCs w:val="0"/>
          <w:snapToGrid w:val="0"/>
          <w:color w:val="000000"/>
          <w:kern w:val="0"/>
          <w:sz w:val="24"/>
          <w:szCs w:val="24"/>
          <w:lang w:eastAsia="en-US"/>
        </w:rPr>
      </w:pPr>
      <w:r>
        <w:rPr>
          <w:rFonts w:ascii="宋体" w:hAnsi="宋体" w:eastAsia="宋体" w:cs="宋体"/>
          <w:b w:val="0"/>
          <w:bCs w:val="0"/>
          <w:snapToGrid w:val="0"/>
          <w:color w:val="000000"/>
          <w:spacing w:val="-1"/>
          <w:kern w:val="0"/>
          <w:sz w:val="24"/>
          <w:szCs w:val="24"/>
          <w:lang w:eastAsia="en-US"/>
        </w:rPr>
        <w:t>该单元采用《安全检查表法》共检查项目</w:t>
      </w:r>
      <w:r>
        <w:rPr>
          <w:rFonts w:ascii="Times New Roman" w:hAnsi="Times New Roman" w:eastAsia="Times New Roman" w:cs="Times New Roman"/>
          <w:b w:val="0"/>
          <w:bCs w:val="0"/>
          <w:snapToGrid w:val="0"/>
          <w:color w:val="000000"/>
          <w:spacing w:val="-1"/>
          <w:kern w:val="0"/>
          <w:sz w:val="24"/>
          <w:szCs w:val="24"/>
          <w:lang w:eastAsia="en-US"/>
        </w:rPr>
        <w:t xml:space="preserve">8 </w:t>
      </w:r>
      <w:r>
        <w:rPr>
          <w:rFonts w:ascii="宋体" w:hAnsi="宋体" w:eastAsia="宋体" w:cs="宋体"/>
          <w:b w:val="0"/>
          <w:bCs w:val="0"/>
          <w:snapToGrid w:val="0"/>
          <w:color w:val="000000"/>
          <w:spacing w:val="-1"/>
          <w:kern w:val="0"/>
          <w:sz w:val="24"/>
          <w:szCs w:val="24"/>
          <w:lang w:eastAsia="en-US"/>
        </w:rPr>
        <w:t>项，符合率</w:t>
      </w:r>
      <w:r>
        <w:rPr>
          <w:rFonts w:ascii="宋体" w:hAnsi="宋体" w:eastAsia="宋体" w:cs="宋体"/>
          <w:b w:val="0"/>
          <w:bCs w:val="0"/>
          <w:snapToGrid w:val="0"/>
          <w:color w:val="000000"/>
          <w:spacing w:val="-24"/>
          <w:kern w:val="0"/>
          <w:sz w:val="24"/>
          <w:szCs w:val="24"/>
          <w:lang w:eastAsia="en-US"/>
        </w:rPr>
        <w:t xml:space="preserve"> </w:t>
      </w:r>
      <w:r>
        <w:rPr>
          <w:rFonts w:ascii="Times New Roman" w:hAnsi="Times New Roman" w:eastAsia="Times New Roman" w:cs="Times New Roman"/>
          <w:b w:val="0"/>
          <w:bCs w:val="0"/>
          <w:snapToGrid w:val="0"/>
          <w:color w:val="000000"/>
          <w:spacing w:val="-1"/>
          <w:kern w:val="0"/>
          <w:sz w:val="24"/>
          <w:szCs w:val="24"/>
          <w:lang w:eastAsia="en-US"/>
        </w:rPr>
        <w:t>100%</w:t>
      </w:r>
      <w:r>
        <w:rPr>
          <w:rFonts w:ascii="宋体" w:hAnsi="宋体" w:eastAsia="宋体" w:cs="宋体"/>
          <w:b w:val="0"/>
          <w:bCs w:val="0"/>
          <w:snapToGrid w:val="0"/>
          <w:color w:val="000000"/>
          <w:spacing w:val="-1"/>
          <w:kern w:val="0"/>
          <w:sz w:val="24"/>
          <w:szCs w:val="24"/>
          <w:lang w:eastAsia="en-US"/>
        </w:rPr>
        <w:t>。</w:t>
      </w:r>
    </w:p>
    <w:p w14:paraId="3DA89F14">
      <w:pPr>
        <w:pStyle w:val="6"/>
        <w:keepNext/>
        <w:keepLines/>
        <w:pageBreakBefore w:val="0"/>
        <w:widowControl w:val="0"/>
        <w:kinsoku/>
        <w:wordWrap/>
        <w:overflowPunct/>
        <w:topLinePunct w:val="0"/>
        <w:autoSpaceDE/>
        <w:autoSpaceDN/>
        <w:bidi w:val="0"/>
        <w:adjustRightInd/>
        <w:snapToGrid/>
        <w:textAlignment w:val="auto"/>
        <w:rPr>
          <w:rFonts w:hint="eastAsia" w:ascii="楷体" w:hAnsi="楷体" w:eastAsia="楷体" w:cs="楷体"/>
          <w:sz w:val="32"/>
          <w:szCs w:val="32"/>
          <w:lang w:eastAsia="en-US"/>
        </w:rPr>
      </w:pPr>
      <w:bookmarkStart w:id="240" w:name="_Toc15001"/>
      <w:r>
        <w:rPr>
          <w:rFonts w:hint="eastAsia" w:ascii="楷体" w:hAnsi="楷体" w:eastAsia="楷体" w:cs="楷体"/>
          <w:sz w:val="32"/>
          <w:szCs w:val="32"/>
          <w:lang w:eastAsia="en-US"/>
        </w:rPr>
        <w:t>5.7.3 加油站安全检查表</w:t>
      </w:r>
      <w:bookmarkEnd w:id="240"/>
    </w:p>
    <w:p w14:paraId="3ABE0D9B">
      <w:pPr>
        <w:widowControl/>
        <w:kinsoku w:val="0"/>
        <w:autoSpaceDE w:val="0"/>
        <w:autoSpaceDN w:val="0"/>
        <w:adjustRightInd w:val="0"/>
        <w:snapToGrid w:val="0"/>
        <w:spacing w:before="289" w:line="397" w:lineRule="auto"/>
        <w:ind w:left="13" w:firstLine="535"/>
        <w:jc w:val="left"/>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2"/>
          <w:kern w:val="0"/>
          <w:sz w:val="28"/>
          <w:szCs w:val="28"/>
          <w:lang w:eastAsia="en-US"/>
        </w:rPr>
        <w:t>根据《江西省应急管理厅办公室关于印发&lt;加油站安全检查表&gt;的通知》赣应急办字〔2023〕111号，采用《安全检查表法》进行检查，评价结果见表5</w:t>
      </w:r>
      <w:r>
        <w:rPr>
          <w:rFonts w:hint="eastAsia" w:ascii="宋体" w:hAnsi="宋体" w:cs="宋体"/>
          <w:snapToGrid w:val="0"/>
          <w:color w:val="000000"/>
          <w:spacing w:val="2"/>
          <w:kern w:val="0"/>
          <w:sz w:val="28"/>
          <w:szCs w:val="28"/>
          <w:lang w:val="en-US" w:eastAsia="zh-CN"/>
        </w:rPr>
        <w:t>-14</w:t>
      </w:r>
      <w:r>
        <w:rPr>
          <w:rFonts w:ascii="宋体" w:hAnsi="宋体" w:eastAsia="宋体" w:cs="宋体"/>
          <w:snapToGrid w:val="0"/>
          <w:color w:val="000000"/>
          <w:spacing w:val="2"/>
          <w:kern w:val="0"/>
          <w:sz w:val="28"/>
          <w:szCs w:val="28"/>
          <w:lang w:eastAsia="en-US"/>
        </w:rPr>
        <w:t>。</w:t>
      </w:r>
    </w:p>
    <w:p w14:paraId="54F327E7">
      <w:pPr>
        <w:widowControl/>
        <w:kinsoku w:val="0"/>
        <w:autoSpaceDE w:val="0"/>
        <w:autoSpaceDN w:val="0"/>
        <w:adjustRightInd w:val="0"/>
        <w:snapToGrid w:val="0"/>
        <w:spacing w:before="148" w:line="220" w:lineRule="auto"/>
        <w:ind w:left="3212"/>
        <w:jc w:val="left"/>
        <w:textAlignment w:val="baseline"/>
        <w:rPr>
          <w:rFonts w:ascii="宋体" w:hAnsi="宋体" w:eastAsia="宋体" w:cs="宋体"/>
          <w:snapToGrid w:val="0"/>
          <w:color w:val="000000"/>
          <w:kern w:val="0"/>
          <w:sz w:val="24"/>
          <w:szCs w:val="24"/>
          <w:lang w:eastAsia="en-US"/>
        </w:rPr>
      </w:pPr>
      <w:r>
        <w:rPr>
          <w:rFonts w:ascii="Times New Roman" w:hAnsi="Times New Roman" w:eastAsia="Times New Roman" w:cs="Times New Roman"/>
          <w:b/>
          <w:bCs/>
          <w:snapToGrid w:val="0"/>
          <w:color w:val="000000"/>
          <w:spacing w:val="-2"/>
          <w:kern w:val="0"/>
          <w:sz w:val="24"/>
          <w:szCs w:val="24"/>
          <w:lang w:eastAsia="en-US"/>
        </w:rPr>
        <w:t>5</w:t>
      </w:r>
      <w:r>
        <w:rPr>
          <w:rFonts w:hint="eastAsia" w:ascii="Times New Roman" w:hAnsi="Times New Roman" w:eastAsia="宋体" w:cs="Times New Roman"/>
          <w:b/>
          <w:bCs/>
          <w:snapToGrid w:val="0"/>
          <w:color w:val="000000"/>
          <w:spacing w:val="-2"/>
          <w:kern w:val="0"/>
          <w:sz w:val="24"/>
          <w:szCs w:val="24"/>
          <w:lang w:val="en-US" w:eastAsia="zh-CN"/>
        </w:rPr>
        <w:t>-14</w:t>
      </w:r>
      <w:r>
        <w:rPr>
          <w:rFonts w:ascii="宋体" w:hAnsi="宋体" w:eastAsia="宋体" w:cs="宋体"/>
          <w:b/>
          <w:bCs/>
          <w:snapToGrid w:val="0"/>
          <w:color w:val="000000"/>
          <w:spacing w:val="-2"/>
          <w:kern w:val="0"/>
          <w:sz w:val="24"/>
          <w:szCs w:val="24"/>
          <w:lang w:eastAsia="en-US"/>
        </w:rPr>
        <w:t>加油站安全检查表</w:t>
      </w:r>
    </w:p>
    <w:p w14:paraId="705B99D5">
      <w:pPr>
        <w:widowControl/>
        <w:kinsoku w:val="0"/>
        <w:autoSpaceDE w:val="0"/>
        <w:autoSpaceDN w:val="0"/>
        <w:adjustRightInd w:val="0"/>
        <w:snapToGrid w:val="0"/>
        <w:spacing w:line="38" w:lineRule="exact"/>
        <w:jc w:val="left"/>
        <w:textAlignment w:val="baseline"/>
        <w:rPr>
          <w:rFonts w:ascii="Arial" w:hAnsi="Arial" w:eastAsia="Arial" w:cs="Arial"/>
          <w:snapToGrid w:val="0"/>
          <w:color w:val="000000"/>
          <w:kern w:val="0"/>
          <w:lang w:eastAsia="en-US"/>
        </w:rPr>
      </w:pPr>
    </w:p>
    <w:tbl>
      <w:tblPr>
        <w:tblStyle w:val="47"/>
        <w:tblW w:w="9489" w:type="dxa"/>
        <w:tblInd w:w="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9"/>
        <w:gridCol w:w="625"/>
        <w:gridCol w:w="1"/>
        <w:gridCol w:w="4744"/>
        <w:gridCol w:w="1710"/>
        <w:gridCol w:w="1710"/>
      </w:tblGrid>
      <w:tr w14:paraId="6A586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8" w:hRule="atLeast"/>
        </w:trPr>
        <w:tc>
          <w:tcPr>
            <w:tcW w:w="699" w:type="dxa"/>
            <w:textDirection w:val="tbRlV"/>
            <w:vAlign w:val="top"/>
          </w:tcPr>
          <w:p w14:paraId="4339860C">
            <w:pPr>
              <w:kinsoku w:val="0"/>
              <w:autoSpaceDE w:val="0"/>
              <w:autoSpaceDN w:val="0"/>
              <w:adjustRightInd w:val="0"/>
              <w:snapToGrid w:val="0"/>
              <w:spacing w:before="184" w:line="218" w:lineRule="auto"/>
              <w:ind w:left="4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7"/>
                <w:kern w:val="0"/>
                <w:sz w:val="20"/>
                <w:szCs w:val="20"/>
                <w:lang w:val="en-US" w:eastAsia="en-US" w:bidi="ar-SA"/>
              </w:rPr>
              <w:t>序</w:t>
            </w:r>
            <w:r>
              <w:rPr>
                <w:rFonts w:ascii="宋体" w:hAnsi="宋体" w:eastAsia="宋体" w:cs="宋体"/>
                <w:snapToGrid w:val="0"/>
                <w:color w:val="000000"/>
                <w:spacing w:val="-29"/>
                <w:kern w:val="0"/>
                <w:sz w:val="20"/>
                <w:szCs w:val="20"/>
                <w:lang w:val="en-US" w:eastAsia="en-US" w:bidi="ar-SA"/>
              </w:rPr>
              <w:t xml:space="preserve"> </w:t>
            </w:r>
            <w:r>
              <w:rPr>
                <w:rFonts w:ascii="宋体" w:hAnsi="宋体" w:eastAsia="宋体" w:cs="宋体"/>
                <w:b/>
                <w:bCs/>
                <w:snapToGrid w:val="0"/>
                <w:color w:val="000000"/>
                <w:spacing w:val="7"/>
                <w:kern w:val="0"/>
                <w:sz w:val="20"/>
                <w:szCs w:val="20"/>
                <w:lang w:val="en-US" w:eastAsia="en-US" w:bidi="ar-SA"/>
              </w:rPr>
              <w:t>号</w:t>
            </w:r>
          </w:p>
        </w:tc>
        <w:tc>
          <w:tcPr>
            <w:tcW w:w="626" w:type="dxa"/>
            <w:gridSpan w:val="2"/>
            <w:vAlign w:val="top"/>
          </w:tcPr>
          <w:p w14:paraId="573F6AE6">
            <w:pPr>
              <w:kinsoku w:val="0"/>
              <w:autoSpaceDE w:val="0"/>
              <w:autoSpaceDN w:val="0"/>
              <w:adjustRightInd w:val="0"/>
              <w:snapToGrid w:val="0"/>
              <w:spacing w:before="48" w:line="235" w:lineRule="auto"/>
              <w:ind w:left="164" w:right="175" w:hanging="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3"/>
                <w:kern w:val="0"/>
                <w:sz w:val="20"/>
                <w:szCs w:val="20"/>
                <w:lang w:val="en-US" w:eastAsia="en-US" w:bidi="ar-SA"/>
              </w:rPr>
              <w:t>检查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b/>
                <w:bCs/>
                <w:snapToGrid w:val="0"/>
                <w:color w:val="000000"/>
                <w:spacing w:val="2"/>
                <w:kern w:val="0"/>
                <w:sz w:val="20"/>
                <w:szCs w:val="20"/>
                <w:lang w:val="en-US" w:eastAsia="en-US" w:bidi="ar-SA"/>
              </w:rPr>
              <w:t>项目</w:t>
            </w:r>
          </w:p>
        </w:tc>
        <w:tc>
          <w:tcPr>
            <w:tcW w:w="4744" w:type="dxa"/>
            <w:vAlign w:val="top"/>
          </w:tcPr>
          <w:p w14:paraId="1F2E2E9B">
            <w:pPr>
              <w:kinsoku w:val="0"/>
              <w:autoSpaceDE w:val="0"/>
              <w:autoSpaceDN w:val="0"/>
              <w:adjustRightInd w:val="0"/>
              <w:snapToGrid w:val="0"/>
              <w:spacing w:before="190" w:line="228" w:lineRule="auto"/>
              <w:ind w:left="216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检查内容</w:t>
            </w:r>
          </w:p>
        </w:tc>
        <w:tc>
          <w:tcPr>
            <w:tcW w:w="1710" w:type="dxa"/>
            <w:vAlign w:val="top"/>
          </w:tcPr>
          <w:p w14:paraId="3070182B">
            <w:pPr>
              <w:kinsoku w:val="0"/>
              <w:autoSpaceDE w:val="0"/>
              <w:autoSpaceDN w:val="0"/>
              <w:adjustRightInd w:val="0"/>
              <w:snapToGrid w:val="0"/>
              <w:spacing w:before="190" w:line="231" w:lineRule="auto"/>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主要问题</w:t>
            </w:r>
          </w:p>
        </w:tc>
        <w:tc>
          <w:tcPr>
            <w:tcW w:w="1710" w:type="dxa"/>
            <w:vAlign w:val="top"/>
          </w:tcPr>
          <w:p w14:paraId="3EE77070">
            <w:pPr>
              <w:kinsoku w:val="0"/>
              <w:autoSpaceDE w:val="0"/>
              <w:autoSpaceDN w:val="0"/>
              <w:adjustRightInd w:val="0"/>
              <w:snapToGrid w:val="0"/>
              <w:spacing w:before="48" w:line="235" w:lineRule="auto"/>
              <w:ind w:left="224" w:right="203" w:hanging="5"/>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3"/>
                <w:kern w:val="0"/>
                <w:sz w:val="20"/>
                <w:szCs w:val="20"/>
                <w:lang w:val="en-US" w:eastAsia="en-US" w:bidi="ar-SA"/>
              </w:rPr>
              <w:t>检查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b/>
                <w:bCs/>
                <w:snapToGrid w:val="0"/>
                <w:color w:val="000000"/>
                <w:spacing w:val="1"/>
                <w:kern w:val="0"/>
                <w:sz w:val="20"/>
                <w:szCs w:val="20"/>
                <w:lang w:val="en-US" w:eastAsia="en-US" w:bidi="ar-SA"/>
              </w:rPr>
              <w:t>结果</w:t>
            </w:r>
          </w:p>
        </w:tc>
      </w:tr>
      <w:tr w14:paraId="5520A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restart"/>
            <w:vAlign w:val="top"/>
          </w:tcPr>
          <w:p w14:paraId="5C100157">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3E4AFE66">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1EB050DD">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1A6D3DAB">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4E46A81E">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2B470CD1">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25516B1E">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513A780E">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407AB70B">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7B0E8B71">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459DE81E">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41F81BB0">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388CDD5A">
            <w:pPr>
              <w:widowControl/>
              <w:kinsoku w:val="0"/>
              <w:autoSpaceDE w:val="0"/>
              <w:autoSpaceDN w:val="0"/>
              <w:adjustRightInd w:val="0"/>
              <w:snapToGrid w:val="0"/>
              <w:spacing w:before="57" w:line="195" w:lineRule="auto"/>
              <w:ind w:left="23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26" w:type="dxa"/>
            <w:gridSpan w:val="2"/>
            <w:vMerge w:val="restart"/>
            <w:vAlign w:val="top"/>
          </w:tcPr>
          <w:p w14:paraId="207D4B4E">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4462B444">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70A04E5C">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2EDF7C6C">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62F505BB">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49479641">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33462707">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1A5D808D">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4CCD636A">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218F8B12">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6B328496">
            <w:pPr>
              <w:kinsoku w:val="0"/>
              <w:autoSpaceDE w:val="0"/>
              <w:autoSpaceDN w:val="0"/>
              <w:adjustRightInd w:val="0"/>
              <w:snapToGrid w:val="0"/>
              <w:spacing w:before="65" w:line="244" w:lineRule="auto"/>
              <w:ind w:left="162" w:right="177" w:hanging="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证照</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文书</w:t>
            </w:r>
          </w:p>
        </w:tc>
        <w:tc>
          <w:tcPr>
            <w:tcW w:w="4744" w:type="dxa"/>
            <w:vAlign w:val="top"/>
          </w:tcPr>
          <w:p w14:paraId="66C1C7F7">
            <w:pPr>
              <w:kinsoku w:val="0"/>
              <w:autoSpaceDE w:val="0"/>
              <w:autoSpaceDN w:val="0"/>
              <w:adjustRightInd w:val="0"/>
              <w:snapToGrid w:val="0"/>
              <w:spacing w:before="186"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w:t>
            </w:r>
            <w:r>
              <w:rPr>
                <w:rFonts w:ascii="Times New Roman" w:hAnsi="Times New Roman" w:eastAsia="Times New Roman" w:cs="Times New Roman"/>
                <w:snapToGrid w:val="0"/>
                <w:color w:val="000000"/>
                <w:spacing w:val="5"/>
                <w:kern w:val="0"/>
                <w:sz w:val="20"/>
                <w:szCs w:val="20"/>
                <w:lang w:val="en-US" w:eastAsia="en-US" w:bidi="ar-SA"/>
              </w:rPr>
              <w:t>1</w:t>
            </w:r>
            <w:r>
              <w:rPr>
                <w:rFonts w:ascii="宋体" w:hAnsi="宋体" w:eastAsia="宋体" w:cs="宋体"/>
                <w:snapToGrid w:val="0"/>
                <w:color w:val="000000"/>
                <w:spacing w:val="5"/>
                <w:kern w:val="0"/>
                <w:sz w:val="20"/>
                <w:szCs w:val="20"/>
                <w:lang w:val="en-US" w:eastAsia="en-US" w:bidi="ar-SA"/>
              </w:rPr>
              <w:t>）营业执照。</w:t>
            </w:r>
          </w:p>
        </w:tc>
        <w:tc>
          <w:tcPr>
            <w:tcW w:w="1710" w:type="dxa"/>
            <w:vAlign w:val="top"/>
          </w:tcPr>
          <w:p w14:paraId="6E2DA87D">
            <w:pPr>
              <w:kinsoku w:val="0"/>
              <w:autoSpaceDE w:val="0"/>
              <w:autoSpaceDN w:val="0"/>
              <w:adjustRightInd w:val="0"/>
              <w:snapToGrid w:val="0"/>
              <w:spacing w:before="186" w:line="228" w:lineRule="auto"/>
              <w:jc w:val="left"/>
              <w:textAlignment w:val="baseline"/>
              <w:rPr>
                <w:rFonts w:hint="eastAsia" w:ascii="宋体" w:hAnsi="宋体" w:eastAsia="宋体" w:cs="宋体"/>
                <w:snapToGrid w:val="0"/>
                <w:color w:val="000000"/>
                <w:kern w:val="0"/>
                <w:sz w:val="20"/>
                <w:szCs w:val="20"/>
                <w:lang w:val="en-US" w:eastAsia="zh-CN" w:bidi="ar-SA"/>
              </w:rPr>
            </w:pPr>
            <w:r>
              <w:rPr>
                <w:rFonts w:ascii="宋体" w:hAnsi="宋体" w:eastAsia="宋体" w:cs="宋体"/>
                <w:snapToGrid w:val="0"/>
                <w:color w:val="000000"/>
                <w:spacing w:val="7"/>
                <w:kern w:val="0"/>
                <w:sz w:val="20"/>
                <w:szCs w:val="20"/>
                <w:lang w:val="en-US" w:eastAsia="en-US" w:bidi="ar-SA"/>
              </w:rPr>
              <w:t>有营业执照</w:t>
            </w:r>
          </w:p>
        </w:tc>
        <w:tc>
          <w:tcPr>
            <w:tcW w:w="1710" w:type="dxa"/>
            <w:vAlign w:val="top"/>
          </w:tcPr>
          <w:p w14:paraId="733714DF">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MS UI Gothic" w:hAnsi="MS UI Gothic" w:eastAsia="宋体" w:cs="MS UI Gothic"/>
                <w:snapToGrid w:val="0"/>
                <w:color w:val="000000"/>
                <w:spacing w:val="3"/>
                <w:kern w:val="0"/>
                <w:sz w:val="20"/>
                <w:szCs w:val="20"/>
                <w:lang w:val="en-US" w:eastAsia="zh-CN" w:bidi="ar-SA"/>
              </w:rPr>
              <w:t>符合要求</w:t>
            </w:r>
          </w:p>
        </w:tc>
      </w:tr>
      <w:tr w14:paraId="28DEC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69E0917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737EC93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5D84CDBA">
            <w:pPr>
              <w:kinsoku w:val="0"/>
              <w:autoSpaceDE w:val="0"/>
              <w:autoSpaceDN w:val="0"/>
              <w:adjustRightInd w:val="0"/>
              <w:snapToGrid w:val="0"/>
              <w:spacing w:before="188"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）成品油零售经营批准证书，是否在有效期内</w:t>
            </w:r>
          </w:p>
        </w:tc>
        <w:tc>
          <w:tcPr>
            <w:tcW w:w="1710" w:type="dxa"/>
            <w:vAlign w:val="top"/>
          </w:tcPr>
          <w:p w14:paraId="1482090A">
            <w:pPr>
              <w:kinsoku w:val="0"/>
              <w:autoSpaceDE w:val="0"/>
              <w:autoSpaceDN w:val="0"/>
              <w:adjustRightInd w:val="0"/>
              <w:snapToGrid w:val="0"/>
              <w:spacing w:before="188" w:line="228" w:lineRule="auto"/>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在有效期内</w:t>
            </w:r>
          </w:p>
        </w:tc>
        <w:tc>
          <w:tcPr>
            <w:tcW w:w="1710" w:type="dxa"/>
            <w:vAlign w:val="top"/>
          </w:tcPr>
          <w:p w14:paraId="4842135A">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0B8B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99" w:type="dxa"/>
            <w:vMerge w:val="continue"/>
            <w:vAlign w:val="top"/>
          </w:tcPr>
          <w:p w14:paraId="0759F60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557B0B6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12580BE8">
            <w:pPr>
              <w:kinsoku w:val="0"/>
              <w:autoSpaceDE w:val="0"/>
              <w:autoSpaceDN w:val="0"/>
              <w:adjustRightInd w:val="0"/>
              <w:snapToGrid w:val="0"/>
              <w:spacing w:before="188"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3</w:t>
            </w:r>
            <w:r>
              <w:rPr>
                <w:rFonts w:ascii="宋体" w:hAnsi="宋体" w:eastAsia="宋体" w:cs="宋体"/>
                <w:snapToGrid w:val="0"/>
                <w:color w:val="000000"/>
                <w:spacing w:val="8"/>
                <w:kern w:val="0"/>
                <w:sz w:val="20"/>
                <w:szCs w:val="20"/>
                <w:lang w:val="en-US" w:eastAsia="en-US" w:bidi="ar-SA"/>
              </w:rPr>
              <w:t>）危险化学品经营许可证，是否在有效期内。</w:t>
            </w:r>
          </w:p>
        </w:tc>
        <w:tc>
          <w:tcPr>
            <w:tcW w:w="1710" w:type="dxa"/>
            <w:vAlign w:val="top"/>
          </w:tcPr>
          <w:p w14:paraId="1A04AE1E">
            <w:pPr>
              <w:kinsoku w:val="0"/>
              <w:autoSpaceDE w:val="0"/>
              <w:autoSpaceDN w:val="0"/>
              <w:adjustRightInd w:val="0"/>
              <w:snapToGrid w:val="0"/>
              <w:spacing w:before="188" w:line="228" w:lineRule="auto"/>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在有效期内</w:t>
            </w:r>
          </w:p>
        </w:tc>
        <w:tc>
          <w:tcPr>
            <w:tcW w:w="1710" w:type="dxa"/>
            <w:vAlign w:val="top"/>
          </w:tcPr>
          <w:p w14:paraId="0C83B9C3">
            <w:pPr>
              <w:kinsoku w:val="0"/>
              <w:autoSpaceDE w:val="0"/>
              <w:autoSpaceDN w:val="0"/>
              <w:adjustRightInd w:val="0"/>
              <w:snapToGrid w:val="0"/>
              <w:spacing w:before="49" w:line="233"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205B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2E65951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3DF3B81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7360F815">
            <w:pPr>
              <w:kinsoku w:val="0"/>
              <w:autoSpaceDE w:val="0"/>
              <w:autoSpaceDN w:val="0"/>
              <w:adjustRightInd w:val="0"/>
              <w:snapToGrid w:val="0"/>
              <w:spacing w:before="49" w:line="233" w:lineRule="auto"/>
              <w:ind w:left="110" w:right="100" w:firstLine="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4</w:t>
            </w:r>
            <w:r>
              <w:rPr>
                <w:rFonts w:ascii="宋体" w:hAnsi="宋体" w:eastAsia="宋体" w:cs="宋体"/>
                <w:snapToGrid w:val="0"/>
                <w:color w:val="000000"/>
                <w:spacing w:val="10"/>
                <w:kern w:val="0"/>
                <w:sz w:val="20"/>
                <w:szCs w:val="20"/>
                <w:lang w:val="en-US" w:eastAsia="en-US" w:bidi="ar-SA"/>
              </w:rPr>
              <w:t>）合规的立项文件或备案证明，加油站实际建设是</w:t>
            </w:r>
            <w:r>
              <w:rPr>
                <w:rFonts w:ascii="宋体" w:hAnsi="宋体" w:eastAsia="宋体" w:cs="宋体"/>
                <w:snapToGrid w:val="0"/>
                <w:color w:val="000000"/>
                <w:spacing w:val="7"/>
                <w:kern w:val="0"/>
                <w:sz w:val="20"/>
                <w:szCs w:val="20"/>
                <w:lang w:val="en-US" w:eastAsia="en-US" w:bidi="ar-SA"/>
              </w:rPr>
              <w:t>否与立项文件一致。</w:t>
            </w:r>
          </w:p>
        </w:tc>
        <w:tc>
          <w:tcPr>
            <w:tcW w:w="1710" w:type="dxa"/>
            <w:vAlign w:val="top"/>
          </w:tcPr>
          <w:p w14:paraId="66AA7C5E">
            <w:pPr>
              <w:kinsoku w:val="0"/>
              <w:autoSpaceDE w:val="0"/>
              <w:autoSpaceDN w:val="0"/>
              <w:adjustRightInd w:val="0"/>
              <w:snapToGrid w:val="0"/>
              <w:spacing w:before="190" w:line="229" w:lineRule="auto"/>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与立项一致</w:t>
            </w:r>
          </w:p>
        </w:tc>
        <w:tc>
          <w:tcPr>
            <w:tcW w:w="1710" w:type="dxa"/>
            <w:vAlign w:val="top"/>
          </w:tcPr>
          <w:p w14:paraId="12CD1A82">
            <w:pPr>
              <w:kinsoku w:val="0"/>
              <w:autoSpaceDE w:val="0"/>
              <w:autoSpaceDN w:val="0"/>
              <w:adjustRightInd w:val="0"/>
              <w:snapToGrid w:val="0"/>
              <w:spacing w:before="49" w:line="233"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7B81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1" w:hRule="atLeast"/>
        </w:trPr>
        <w:tc>
          <w:tcPr>
            <w:tcW w:w="699" w:type="dxa"/>
            <w:vMerge w:val="continue"/>
            <w:vAlign w:val="top"/>
          </w:tcPr>
          <w:p w14:paraId="5B4009C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67257B4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4DDCE181">
            <w:pPr>
              <w:kinsoku w:val="0"/>
              <w:autoSpaceDE w:val="0"/>
              <w:autoSpaceDN w:val="0"/>
              <w:adjustRightInd w:val="0"/>
              <w:snapToGrid w:val="0"/>
              <w:spacing w:before="114" w:line="244" w:lineRule="auto"/>
              <w:ind w:left="110" w:right="100" w:firstLine="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5</w:t>
            </w:r>
            <w:r>
              <w:rPr>
                <w:rFonts w:ascii="宋体" w:hAnsi="宋体" w:eastAsia="宋体" w:cs="宋体"/>
                <w:snapToGrid w:val="0"/>
                <w:color w:val="000000"/>
                <w:spacing w:val="10"/>
                <w:kern w:val="0"/>
                <w:sz w:val="20"/>
                <w:szCs w:val="20"/>
                <w:lang w:val="en-US" w:eastAsia="en-US" w:bidi="ar-SA"/>
              </w:rPr>
              <w:t>）加油站用地证明文件、用地红线等，站址建设是</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否在用地红线范围内。</w:t>
            </w:r>
          </w:p>
        </w:tc>
        <w:tc>
          <w:tcPr>
            <w:tcW w:w="1710" w:type="dxa"/>
            <w:vAlign w:val="top"/>
          </w:tcPr>
          <w:p w14:paraId="5FECEC1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在用地红线范围</w:t>
            </w:r>
            <w:r>
              <w:rPr>
                <w:rFonts w:ascii="宋体" w:hAnsi="宋体" w:eastAsia="宋体" w:cs="宋体"/>
                <w:snapToGrid w:val="0"/>
                <w:color w:val="000000"/>
                <w:spacing w:val="4"/>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内</w:t>
            </w:r>
          </w:p>
        </w:tc>
        <w:tc>
          <w:tcPr>
            <w:tcW w:w="1710" w:type="dxa"/>
            <w:vAlign w:val="top"/>
          </w:tcPr>
          <w:p w14:paraId="50C1C7D0">
            <w:pPr>
              <w:kinsoku w:val="0"/>
              <w:autoSpaceDE w:val="0"/>
              <w:autoSpaceDN w:val="0"/>
              <w:adjustRightInd w:val="0"/>
              <w:snapToGrid w:val="0"/>
              <w:spacing w:before="112"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8EEA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continue"/>
            <w:vAlign w:val="top"/>
          </w:tcPr>
          <w:p w14:paraId="68BDAAE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0D4A2A2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5B6B4E85">
            <w:pPr>
              <w:kinsoku w:val="0"/>
              <w:autoSpaceDE w:val="0"/>
              <w:autoSpaceDN w:val="0"/>
              <w:adjustRightInd w:val="0"/>
              <w:snapToGrid w:val="0"/>
              <w:spacing w:before="193" w:line="244" w:lineRule="auto"/>
              <w:ind w:left="105" w:right="100"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6</w:t>
            </w:r>
            <w:r>
              <w:rPr>
                <w:rFonts w:ascii="宋体" w:hAnsi="宋体" w:eastAsia="宋体" w:cs="宋体"/>
                <w:snapToGrid w:val="0"/>
                <w:color w:val="000000"/>
                <w:spacing w:val="10"/>
                <w:kern w:val="0"/>
                <w:sz w:val="20"/>
                <w:szCs w:val="20"/>
                <w:lang w:val="en-US" w:eastAsia="en-US" w:bidi="ar-SA"/>
              </w:rPr>
              <w:t>）新建、改建、扩建加油站是否有审查手续和批复</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文件。</w:t>
            </w:r>
          </w:p>
        </w:tc>
        <w:tc>
          <w:tcPr>
            <w:tcW w:w="1710" w:type="dxa"/>
            <w:vAlign w:val="top"/>
          </w:tcPr>
          <w:p w14:paraId="3CB1400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有安全预评价审</w:t>
            </w:r>
          </w:p>
          <w:p w14:paraId="6EB25F2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查、安全设施设</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计审查。</w:t>
            </w:r>
          </w:p>
        </w:tc>
        <w:tc>
          <w:tcPr>
            <w:tcW w:w="1710" w:type="dxa"/>
            <w:vAlign w:val="top"/>
          </w:tcPr>
          <w:p w14:paraId="5A2F6209">
            <w:pPr>
              <w:kinsoku w:val="0"/>
              <w:autoSpaceDE w:val="0"/>
              <w:autoSpaceDN w:val="0"/>
              <w:adjustRightInd w:val="0"/>
              <w:snapToGrid w:val="0"/>
              <w:spacing w:before="192"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780B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689FE49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0F40F71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38F15544">
            <w:pPr>
              <w:kinsoku w:val="0"/>
              <w:autoSpaceDE w:val="0"/>
              <w:autoSpaceDN w:val="0"/>
              <w:adjustRightInd w:val="0"/>
              <w:snapToGrid w:val="0"/>
              <w:spacing w:before="194"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7</w:t>
            </w:r>
            <w:r>
              <w:rPr>
                <w:rFonts w:ascii="宋体" w:hAnsi="宋体" w:eastAsia="宋体" w:cs="宋体"/>
                <w:snapToGrid w:val="0"/>
                <w:color w:val="000000"/>
                <w:spacing w:val="8"/>
                <w:kern w:val="0"/>
                <w:sz w:val="20"/>
                <w:szCs w:val="20"/>
                <w:lang w:val="en-US" w:eastAsia="en-US" w:bidi="ar-SA"/>
              </w:rPr>
              <w:t>）是否经过正规设计或诊断设计。</w:t>
            </w:r>
          </w:p>
        </w:tc>
        <w:tc>
          <w:tcPr>
            <w:tcW w:w="1710" w:type="dxa"/>
            <w:vAlign w:val="top"/>
          </w:tcPr>
          <w:p w14:paraId="12D76284">
            <w:pPr>
              <w:kinsoku w:val="0"/>
              <w:autoSpaceDE w:val="0"/>
              <w:autoSpaceDN w:val="0"/>
              <w:adjustRightInd w:val="0"/>
              <w:snapToGrid w:val="0"/>
              <w:spacing w:before="194" w:line="230" w:lineRule="auto"/>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经正规设计。</w:t>
            </w:r>
          </w:p>
        </w:tc>
        <w:tc>
          <w:tcPr>
            <w:tcW w:w="1710" w:type="dxa"/>
            <w:vAlign w:val="top"/>
          </w:tcPr>
          <w:p w14:paraId="529F2D49">
            <w:pPr>
              <w:kinsoku w:val="0"/>
              <w:autoSpaceDE w:val="0"/>
              <w:autoSpaceDN w:val="0"/>
              <w:adjustRightInd w:val="0"/>
              <w:snapToGrid w:val="0"/>
              <w:spacing w:before="55" w:line="230"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7644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0A27868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35D3C80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7253C527">
            <w:pPr>
              <w:kinsoku w:val="0"/>
              <w:autoSpaceDE w:val="0"/>
              <w:autoSpaceDN w:val="0"/>
              <w:adjustRightInd w:val="0"/>
              <w:snapToGrid w:val="0"/>
              <w:spacing w:before="196" w:line="229"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8</w:t>
            </w:r>
            <w:r>
              <w:rPr>
                <w:rFonts w:ascii="宋体" w:hAnsi="宋体" w:eastAsia="宋体" w:cs="宋体"/>
                <w:snapToGrid w:val="0"/>
                <w:color w:val="000000"/>
                <w:spacing w:val="8"/>
                <w:kern w:val="0"/>
                <w:sz w:val="20"/>
                <w:szCs w:val="20"/>
                <w:lang w:val="en-US" w:eastAsia="en-US" w:bidi="ar-SA"/>
              </w:rPr>
              <w:t>）设计单位是否具备相应的资质。</w:t>
            </w:r>
          </w:p>
        </w:tc>
        <w:tc>
          <w:tcPr>
            <w:tcW w:w="1710" w:type="dxa"/>
            <w:vAlign w:val="top"/>
          </w:tcPr>
          <w:p w14:paraId="20C103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设计单位有相应</w:t>
            </w:r>
            <w:r>
              <w:rPr>
                <w:rFonts w:ascii="宋体" w:hAnsi="宋体" w:eastAsia="宋体" w:cs="宋体"/>
                <w:snapToGrid w:val="0"/>
                <w:color w:val="000000"/>
                <w:kern w:val="0"/>
                <w:sz w:val="20"/>
                <w:szCs w:val="20"/>
                <w:lang w:val="en-US" w:eastAsia="en-US" w:bidi="ar-SA"/>
              </w:rPr>
              <w:t xml:space="preserve"> 资质。</w:t>
            </w:r>
          </w:p>
        </w:tc>
        <w:tc>
          <w:tcPr>
            <w:tcW w:w="1710" w:type="dxa"/>
            <w:vAlign w:val="top"/>
          </w:tcPr>
          <w:p w14:paraId="28D0F7B7">
            <w:pPr>
              <w:kinsoku w:val="0"/>
              <w:autoSpaceDE w:val="0"/>
              <w:autoSpaceDN w:val="0"/>
              <w:adjustRightInd w:val="0"/>
              <w:snapToGrid w:val="0"/>
              <w:spacing w:before="55" w:line="230"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B07D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6D490A8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19E4E9E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0BE50582">
            <w:pPr>
              <w:kinsoku w:val="0"/>
              <w:autoSpaceDE w:val="0"/>
              <w:autoSpaceDN w:val="0"/>
              <w:adjustRightInd w:val="0"/>
              <w:snapToGrid w:val="0"/>
              <w:spacing w:before="57" w:line="229" w:lineRule="auto"/>
              <w:ind w:left="107" w:right="100" w:firstLine="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9</w:t>
            </w:r>
            <w:r>
              <w:rPr>
                <w:rFonts w:ascii="宋体" w:hAnsi="宋体" w:eastAsia="宋体" w:cs="宋体"/>
                <w:snapToGrid w:val="0"/>
                <w:color w:val="000000"/>
                <w:spacing w:val="10"/>
                <w:kern w:val="0"/>
                <w:sz w:val="20"/>
                <w:szCs w:val="20"/>
                <w:lang w:val="en-US" w:eastAsia="en-US" w:bidi="ar-SA"/>
              </w:rPr>
              <w:t>）是否出具合格的设计图纸，设计图纸是否与现场</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一致。</w:t>
            </w:r>
          </w:p>
        </w:tc>
        <w:tc>
          <w:tcPr>
            <w:tcW w:w="1710" w:type="dxa"/>
            <w:vAlign w:val="top"/>
          </w:tcPr>
          <w:p w14:paraId="2921FF9D">
            <w:pPr>
              <w:kinsoku w:val="0"/>
              <w:autoSpaceDE w:val="0"/>
              <w:autoSpaceDN w:val="0"/>
              <w:adjustRightInd w:val="0"/>
              <w:snapToGrid w:val="0"/>
              <w:spacing w:before="57" w:line="229" w:lineRule="auto"/>
              <w:ind w:right="26" w:righ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有合格设计图</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纸，与现场一致。</w:t>
            </w:r>
          </w:p>
        </w:tc>
        <w:tc>
          <w:tcPr>
            <w:tcW w:w="1710" w:type="dxa"/>
            <w:vAlign w:val="top"/>
          </w:tcPr>
          <w:p w14:paraId="5286A3EC">
            <w:pPr>
              <w:kinsoku w:val="0"/>
              <w:autoSpaceDE w:val="0"/>
              <w:autoSpaceDN w:val="0"/>
              <w:adjustRightInd w:val="0"/>
              <w:snapToGrid w:val="0"/>
              <w:spacing w:before="57" w:line="229"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1CA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21C8C01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62DE693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52F7E4FE">
            <w:pPr>
              <w:kinsoku w:val="0"/>
              <w:autoSpaceDE w:val="0"/>
              <w:autoSpaceDN w:val="0"/>
              <w:adjustRightInd w:val="0"/>
              <w:snapToGrid w:val="0"/>
              <w:spacing w:before="198" w:line="228" w:lineRule="auto"/>
              <w:ind w:right="6"/>
              <w:jc w:val="righ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w:t>
            </w:r>
            <w:r>
              <w:rPr>
                <w:rFonts w:ascii="Times New Roman" w:hAnsi="Times New Roman" w:eastAsia="Times New Roman" w:cs="Times New Roman"/>
                <w:snapToGrid w:val="0"/>
                <w:color w:val="000000"/>
                <w:spacing w:val="2"/>
                <w:kern w:val="0"/>
                <w:sz w:val="20"/>
                <w:szCs w:val="20"/>
                <w:lang w:val="en-US" w:eastAsia="en-US" w:bidi="ar-SA"/>
              </w:rPr>
              <w:t>10</w:t>
            </w:r>
            <w:r>
              <w:rPr>
                <w:rFonts w:ascii="宋体" w:hAnsi="宋体" w:eastAsia="宋体" w:cs="宋体"/>
                <w:snapToGrid w:val="0"/>
                <w:color w:val="000000"/>
                <w:spacing w:val="2"/>
                <w:kern w:val="0"/>
                <w:sz w:val="20"/>
                <w:szCs w:val="20"/>
                <w:lang w:val="en-US" w:eastAsia="en-US" w:bidi="ar-SA"/>
              </w:rPr>
              <w:t>）加油站是否经过消防验收，取得消防验收</w:t>
            </w:r>
            <w:r>
              <w:rPr>
                <w:rFonts w:ascii="宋体" w:hAnsi="宋体" w:eastAsia="宋体" w:cs="宋体"/>
                <w:snapToGrid w:val="0"/>
                <w:color w:val="000000"/>
                <w:spacing w:val="1"/>
                <w:kern w:val="0"/>
                <w:sz w:val="20"/>
                <w:szCs w:val="20"/>
                <w:lang w:val="en-US" w:eastAsia="en-US" w:bidi="ar-SA"/>
              </w:rPr>
              <w:t>意见书。</w:t>
            </w:r>
          </w:p>
        </w:tc>
        <w:tc>
          <w:tcPr>
            <w:tcW w:w="1710" w:type="dxa"/>
            <w:vAlign w:val="top"/>
          </w:tcPr>
          <w:p w14:paraId="4D086E87">
            <w:pPr>
              <w:kinsoku w:val="0"/>
              <w:autoSpaceDE w:val="0"/>
              <w:autoSpaceDN w:val="0"/>
              <w:adjustRightInd w:val="0"/>
              <w:snapToGrid w:val="0"/>
              <w:spacing w:before="56" w:line="229" w:lineRule="auto"/>
              <w:ind w:right="210" w:righ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已取得消防验</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收，见附件。</w:t>
            </w:r>
          </w:p>
        </w:tc>
        <w:tc>
          <w:tcPr>
            <w:tcW w:w="1710" w:type="dxa"/>
            <w:vAlign w:val="top"/>
          </w:tcPr>
          <w:p w14:paraId="386359BC">
            <w:pPr>
              <w:kinsoku w:val="0"/>
              <w:autoSpaceDE w:val="0"/>
              <w:autoSpaceDN w:val="0"/>
              <w:adjustRightInd w:val="0"/>
              <w:snapToGrid w:val="0"/>
              <w:spacing w:before="56" w:line="229"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B803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restart"/>
            <w:vAlign w:val="top"/>
          </w:tcPr>
          <w:p w14:paraId="1F4E4DE4">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7D4EF73C">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352CFDE3">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49F0B7A3">
            <w:pPr>
              <w:widowControl/>
              <w:kinsoku w:val="0"/>
              <w:autoSpaceDE w:val="0"/>
              <w:autoSpaceDN w:val="0"/>
              <w:adjustRightInd w:val="0"/>
              <w:snapToGrid w:val="0"/>
              <w:spacing w:line="291" w:lineRule="auto"/>
              <w:jc w:val="left"/>
              <w:textAlignment w:val="baseline"/>
              <w:rPr>
                <w:rFonts w:ascii="Arial" w:hAnsi="Arial" w:eastAsia="Arial" w:cs="Arial"/>
                <w:snapToGrid w:val="0"/>
                <w:color w:val="000000"/>
                <w:kern w:val="0"/>
                <w:sz w:val="21"/>
                <w:lang w:eastAsia="en-US"/>
              </w:rPr>
            </w:pPr>
          </w:p>
          <w:p w14:paraId="0E72B33E">
            <w:pPr>
              <w:widowControl/>
              <w:kinsoku w:val="0"/>
              <w:autoSpaceDE w:val="0"/>
              <w:autoSpaceDN w:val="0"/>
              <w:adjustRightInd w:val="0"/>
              <w:snapToGrid w:val="0"/>
              <w:spacing w:before="58" w:line="195" w:lineRule="auto"/>
              <w:ind w:left="21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626" w:type="dxa"/>
            <w:gridSpan w:val="2"/>
            <w:vMerge w:val="restart"/>
            <w:vAlign w:val="top"/>
          </w:tcPr>
          <w:p w14:paraId="507B9D51">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lang w:eastAsia="en-US"/>
              </w:rPr>
            </w:pPr>
          </w:p>
          <w:p w14:paraId="2B05E62D">
            <w:pPr>
              <w:widowControl/>
              <w:kinsoku w:val="0"/>
              <w:autoSpaceDE w:val="0"/>
              <w:autoSpaceDN w:val="0"/>
              <w:adjustRightInd w:val="0"/>
              <w:snapToGrid w:val="0"/>
              <w:spacing w:line="280" w:lineRule="auto"/>
              <w:jc w:val="left"/>
              <w:textAlignment w:val="baseline"/>
              <w:rPr>
                <w:rFonts w:ascii="Arial" w:hAnsi="Arial" w:eastAsia="Arial" w:cs="Arial"/>
                <w:snapToGrid w:val="0"/>
                <w:color w:val="000000"/>
                <w:kern w:val="0"/>
                <w:sz w:val="21"/>
                <w:lang w:eastAsia="en-US"/>
              </w:rPr>
            </w:pPr>
          </w:p>
          <w:p w14:paraId="682BF929">
            <w:pPr>
              <w:widowControl/>
              <w:kinsoku w:val="0"/>
              <w:autoSpaceDE w:val="0"/>
              <w:autoSpaceDN w:val="0"/>
              <w:adjustRightInd w:val="0"/>
              <w:snapToGrid w:val="0"/>
              <w:spacing w:line="280" w:lineRule="auto"/>
              <w:jc w:val="left"/>
              <w:textAlignment w:val="baseline"/>
              <w:rPr>
                <w:rFonts w:ascii="Arial" w:hAnsi="Arial" w:eastAsia="Arial" w:cs="Arial"/>
                <w:snapToGrid w:val="0"/>
                <w:color w:val="000000"/>
                <w:kern w:val="0"/>
                <w:sz w:val="21"/>
                <w:lang w:eastAsia="en-US"/>
              </w:rPr>
            </w:pPr>
          </w:p>
          <w:p w14:paraId="1ED8BD55">
            <w:pPr>
              <w:kinsoku w:val="0"/>
              <w:autoSpaceDE w:val="0"/>
              <w:autoSpaceDN w:val="0"/>
              <w:adjustRightInd w:val="0"/>
              <w:snapToGrid w:val="0"/>
              <w:spacing w:before="65" w:line="248" w:lineRule="auto"/>
              <w:ind w:left="160" w:right="177" w:firstLine="5"/>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安全</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管理</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机构</w:t>
            </w:r>
          </w:p>
        </w:tc>
        <w:tc>
          <w:tcPr>
            <w:tcW w:w="4744" w:type="dxa"/>
            <w:vAlign w:val="top"/>
          </w:tcPr>
          <w:p w14:paraId="0B4070F9">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21"/>
                <w:lang w:eastAsia="en-US"/>
              </w:rPr>
            </w:pPr>
          </w:p>
          <w:p w14:paraId="729246F0">
            <w:pPr>
              <w:kinsoku w:val="0"/>
              <w:autoSpaceDE w:val="0"/>
              <w:autoSpaceDN w:val="0"/>
              <w:adjustRightInd w:val="0"/>
              <w:snapToGrid w:val="0"/>
              <w:spacing w:before="65"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1</w:t>
            </w:r>
            <w:r>
              <w:rPr>
                <w:rFonts w:ascii="宋体" w:hAnsi="宋体" w:eastAsia="宋体" w:cs="宋体"/>
                <w:snapToGrid w:val="0"/>
                <w:color w:val="000000"/>
                <w:spacing w:val="8"/>
                <w:kern w:val="0"/>
                <w:sz w:val="20"/>
                <w:szCs w:val="20"/>
                <w:lang w:val="en-US" w:eastAsia="en-US" w:bidi="ar-SA"/>
              </w:rPr>
              <w:t>）是否成立安全管理机构，配置安全管理人员</w:t>
            </w:r>
          </w:p>
        </w:tc>
        <w:tc>
          <w:tcPr>
            <w:tcW w:w="1710" w:type="dxa"/>
            <w:vAlign w:val="top"/>
          </w:tcPr>
          <w:p w14:paraId="4A3F174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有安全领导小组，有安全管理</w:t>
            </w:r>
            <w:r>
              <w:rPr>
                <w:rFonts w:ascii="宋体" w:hAnsi="宋体" w:eastAsia="宋体" w:cs="宋体"/>
                <w:snapToGrid w:val="0"/>
                <w:color w:val="000000"/>
                <w:spacing w:val="2"/>
                <w:kern w:val="0"/>
                <w:sz w:val="20"/>
                <w:szCs w:val="20"/>
                <w:lang w:val="en-US" w:eastAsia="en-US" w:bidi="ar-SA"/>
              </w:rPr>
              <w:t>人员。</w:t>
            </w:r>
          </w:p>
        </w:tc>
        <w:tc>
          <w:tcPr>
            <w:tcW w:w="1710" w:type="dxa"/>
            <w:vAlign w:val="top"/>
          </w:tcPr>
          <w:p w14:paraId="35537DB6">
            <w:pPr>
              <w:kinsoku w:val="0"/>
              <w:autoSpaceDE w:val="0"/>
              <w:autoSpaceDN w:val="0"/>
              <w:adjustRightInd w:val="0"/>
              <w:snapToGrid w:val="0"/>
              <w:spacing w:before="198"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4BC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246E16A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71B336A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573CAE56">
            <w:pPr>
              <w:kinsoku w:val="0"/>
              <w:autoSpaceDE w:val="0"/>
              <w:autoSpaceDN w:val="0"/>
              <w:adjustRightInd w:val="0"/>
              <w:snapToGrid w:val="0"/>
              <w:spacing w:before="201"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）专职安全管理人员是否经过正式任命。</w:t>
            </w:r>
          </w:p>
        </w:tc>
        <w:tc>
          <w:tcPr>
            <w:tcW w:w="1710" w:type="dxa"/>
            <w:vAlign w:val="top"/>
          </w:tcPr>
          <w:p w14:paraId="78CCEB89">
            <w:pPr>
              <w:kinsoku w:val="0"/>
              <w:autoSpaceDE w:val="0"/>
              <w:autoSpaceDN w:val="0"/>
              <w:adjustRightInd w:val="0"/>
              <w:snapToGrid w:val="0"/>
              <w:spacing w:before="62" w:line="227" w:lineRule="auto"/>
              <w:ind w:left="135" w:leftChars="0" w:right="105" w:rightChars="0" w:hanging="7"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专职安全管理人</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员经正式任命。</w:t>
            </w:r>
          </w:p>
        </w:tc>
        <w:tc>
          <w:tcPr>
            <w:tcW w:w="1710" w:type="dxa"/>
            <w:vAlign w:val="top"/>
          </w:tcPr>
          <w:p w14:paraId="7DB0CAC4">
            <w:pPr>
              <w:kinsoku w:val="0"/>
              <w:autoSpaceDE w:val="0"/>
              <w:autoSpaceDN w:val="0"/>
              <w:adjustRightInd w:val="0"/>
              <w:snapToGrid w:val="0"/>
              <w:spacing w:before="62" w:line="227"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88D0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2" w:hRule="atLeast"/>
        </w:trPr>
        <w:tc>
          <w:tcPr>
            <w:tcW w:w="699" w:type="dxa"/>
            <w:vMerge w:val="continue"/>
            <w:vAlign w:val="top"/>
          </w:tcPr>
          <w:p w14:paraId="5573EF0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0660D58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50DFD1BF">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357CBDAD">
            <w:pPr>
              <w:kinsoku w:val="0"/>
              <w:autoSpaceDE w:val="0"/>
              <w:autoSpaceDN w:val="0"/>
              <w:adjustRightInd w:val="0"/>
              <w:snapToGrid w:val="0"/>
              <w:spacing w:before="65" w:line="244" w:lineRule="auto"/>
              <w:ind w:left="103"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3</w:t>
            </w:r>
            <w:r>
              <w:rPr>
                <w:rFonts w:ascii="宋体" w:hAnsi="宋体" w:eastAsia="宋体" w:cs="宋体"/>
                <w:snapToGrid w:val="0"/>
                <w:color w:val="000000"/>
                <w:spacing w:val="10"/>
                <w:kern w:val="0"/>
                <w:sz w:val="20"/>
                <w:szCs w:val="20"/>
                <w:lang w:val="en-US" w:eastAsia="en-US" w:bidi="ar-SA"/>
              </w:rPr>
              <w:t>）主要负责人、安全生产管理人员是否取得安全资</w:t>
            </w:r>
            <w:r>
              <w:rPr>
                <w:rFonts w:ascii="宋体" w:hAnsi="宋体" w:eastAsia="宋体" w:cs="宋体"/>
                <w:snapToGrid w:val="0"/>
                <w:color w:val="000000"/>
                <w:spacing w:val="8"/>
                <w:kern w:val="0"/>
                <w:sz w:val="20"/>
                <w:szCs w:val="20"/>
                <w:lang w:val="en-US" w:eastAsia="en-US" w:bidi="ar-SA"/>
              </w:rPr>
              <w:t>格证书，证书是否在有效期内。</w:t>
            </w:r>
          </w:p>
        </w:tc>
        <w:tc>
          <w:tcPr>
            <w:tcW w:w="1710" w:type="dxa"/>
            <w:vAlign w:val="top"/>
          </w:tcPr>
          <w:p w14:paraId="382DBB1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both"/>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主要负责人、安</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全管理人员已取</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证，证件在有效</w:t>
            </w:r>
            <w:r>
              <w:rPr>
                <w:rFonts w:ascii="宋体" w:hAnsi="宋体" w:eastAsia="宋体" w:cs="宋体"/>
                <w:snapToGrid w:val="0"/>
                <w:color w:val="000000"/>
                <w:spacing w:val="2"/>
                <w:kern w:val="0"/>
                <w:sz w:val="20"/>
                <w:szCs w:val="20"/>
                <w:lang w:val="en-US" w:eastAsia="en-US" w:bidi="ar-SA"/>
              </w:rPr>
              <w:t>期内。</w:t>
            </w:r>
          </w:p>
        </w:tc>
        <w:tc>
          <w:tcPr>
            <w:tcW w:w="1710" w:type="dxa"/>
            <w:vAlign w:val="top"/>
          </w:tcPr>
          <w:p w14:paraId="68CDD45D">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5F5A355D">
            <w:pPr>
              <w:kinsoku w:val="0"/>
              <w:autoSpaceDE w:val="0"/>
              <w:autoSpaceDN w:val="0"/>
              <w:adjustRightInd w:val="0"/>
              <w:snapToGrid w:val="0"/>
              <w:spacing w:before="65"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B157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restart"/>
            <w:vAlign w:val="top"/>
          </w:tcPr>
          <w:p w14:paraId="5E2CA552">
            <w:pPr>
              <w:widowControl/>
              <w:kinsoku w:val="0"/>
              <w:autoSpaceDE w:val="0"/>
              <w:autoSpaceDN w:val="0"/>
              <w:adjustRightInd w:val="0"/>
              <w:snapToGrid w:val="0"/>
              <w:spacing w:line="302" w:lineRule="auto"/>
              <w:jc w:val="left"/>
              <w:textAlignment w:val="baseline"/>
              <w:rPr>
                <w:rFonts w:ascii="Arial" w:hAnsi="Arial" w:eastAsia="Arial" w:cs="Arial"/>
                <w:snapToGrid w:val="0"/>
                <w:color w:val="000000"/>
                <w:kern w:val="0"/>
                <w:sz w:val="21"/>
                <w:lang w:eastAsia="en-US"/>
              </w:rPr>
            </w:pPr>
          </w:p>
          <w:p w14:paraId="4AB6D2CE">
            <w:pPr>
              <w:widowControl/>
              <w:kinsoku w:val="0"/>
              <w:autoSpaceDE w:val="0"/>
              <w:autoSpaceDN w:val="0"/>
              <w:adjustRightInd w:val="0"/>
              <w:snapToGrid w:val="0"/>
              <w:spacing w:line="303" w:lineRule="auto"/>
              <w:jc w:val="left"/>
              <w:textAlignment w:val="baseline"/>
              <w:rPr>
                <w:rFonts w:ascii="Arial" w:hAnsi="Arial" w:eastAsia="Arial" w:cs="Arial"/>
                <w:snapToGrid w:val="0"/>
                <w:color w:val="000000"/>
                <w:kern w:val="0"/>
                <w:sz w:val="21"/>
                <w:lang w:eastAsia="en-US"/>
              </w:rPr>
            </w:pPr>
          </w:p>
          <w:p w14:paraId="55166945">
            <w:pPr>
              <w:widowControl/>
              <w:kinsoku w:val="0"/>
              <w:autoSpaceDE w:val="0"/>
              <w:autoSpaceDN w:val="0"/>
              <w:adjustRightInd w:val="0"/>
              <w:snapToGrid w:val="0"/>
              <w:spacing w:before="58" w:line="195" w:lineRule="auto"/>
              <w:ind w:left="22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626" w:type="dxa"/>
            <w:gridSpan w:val="2"/>
            <w:vMerge w:val="restart"/>
            <w:vAlign w:val="top"/>
          </w:tcPr>
          <w:p w14:paraId="12F542B7">
            <w:pPr>
              <w:kinsoku w:val="0"/>
              <w:autoSpaceDE w:val="0"/>
              <w:autoSpaceDN w:val="0"/>
              <w:adjustRightInd w:val="0"/>
              <w:snapToGrid w:val="0"/>
              <w:spacing w:before="212" w:line="251" w:lineRule="auto"/>
              <w:ind w:left="163" w:right="177" w:firstLine="2"/>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安全</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生产</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责任 制</w:t>
            </w:r>
          </w:p>
        </w:tc>
        <w:tc>
          <w:tcPr>
            <w:tcW w:w="4744" w:type="dxa"/>
            <w:vAlign w:val="top"/>
          </w:tcPr>
          <w:p w14:paraId="12E5F20A">
            <w:pPr>
              <w:kinsoku w:val="0"/>
              <w:autoSpaceDE w:val="0"/>
              <w:autoSpaceDN w:val="0"/>
              <w:adjustRightInd w:val="0"/>
              <w:snapToGrid w:val="0"/>
              <w:spacing w:before="205" w:line="243" w:lineRule="auto"/>
              <w:ind w:left="107" w:right="120" w:firstLine="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w:t>
            </w:r>
            <w:r>
              <w:rPr>
                <w:rFonts w:ascii="宋体" w:hAnsi="宋体" w:eastAsia="宋体" w:cs="宋体"/>
                <w:snapToGrid w:val="0"/>
                <w:color w:val="000000"/>
                <w:spacing w:val="6"/>
                <w:kern w:val="0"/>
                <w:sz w:val="20"/>
                <w:szCs w:val="20"/>
                <w:lang w:val="en-US" w:eastAsia="en-US" w:bidi="ar-SA"/>
              </w:rPr>
              <w:t>）是否建立安全生产责任制</w:t>
            </w:r>
            <w:r>
              <w:rPr>
                <w:rFonts w:ascii="Times New Roman" w:hAnsi="Times New Roman" w:eastAsia="Times New Roman" w:cs="Times New Roman"/>
                <w:snapToGrid w:val="0"/>
                <w:color w:val="000000"/>
                <w:spacing w:val="6"/>
                <w:kern w:val="0"/>
                <w:sz w:val="20"/>
                <w:szCs w:val="20"/>
                <w:lang w:val="en-US" w:eastAsia="en-US" w:bidi="ar-SA"/>
              </w:rPr>
              <w:t>,</w:t>
            </w:r>
            <w:r>
              <w:rPr>
                <w:rFonts w:ascii="宋体" w:hAnsi="宋体" w:eastAsia="宋体" w:cs="宋体"/>
                <w:snapToGrid w:val="0"/>
                <w:color w:val="000000"/>
                <w:spacing w:val="6"/>
                <w:kern w:val="0"/>
                <w:sz w:val="20"/>
                <w:szCs w:val="20"/>
                <w:lang w:val="en-US" w:eastAsia="en-US" w:bidi="ar-SA"/>
              </w:rPr>
              <w:t>明确规定主要负责人、</w:t>
            </w:r>
            <w:r>
              <w:rPr>
                <w:rFonts w:ascii="宋体" w:hAnsi="宋体" w:eastAsia="宋体" w:cs="宋体"/>
                <w:snapToGrid w:val="0"/>
                <w:color w:val="000000"/>
                <w:spacing w:val="8"/>
                <w:kern w:val="0"/>
                <w:sz w:val="20"/>
                <w:szCs w:val="20"/>
                <w:lang w:val="en-US" w:eastAsia="en-US" w:bidi="ar-SA"/>
              </w:rPr>
              <w:t>安全管理人员、有关部门等的安全生产职责</w:t>
            </w:r>
          </w:p>
        </w:tc>
        <w:tc>
          <w:tcPr>
            <w:tcW w:w="1710" w:type="dxa"/>
            <w:vAlign w:val="top"/>
          </w:tcPr>
          <w:p w14:paraId="7F8A538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建立有安全生产</w:t>
            </w:r>
          </w:p>
          <w:p w14:paraId="5C33714D">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责任制，明确各</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人员职责。</w:t>
            </w:r>
          </w:p>
        </w:tc>
        <w:tc>
          <w:tcPr>
            <w:tcW w:w="1710" w:type="dxa"/>
            <w:vAlign w:val="top"/>
          </w:tcPr>
          <w:p w14:paraId="7695E7AD">
            <w:pPr>
              <w:kinsoku w:val="0"/>
              <w:autoSpaceDE w:val="0"/>
              <w:autoSpaceDN w:val="0"/>
              <w:adjustRightInd w:val="0"/>
              <w:snapToGrid w:val="0"/>
              <w:spacing w:before="206" w:line="243"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3B06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45C7C5A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68E6ABA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22D426A6">
            <w:pPr>
              <w:kinsoku w:val="0"/>
              <w:autoSpaceDE w:val="0"/>
              <w:autoSpaceDN w:val="0"/>
              <w:adjustRightInd w:val="0"/>
              <w:snapToGrid w:val="0"/>
              <w:spacing w:before="207"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2</w:t>
            </w:r>
            <w:r>
              <w:rPr>
                <w:rFonts w:ascii="宋体" w:hAnsi="宋体" w:eastAsia="宋体" w:cs="宋体"/>
                <w:snapToGrid w:val="0"/>
                <w:color w:val="000000"/>
                <w:spacing w:val="7"/>
                <w:kern w:val="0"/>
                <w:sz w:val="20"/>
                <w:szCs w:val="20"/>
                <w:lang w:val="en-US" w:eastAsia="en-US" w:bidi="ar-SA"/>
              </w:rPr>
              <w:t>）是否签订安全责任书。</w:t>
            </w:r>
          </w:p>
        </w:tc>
        <w:tc>
          <w:tcPr>
            <w:tcW w:w="1710" w:type="dxa"/>
            <w:vAlign w:val="top"/>
          </w:tcPr>
          <w:p w14:paraId="01726DF8">
            <w:pPr>
              <w:kinsoku w:val="0"/>
              <w:autoSpaceDE w:val="0"/>
              <w:autoSpaceDN w:val="0"/>
              <w:adjustRightInd w:val="0"/>
              <w:snapToGrid w:val="0"/>
              <w:spacing w:before="207" w:line="228" w:lineRule="auto"/>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签订责任书</w:t>
            </w:r>
          </w:p>
        </w:tc>
        <w:tc>
          <w:tcPr>
            <w:tcW w:w="1710" w:type="dxa"/>
            <w:vAlign w:val="top"/>
          </w:tcPr>
          <w:p w14:paraId="5689BE9C">
            <w:pPr>
              <w:kinsoku w:val="0"/>
              <w:autoSpaceDE w:val="0"/>
              <w:autoSpaceDN w:val="0"/>
              <w:adjustRightInd w:val="0"/>
              <w:snapToGrid w:val="0"/>
              <w:spacing w:before="66" w:line="22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A161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699" w:type="dxa"/>
            <w:vMerge w:val="restart"/>
            <w:vAlign w:val="top"/>
          </w:tcPr>
          <w:p w14:paraId="5516A646">
            <w:pPr>
              <w:widowControl/>
              <w:kinsoku w:val="0"/>
              <w:autoSpaceDE w:val="0"/>
              <w:autoSpaceDN w:val="0"/>
              <w:adjustRightInd w:val="0"/>
              <w:snapToGrid w:val="0"/>
              <w:spacing w:before="243" w:line="195" w:lineRule="auto"/>
              <w:ind w:left="21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4</w:t>
            </w:r>
          </w:p>
        </w:tc>
        <w:tc>
          <w:tcPr>
            <w:tcW w:w="626" w:type="dxa"/>
            <w:gridSpan w:val="2"/>
            <w:vMerge w:val="restart"/>
            <w:vAlign w:val="top"/>
          </w:tcPr>
          <w:p w14:paraId="3A2F51CB">
            <w:pPr>
              <w:kinsoku w:val="0"/>
              <w:autoSpaceDE w:val="0"/>
              <w:autoSpaceDN w:val="0"/>
              <w:adjustRightInd w:val="0"/>
              <w:snapToGrid w:val="0"/>
              <w:spacing w:before="67" w:line="234" w:lineRule="auto"/>
              <w:ind w:left="162" w:right="177" w:firstLine="3"/>
              <w:jc w:val="left"/>
              <w:textAlignment w:val="baseline"/>
              <w:rPr>
                <w:rFonts w:ascii="宋体" w:hAnsi="宋体" w:eastAsia="宋体" w:cs="宋体"/>
                <w:snapToGrid w:val="0"/>
                <w:color w:val="000000"/>
                <w:spacing w:val="4"/>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安全 规章</w:t>
            </w:r>
          </w:p>
          <w:p w14:paraId="09B1AA87">
            <w:pPr>
              <w:kinsoku w:val="0"/>
              <w:autoSpaceDE w:val="0"/>
              <w:autoSpaceDN w:val="0"/>
              <w:adjustRightInd w:val="0"/>
              <w:snapToGrid w:val="0"/>
              <w:spacing w:before="50" w:line="251" w:lineRule="auto"/>
              <w:ind w:left="162" w:right="177"/>
              <w:jc w:val="both"/>
              <w:textAlignment w:val="baseline"/>
              <w:rPr>
                <w:rFonts w:ascii="宋体" w:hAnsi="宋体" w:eastAsia="宋体" w:cs="宋体"/>
                <w:snapToGrid w:val="0"/>
                <w:color w:val="000000"/>
                <w:spacing w:val="4"/>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制度 和操 作规 程</w:t>
            </w:r>
          </w:p>
        </w:tc>
        <w:tc>
          <w:tcPr>
            <w:tcW w:w="4744" w:type="dxa"/>
            <w:vAlign w:val="top"/>
          </w:tcPr>
          <w:p w14:paraId="50964FE7">
            <w:pPr>
              <w:kinsoku w:val="0"/>
              <w:autoSpaceDE w:val="0"/>
              <w:autoSpaceDN w:val="0"/>
              <w:adjustRightInd w:val="0"/>
              <w:snapToGrid w:val="0"/>
              <w:spacing w:before="37" w:line="248" w:lineRule="auto"/>
              <w:ind w:left="107" w:right="32" w:firstLine="6"/>
              <w:jc w:val="left"/>
              <w:textAlignment w:val="baseline"/>
              <w:rPr>
                <w:rFonts w:ascii="宋体" w:hAnsi="宋体" w:eastAsia="宋体" w:cs="宋体"/>
                <w:snapToGrid w:val="0"/>
                <w:color w:val="000000"/>
                <w:spacing w:val="4"/>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（1）是否建立安全教育培训制度、消防/防火安全制度、设备管理制度、用电安全管理制度、交接班制度、巡检制度、设备维护保养制度、安全投入保障制度、安全生 产奖惩制度、安全生产教育培训制度、隐患排查治理制 度、安全风险管理制度、事故管理制度等。</w:t>
            </w:r>
          </w:p>
        </w:tc>
        <w:tc>
          <w:tcPr>
            <w:tcW w:w="1710" w:type="dxa"/>
            <w:vAlign w:val="top"/>
          </w:tcPr>
          <w:p w14:paraId="67EDFDE8">
            <w:pPr>
              <w:kinsoku w:val="0"/>
              <w:autoSpaceDE w:val="0"/>
              <w:autoSpaceDN w:val="0"/>
              <w:adjustRightInd w:val="0"/>
              <w:snapToGrid w:val="0"/>
              <w:spacing w:before="67" w:line="234" w:lineRule="auto"/>
              <w:ind w:left="140" w:leftChars="0" w:right="105" w:rightChars="0" w:hanging="12"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有教育培训、消</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防安全、设备管</w:t>
            </w:r>
            <w:r>
              <w:rPr>
                <w:rFonts w:ascii="宋体" w:hAnsi="宋体" w:eastAsia="宋体" w:cs="宋体"/>
                <w:snapToGrid w:val="0"/>
                <w:color w:val="000000"/>
                <w:spacing w:val="8"/>
                <w:kern w:val="0"/>
                <w:sz w:val="20"/>
                <w:szCs w:val="20"/>
                <w:lang w:val="en-US" w:eastAsia="en-US" w:bidi="ar-SA"/>
              </w:rPr>
              <w:t>理、交接班、巡</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11"/>
                <w:kern w:val="0"/>
                <w:sz w:val="20"/>
                <w:szCs w:val="20"/>
                <w:lang w:val="en-US" w:eastAsia="en-US" w:bidi="ar-SA"/>
              </w:rPr>
              <w:t>检、设备维保、</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11"/>
                <w:kern w:val="0"/>
                <w:sz w:val="20"/>
                <w:szCs w:val="20"/>
                <w:lang w:val="en-US" w:eastAsia="en-US" w:bidi="ar-SA"/>
              </w:rPr>
              <w:t>安全投入保障、</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奖惩、隐患排查、</w:t>
            </w:r>
            <w:r>
              <w:rPr>
                <w:rFonts w:ascii="宋体" w:hAnsi="宋体" w:eastAsia="宋体" w:cs="宋体"/>
                <w:snapToGrid w:val="0"/>
                <w:color w:val="000000"/>
                <w:spacing w:val="8"/>
                <w:kern w:val="0"/>
                <w:sz w:val="20"/>
                <w:szCs w:val="20"/>
                <w:lang w:val="en-US" w:eastAsia="en-US" w:bidi="ar-SA"/>
              </w:rPr>
              <w:t>风险管理等制</w:t>
            </w:r>
            <w:r>
              <w:rPr>
                <w:rFonts w:ascii="宋体" w:hAnsi="宋体" w:eastAsia="宋体" w:cs="宋体"/>
                <w:snapToGrid w:val="0"/>
                <w:color w:val="000000"/>
                <w:kern w:val="0"/>
                <w:sz w:val="20"/>
                <w:szCs w:val="20"/>
                <w:lang w:val="en-US" w:eastAsia="en-US" w:bidi="ar-SA"/>
              </w:rPr>
              <w:t xml:space="preserve"> 度。</w:t>
            </w:r>
          </w:p>
        </w:tc>
        <w:tc>
          <w:tcPr>
            <w:tcW w:w="1710" w:type="dxa"/>
            <w:vAlign w:val="top"/>
          </w:tcPr>
          <w:p w14:paraId="0DAB2BAD">
            <w:pPr>
              <w:kinsoku w:val="0"/>
              <w:autoSpaceDE w:val="0"/>
              <w:autoSpaceDN w:val="0"/>
              <w:adjustRightInd w:val="0"/>
              <w:snapToGrid w:val="0"/>
              <w:spacing w:before="67" w:line="234" w:lineRule="auto"/>
              <w:ind w:left="228" w:right="201" w:hanging="3"/>
              <w:jc w:val="both"/>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4E72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4" w:hRule="atLeast"/>
        </w:trPr>
        <w:tc>
          <w:tcPr>
            <w:tcW w:w="699" w:type="dxa"/>
            <w:vMerge w:val="continue"/>
            <w:vAlign w:val="top"/>
          </w:tcPr>
          <w:p w14:paraId="5A647B4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3A412BF1">
            <w:pPr>
              <w:kinsoku w:val="0"/>
              <w:autoSpaceDE w:val="0"/>
              <w:autoSpaceDN w:val="0"/>
              <w:adjustRightInd w:val="0"/>
              <w:snapToGrid w:val="0"/>
              <w:spacing w:before="50" w:line="251" w:lineRule="auto"/>
              <w:ind w:left="162" w:right="177"/>
              <w:jc w:val="both"/>
              <w:textAlignment w:val="baseline"/>
              <w:rPr>
                <w:rFonts w:ascii="宋体" w:hAnsi="宋体" w:eastAsia="宋体" w:cs="宋体"/>
                <w:snapToGrid w:val="0"/>
                <w:color w:val="000000"/>
                <w:spacing w:val="4"/>
                <w:kern w:val="0"/>
                <w:sz w:val="20"/>
                <w:szCs w:val="20"/>
                <w:lang w:val="en-US" w:eastAsia="en-US" w:bidi="ar-SA"/>
              </w:rPr>
            </w:pPr>
          </w:p>
        </w:tc>
        <w:tc>
          <w:tcPr>
            <w:tcW w:w="4744" w:type="dxa"/>
            <w:vAlign w:val="top"/>
          </w:tcPr>
          <w:p w14:paraId="5FDD8E01">
            <w:pPr>
              <w:kinsoku w:val="0"/>
              <w:autoSpaceDE w:val="0"/>
              <w:autoSpaceDN w:val="0"/>
              <w:adjustRightInd w:val="0"/>
              <w:snapToGrid w:val="0"/>
              <w:spacing w:before="50" w:line="251" w:lineRule="auto"/>
              <w:ind w:left="162" w:right="177"/>
              <w:jc w:val="both"/>
              <w:textAlignment w:val="baseline"/>
              <w:rPr>
                <w:rFonts w:ascii="宋体" w:hAnsi="宋体" w:eastAsia="宋体" w:cs="宋体"/>
                <w:snapToGrid w:val="0"/>
                <w:color w:val="000000"/>
                <w:spacing w:val="4"/>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（2）是否建立制定加油、卸油、计量操作规程等</w:t>
            </w:r>
          </w:p>
        </w:tc>
        <w:tc>
          <w:tcPr>
            <w:tcW w:w="1710" w:type="dxa"/>
            <w:vAlign w:val="top"/>
          </w:tcPr>
          <w:p w14:paraId="36C714CD">
            <w:pPr>
              <w:kinsoku w:val="0"/>
              <w:autoSpaceDE w:val="0"/>
              <w:autoSpaceDN w:val="0"/>
              <w:adjustRightInd w:val="0"/>
              <w:snapToGrid w:val="0"/>
              <w:spacing w:before="135" w:line="243" w:lineRule="auto"/>
              <w:ind w:left="131" w:leftChars="0" w:right="139" w:rightChars="0" w:hanging="3"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有加油、量油、 卸油操作规程。</w:t>
            </w:r>
          </w:p>
        </w:tc>
        <w:tc>
          <w:tcPr>
            <w:tcW w:w="1710" w:type="dxa"/>
            <w:vAlign w:val="top"/>
          </w:tcPr>
          <w:p w14:paraId="7D68F038">
            <w:pPr>
              <w:kinsoku w:val="0"/>
              <w:autoSpaceDE w:val="0"/>
              <w:autoSpaceDN w:val="0"/>
              <w:adjustRightInd w:val="0"/>
              <w:snapToGrid w:val="0"/>
              <w:spacing w:before="136" w:line="243"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B3FE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restart"/>
            <w:vAlign w:val="top"/>
          </w:tcPr>
          <w:p w14:paraId="53AEA094">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C6F8DC5">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4C56659F">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193FDCCC">
            <w:pPr>
              <w:widowControl/>
              <w:kinsoku w:val="0"/>
              <w:autoSpaceDE w:val="0"/>
              <w:autoSpaceDN w:val="0"/>
              <w:adjustRightInd w:val="0"/>
              <w:snapToGrid w:val="0"/>
              <w:spacing w:before="57" w:line="192" w:lineRule="auto"/>
              <w:ind w:left="22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5</w:t>
            </w:r>
          </w:p>
        </w:tc>
        <w:tc>
          <w:tcPr>
            <w:tcW w:w="626" w:type="dxa"/>
            <w:gridSpan w:val="2"/>
            <w:vMerge w:val="restart"/>
            <w:vAlign w:val="top"/>
          </w:tcPr>
          <w:p w14:paraId="7159BE79">
            <w:pPr>
              <w:widowControl/>
              <w:kinsoku w:val="0"/>
              <w:autoSpaceDE w:val="0"/>
              <w:autoSpaceDN w:val="0"/>
              <w:adjustRightInd w:val="0"/>
              <w:snapToGrid w:val="0"/>
              <w:spacing w:line="273" w:lineRule="auto"/>
              <w:jc w:val="left"/>
              <w:textAlignment w:val="baseline"/>
              <w:rPr>
                <w:rFonts w:ascii="Arial" w:hAnsi="Arial" w:eastAsia="Arial" w:cs="Arial"/>
                <w:snapToGrid w:val="0"/>
                <w:color w:val="000000"/>
                <w:kern w:val="0"/>
                <w:sz w:val="21"/>
                <w:lang w:eastAsia="en-US"/>
              </w:rPr>
            </w:pPr>
          </w:p>
          <w:p w14:paraId="7ECD40E9">
            <w:pPr>
              <w:widowControl/>
              <w:kinsoku w:val="0"/>
              <w:autoSpaceDE w:val="0"/>
              <w:autoSpaceDN w:val="0"/>
              <w:adjustRightInd w:val="0"/>
              <w:snapToGrid w:val="0"/>
              <w:spacing w:line="274" w:lineRule="auto"/>
              <w:jc w:val="left"/>
              <w:textAlignment w:val="baseline"/>
              <w:rPr>
                <w:rFonts w:ascii="Arial" w:hAnsi="Arial" w:eastAsia="Arial" w:cs="Arial"/>
                <w:snapToGrid w:val="0"/>
                <w:color w:val="000000"/>
                <w:kern w:val="0"/>
                <w:sz w:val="21"/>
                <w:lang w:eastAsia="en-US"/>
              </w:rPr>
            </w:pPr>
          </w:p>
          <w:p w14:paraId="20407880">
            <w:pPr>
              <w:kinsoku w:val="0"/>
              <w:autoSpaceDE w:val="0"/>
              <w:autoSpaceDN w:val="0"/>
              <w:adjustRightInd w:val="0"/>
              <w:snapToGrid w:val="0"/>
              <w:spacing w:before="65" w:line="245" w:lineRule="auto"/>
              <w:ind w:left="164" w:right="177"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安全</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投入</w:t>
            </w:r>
          </w:p>
        </w:tc>
        <w:tc>
          <w:tcPr>
            <w:tcW w:w="4744" w:type="dxa"/>
            <w:vAlign w:val="top"/>
          </w:tcPr>
          <w:p w14:paraId="075B916E">
            <w:pPr>
              <w:kinsoku w:val="0"/>
              <w:autoSpaceDE w:val="0"/>
              <w:autoSpaceDN w:val="0"/>
              <w:adjustRightInd w:val="0"/>
              <w:snapToGrid w:val="0"/>
              <w:spacing w:before="47" w:line="234" w:lineRule="auto"/>
              <w:ind w:left="103"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1</w:t>
            </w:r>
            <w:r>
              <w:rPr>
                <w:rFonts w:ascii="宋体" w:hAnsi="宋体" w:eastAsia="宋体" w:cs="宋体"/>
                <w:snapToGrid w:val="0"/>
                <w:color w:val="000000"/>
                <w:spacing w:val="10"/>
                <w:kern w:val="0"/>
                <w:sz w:val="20"/>
                <w:szCs w:val="20"/>
                <w:lang w:val="en-US" w:eastAsia="en-US" w:bidi="ar-SA"/>
              </w:rPr>
              <w:t>）是否按有关安全生产费用提取规定，提取安全生</w:t>
            </w:r>
            <w:r>
              <w:rPr>
                <w:rFonts w:ascii="宋体" w:hAnsi="宋体" w:eastAsia="宋体" w:cs="宋体"/>
                <w:snapToGrid w:val="0"/>
                <w:color w:val="000000"/>
                <w:spacing w:val="5"/>
                <w:kern w:val="0"/>
                <w:sz w:val="20"/>
                <w:szCs w:val="20"/>
                <w:lang w:val="en-US" w:eastAsia="en-US" w:bidi="ar-SA"/>
              </w:rPr>
              <w:t>产费用。</w:t>
            </w:r>
          </w:p>
        </w:tc>
        <w:tc>
          <w:tcPr>
            <w:tcW w:w="1710" w:type="dxa"/>
            <w:vAlign w:val="top"/>
          </w:tcPr>
          <w:p w14:paraId="516E0C8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按要求提取安全</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生产费用。</w:t>
            </w:r>
          </w:p>
        </w:tc>
        <w:tc>
          <w:tcPr>
            <w:tcW w:w="1710" w:type="dxa"/>
            <w:vAlign w:val="top"/>
          </w:tcPr>
          <w:p w14:paraId="3565A1BD">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858A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6FCEFE4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305FCC2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3D165A28">
            <w:pPr>
              <w:kinsoku w:val="0"/>
              <w:autoSpaceDE w:val="0"/>
              <w:autoSpaceDN w:val="0"/>
              <w:adjustRightInd w:val="0"/>
              <w:snapToGrid w:val="0"/>
              <w:spacing w:before="185"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）安全生产费用使用是否符合要求，专款专用</w:t>
            </w:r>
          </w:p>
        </w:tc>
        <w:tc>
          <w:tcPr>
            <w:tcW w:w="1710" w:type="dxa"/>
            <w:vAlign w:val="top"/>
          </w:tcPr>
          <w:p w14:paraId="71E8024F">
            <w:pPr>
              <w:kinsoku w:val="0"/>
              <w:autoSpaceDE w:val="0"/>
              <w:autoSpaceDN w:val="0"/>
              <w:adjustRightInd w:val="0"/>
              <w:snapToGrid w:val="0"/>
              <w:spacing w:before="185" w:line="228" w:lineRule="auto"/>
              <w:ind w:right="3" w:rightChars="0"/>
              <w:jc w:val="righ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符合，专款专用。</w:t>
            </w:r>
          </w:p>
        </w:tc>
        <w:tc>
          <w:tcPr>
            <w:tcW w:w="1710" w:type="dxa"/>
            <w:vAlign w:val="top"/>
          </w:tcPr>
          <w:p w14:paraId="483545CB">
            <w:pPr>
              <w:kinsoku w:val="0"/>
              <w:autoSpaceDE w:val="0"/>
              <w:autoSpaceDN w:val="0"/>
              <w:adjustRightInd w:val="0"/>
              <w:snapToGrid w:val="0"/>
              <w:spacing w:before="45"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7833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28E5743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4D56F2A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3D4362F6">
            <w:pPr>
              <w:kinsoku w:val="0"/>
              <w:autoSpaceDE w:val="0"/>
              <w:autoSpaceDN w:val="0"/>
              <w:adjustRightInd w:val="0"/>
              <w:snapToGrid w:val="0"/>
              <w:spacing w:before="47" w:line="234" w:lineRule="auto"/>
              <w:ind w:left="111" w:right="100"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3</w:t>
            </w:r>
            <w:r>
              <w:rPr>
                <w:rFonts w:ascii="宋体" w:hAnsi="宋体" w:eastAsia="宋体" w:cs="宋体"/>
                <w:snapToGrid w:val="0"/>
                <w:color w:val="000000"/>
                <w:spacing w:val="10"/>
                <w:kern w:val="0"/>
                <w:sz w:val="20"/>
                <w:szCs w:val="20"/>
                <w:lang w:val="en-US" w:eastAsia="en-US" w:bidi="ar-SA"/>
              </w:rPr>
              <w:t>）是否依法参加工伤保险或安全责任险，为从业人</w:t>
            </w:r>
            <w:r>
              <w:rPr>
                <w:rFonts w:ascii="宋体" w:hAnsi="宋体" w:eastAsia="宋体" w:cs="宋体"/>
                <w:snapToGrid w:val="0"/>
                <w:color w:val="000000"/>
                <w:spacing w:val="5"/>
                <w:kern w:val="0"/>
                <w:sz w:val="20"/>
                <w:szCs w:val="20"/>
                <w:lang w:val="en-US" w:eastAsia="en-US" w:bidi="ar-SA"/>
              </w:rPr>
              <w:t>员缴纳保险费。</w:t>
            </w:r>
          </w:p>
        </w:tc>
        <w:tc>
          <w:tcPr>
            <w:tcW w:w="1710" w:type="dxa"/>
            <w:vAlign w:val="top"/>
          </w:tcPr>
          <w:p w14:paraId="60B6E22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已缴纳工伤保</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险。</w:t>
            </w:r>
          </w:p>
        </w:tc>
        <w:tc>
          <w:tcPr>
            <w:tcW w:w="1710" w:type="dxa"/>
            <w:vAlign w:val="top"/>
          </w:tcPr>
          <w:p w14:paraId="31364F11">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839D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restart"/>
            <w:vAlign w:val="top"/>
          </w:tcPr>
          <w:p w14:paraId="2339E4D3">
            <w:pPr>
              <w:widowControl/>
              <w:kinsoku w:val="0"/>
              <w:autoSpaceDE w:val="0"/>
              <w:autoSpaceDN w:val="0"/>
              <w:adjustRightInd w:val="0"/>
              <w:snapToGrid w:val="0"/>
              <w:spacing w:line="289" w:lineRule="auto"/>
              <w:jc w:val="left"/>
              <w:textAlignment w:val="baseline"/>
              <w:rPr>
                <w:rFonts w:ascii="Arial" w:hAnsi="Arial" w:eastAsia="Arial" w:cs="Arial"/>
                <w:snapToGrid w:val="0"/>
                <w:color w:val="000000"/>
                <w:kern w:val="0"/>
                <w:sz w:val="21"/>
                <w:lang w:eastAsia="en-US"/>
              </w:rPr>
            </w:pPr>
          </w:p>
          <w:p w14:paraId="015C9F8A">
            <w:pPr>
              <w:widowControl/>
              <w:kinsoku w:val="0"/>
              <w:autoSpaceDE w:val="0"/>
              <w:autoSpaceDN w:val="0"/>
              <w:adjustRightInd w:val="0"/>
              <w:snapToGrid w:val="0"/>
              <w:spacing w:line="289" w:lineRule="auto"/>
              <w:jc w:val="left"/>
              <w:textAlignment w:val="baseline"/>
              <w:rPr>
                <w:rFonts w:ascii="Arial" w:hAnsi="Arial" w:eastAsia="Arial" w:cs="Arial"/>
                <w:snapToGrid w:val="0"/>
                <w:color w:val="000000"/>
                <w:kern w:val="0"/>
                <w:sz w:val="21"/>
                <w:lang w:eastAsia="en-US"/>
              </w:rPr>
            </w:pPr>
          </w:p>
          <w:p w14:paraId="591046FD">
            <w:pPr>
              <w:widowControl/>
              <w:kinsoku w:val="0"/>
              <w:autoSpaceDE w:val="0"/>
              <w:autoSpaceDN w:val="0"/>
              <w:adjustRightInd w:val="0"/>
              <w:snapToGrid w:val="0"/>
              <w:spacing w:line="290" w:lineRule="auto"/>
              <w:jc w:val="left"/>
              <w:textAlignment w:val="baseline"/>
              <w:rPr>
                <w:rFonts w:ascii="Arial" w:hAnsi="Arial" w:eastAsia="Arial" w:cs="Arial"/>
                <w:snapToGrid w:val="0"/>
                <w:color w:val="000000"/>
                <w:kern w:val="0"/>
                <w:sz w:val="21"/>
                <w:lang w:eastAsia="en-US"/>
              </w:rPr>
            </w:pPr>
          </w:p>
          <w:p w14:paraId="04AB9842">
            <w:pPr>
              <w:widowControl/>
              <w:kinsoku w:val="0"/>
              <w:autoSpaceDE w:val="0"/>
              <w:autoSpaceDN w:val="0"/>
              <w:adjustRightInd w:val="0"/>
              <w:snapToGrid w:val="0"/>
              <w:spacing w:before="58" w:line="195" w:lineRule="auto"/>
              <w:ind w:left="106"/>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626" w:type="dxa"/>
            <w:gridSpan w:val="2"/>
            <w:vMerge w:val="restart"/>
            <w:vAlign w:val="top"/>
          </w:tcPr>
          <w:p w14:paraId="17A6D4B2">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18792DCA">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49D2358F">
            <w:pPr>
              <w:kinsoku w:val="0"/>
              <w:autoSpaceDE w:val="0"/>
              <w:autoSpaceDN w:val="0"/>
              <w:adjustRightInd w:val="0"/>
              <w:snapToGrid w:val="0"/>
              <w:spacing w:before="65" w:line="248" w:lineRule="auto"/>
              <w:ind w:left="162" w:right="177" w:firstLine="3"/>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安全</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教育</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培训</w:t>
            </w:r>
          </w:p>
        </w:tc>
        <w:tc>
          <w:tcPr>
            <w:tcW w:w="4744" w:type="dxa"/>
            <w:vAlign w:val="top"/>
          </w:tcPr>
          <w:p w14:paraId="56A40D04">
            <w:pPr>
              <w:kinsoku w:val="0"/>
              <w:autoSpaceDE w:val="0"/>
              <w:autoSpaceDN w:val="0"/>
              <w:adjustRightInd w:val="0"/>
              <w:snapToGrid w:val="0"/>
              <w:spacing w:before="45" w:line="235" w:lineRule="auto"/>
              <w:ind w:left="111" w:right="100" w:firstLine="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1</w:t>
            </w:r>
            <w:r>
              <w:rPr>
                <w:rFonts w:ascii="宋体" w:hAnsi="宋体" w:eastAsia="宋体" w:cs="宋体"/>
                <w:snapToGrid w:val="0"/>
                <w:color w:val="000000"/>
                <w:spacing w:val="10"/>
                <w:kern w:val="0"/>
                <w:sz w:val="20"/>
                <w:szCs w:val="20"/>
                <w:lang w:val="en-US" w:eastAsia="en-US" w:bidi="ar-SA"/>
              </w:rPr>
              <w:t>）主要负责人、安全管理人员是否定期参加安全教</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育培训。</w:t>
            </w:r>
          </w:p>
        </w:tc>
        <w:tc>
          <w:tcPr>
            <w:tcW w:w="1710" w:type="dxa"/>
            <w:vAlign w:val="top"/>
          </w:tcPr>
          <w:p w14:paraId="2E5D7E0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有安全培训记</w:t>
            </w:r>
            <w:r>
              <w:rPr>
                <w:rFonts w:ascii="宋体" w:hAnsi="宋体" w:eastAsia="宋体" w:cs="宋体"/>
                <w:snapToGrid w:val="0"/>
                <w:color w:val="000000"/>
                <w:kern w:val="0"/>
                <w:sz w:val="20"/>
                <w:szCs w:val="20"/>
                <w:lang w:val="en-US" w:eastAsia="en-US" w:bidi="ar-SA"/>
              </w:rPr>
              <w:t xml:space="preserve"> 录。</w:t>
            </w:r>
          </w:p>
        </w:tc>
        <w:tc>
          <w:tcPr>
            <w:tcW w:w="1710" w:type="dxa"/>
            <w:vAlign w:val="top"/>
          </w:tcPr>
          <w:p w14:paraId="52C0B469">
            <w:pPr>
              <w:kinsoku w:val="0"/>
              <w:autoSpaceDE w:val="0"/>
              <w:autoSpaceDN w:val="0"/>
              <w:adjustRightInd w:val="0"/>
              <w:snapToGrid w:val="0"/>
              <w:spacing w:before="45"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959F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2F3C06A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07C34C3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32056434">
            <w:pPr>
              <w:kinsoku w:val="0"/>
              <w:autoSpaceDE w:val="0"/>
              <w:autoSpaceDN w:val="0"/>
              <w:adjustRightInd w:val="0"/>
              <w:snapToGrid w:val="0"/>
              <w:spacing w:before="187"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）加油站人员是否定期参加日常安全教育培训</w:t>
            </w:r>
          </w:p>
        </w:tc>
        <w:tc>
          <w:tcPr>
            <w:tcW w:w="1710" w:type="dxa"/>
            <w:vAlign w:val="top"/>
          </w:tcPr>
          <w:p w14:paraId="02AD3D4C">
            <w:pPr>
              <w:kinsoku w:val="0"/>
              <w:autoSpaceDE w:val="0"/>
              <w:autoSpaceDN w:val="0"/>
              <w:adjustRightInd w:val="0"/>
              <w:snapToGrid w:val="0"/>
              <w:spacing w:before="47" w:line="234" w:lineRule="auto"/>
              <w:ind w:right="105" w:righ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定期组织人员参</w:t>
            </w:r>
            <w:r>
              <w:rPr>
                <w:rFonts w:ascii="宋体" w:hAnsi="宋体" w:eastAsia="宋体" w:cs="宋体"/>
                <w:snapToGrid w:val="0"/>
                <w:color w:val="000000"/>
                <w:spacing w:val="5"/>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加教育培训。</w:t>
            </w:r>
          </w:p>
        </w:tc>
        <w:tc>
          <w:tcPr>
            <w:tcW w:w="1710" w:type="dxa"/>
            <w:vAlign w:val="top"/>
          </w:tcPr>
          <w:p w14:paraId="197BA905">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EDBC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4" w:hRule="atLeast"/>
        </w:trPr>
        <w:tc>
          <w:tcPr>
            <w:tcW w:w="699" w:type="dxa"/>
            <w:vMerge w:val="continue"/>
            <w:vAlign w:val="top"/>
          </w:tcPr>
          <w:p w14:paraId="5215163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7876C7B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76273F66">
            <w:pPr>
              <w:kinsoku w:val="0"/>
              <w:autoSpaceDE w:val="0"/>
              <w:autoSpaceDN w:val="0"/>
              <w:adjustRightInd w:val="0"/>
              <w:snapToGrid w:val="0"/>
              <w:spacing w:before="154" w:line="258" w:lineRule="auto"/>
              <w:ind w:left="107" w:right="102" w:firstLine="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6"/>
                <w:kern w:val="0"/>
                <w:sz w:val="20"/>
                <w:szCs w:val="20"/>
                <w:lang w:val="en-US" w:eastAsia="en-US" w:bidi="ar-SA"/>
              </w:rPr>
              <w:t>（</w:t>
            </w:r>
            <w:r>
              <w:rPr>
                <w:rFonts w:ascii="Times New Roman" w:hAnsi="Times New Roman" w:eastAsia="Times New Roman" w:cs="Times New Roman"/>
                <w:snapToGrid w:val="0"/>
                <w:color w:val="000000"/>
                <w:spacing w:val="16"/>
                <w:kern w:val="0"/>
                <w:sz w:val="20"/>
                <w:szCs w:val="20"/>
                <w:lang w:val="en-US" w:eastAsia="en-US" w:bidi="ar-SA"/>
              </w:rPr>
              <w:t>3)</w:t>
            </w:r>
            <w:r>
              <w:rPr>
                <w:rFonts w:ascii="宋体" w:hAnsi="宋体" w:eastAsia="宋体" w:cs="宋体"/>
                <w:snapToGrid w:val="0"/>
                <w:color w:val="000000"/>
                <w:spacing w:val="16"/>
                <w:kern w:val="0"/>
                <w:sz w:val="20"/>
                <w:szCs w:val="20"/>
                <w:lang w:val="en-US" w:eastAsia="en-US" w:bidi="ar-SA"/>
              </w:rPr>
              <w:t>新入职人员上岗前是否经过安全操作规程及应急</w:t>
            </w:r>
            <w:r>
              <w:rPr>
                <w:rFonts w:ascii="宋体" w:hAnsi="宋体" w:eastAsia="宋体" w:cs="宋体"/>
                <w:snapToGrid w:val="0"/>
                <w:color w:val="000000"/>
                <w:spacing w:val="9"/>
                <w:kern w:val="0"/>
                <w:sz w:val="20"/>
                <w:szCs w:val="20"/>
                <w:lang w:val="en-US" w:eastAsia="en-US" w:bidi="ar-SA"/>
              </w:rPr>
              <w:t>处置等有关安全知识的培训，并建立教育培训</w:t>
            </w:r>
            <w:r>
              <w:rPr>
                <w:rFonts w:ascii="宋体" w:hAnsi="宋体" w:eastAsia="宋体" w:cs="宋体"/>
                <w:snapToGrid w:val="0"/>
                <w:color w:val="000000"/>
                <w:spacing w:val="8"/>
                <w:kern w:val="0"/>
                <w:sz w:val="20"/>
                <w:szCs w:val="20"/>
                <w:lang w:val="en-US" w:eastAsia="en-US" w:bidi="ar-SA"/>
              </w:rPr>
              <w:t>档案。</w:t>
            </w:r>
          </w:p>
        </w:tc>
        <w:tc>
          <w:tcPr>
            <w:tcW w:w="1710" w:type="dxa"/>
            <w:vAlign w:val="top"/>
          </w:tcPr>
          <w:p w14:paraId="2DB9485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新员工经过岗前</w:t>
            </w:r>
          </w:p>
          <w:p w14:paraId="16D5F15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培训合格后上岗</w:t>
            </w:r>
            <w:r>
              <w:rPr>
                <w:rFonts w:ascii="宋体" w:hAnsi="宋体" w:eastAsia="宋体" w:cs="宋体"/>
                <w:snapToGrid w:val="0"/>
                <w:color w:val="000000"/>
                <w:spacing w:val="2"/>
                <w:kern w:val="0"/>
                <w:sz w:val="20"/>
                <w:szCs w:val="20"/>
                <w:lang w:val="en-US" w:eastAsia="en-US" w:bidi="ar-SA"/>
              </w:rPr>
              <w:t xml:space="preserve"> 作业。</w:t>
            </w:r>
          </w:p>
        </w:tc>
        <w:tc>
          <w:tcPr>
            <w:tcW w:w="1710" w:type="dxa"/>
            <w:vAlign w:val="top"/>
          </w:tcPr>
          <w:p w14:paraId="35643824">
            <w:pPr>
              <w:kinsoku w:val="0"/>
              <w:autoSpaceDE w:val="0"/>
              <w:autoSpaceDN w:val="0"/>
              <w:adjustRightInd w:val="0"/>
              <w:snapToGrid w:val="0"/>
              <w:spacing w:before="184"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AC8D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restart"/>
            <w:vAlign w:val="top"/>
          </w:tcPr>
          <w:p w14:paraId="4F6703FC">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1FCCEE93">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5FFD3F15">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06EE4AA9">
            <w:pPr>
              <w:widowControl/>
              <w:kinsoku w:val="0"/>
              <w:autoSpaceDE w:val="0"/>
              <w:autoSpaceDN w:val="0"/>
              <w:adjustRightInd w:val="0"/>
              <w:snapToGrid w:val="0"/>
              <w:spacing w:before="57" w:line="192" w:lineRule="auto"/>
              <w:ind w:left="10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626" w:type="dxa"/>
            <w:gridSpan w:val="2"/>
            <w:vMerge w:val="restart"/>
            <w:vAlign w:val="top"/>
          </w:tcPr>
          <w:p w14:paraId="1CB19397">
            <w:pPr>
              <w:widowControl/>
              <w:kinsoku w:val="0"/>
              <w:autoSpaceDE w:val="0"/>
              <w:autoSpaceDN w:val="0"/>
              <w:adjustRightInd w:val="0"/>
              <w:snapToGrid w:val="0"/>
              <w:spacing w:line="409" w:lineRule="auto"/>
              <w:jc w:val="left"/>
              <w:textAlignment w:val="baseline"/>
              <w:rPr>
                <w:rFonts w:ascii="Arial" w:hAnsi="Arial" w:eastAsia="Arial" w:cs="Arial"/>
                <w:snapToGrid w:val="0"/>
                <w:color w:val="000000"/>
                <w:kern w:val="0"/>
                <w:sz w:val="21"/>
                <w:lang w:eastAsia="en-US"/>
              </w:rPr>
            </w:pPr>
          </w:p>
          <w:p w14:paraId="7724D745">
            <w:pPr>
              <w:kinsoku w:val="0"/>
              <w:autoSpaceDE w:val="0"/>
              <w:autoSpaceDN w:val="0"/>
              <w:adjustRightInd w:val="0"/>
              <w:snapToGrid w:val="0"/>
              <w:spacing w:before="65" w:line="251" w:lineRule="auto"/>
              <w:ind w:left="161" w:right="177" w:firstLine="13"/>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隐患</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排查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治理</w:t>
            </w:r>
          </w:p>
        </w:tc>
        <w:tc>
          <w:tcPr>
            <w:tcW w:w="4744" w:type="dxa"/>
            <w:vAlign w:val="top"/>
          </w:tcPr>
          <w:p w14:paraId="5D8813C5">
            <w:pPr>
              <w:kinsoku w:val="0"/>
              <w:autoSpaceDE w:val="0"/>
              <w:autoSpaceDN w:val="0"/>
              <w:adjustRightInd w:val="0"/>
              <w:snapToGrid w:val="0"/>
              <w:spacing w:before="188"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1</w:t>
            </w:r>
            <w:r>
              <w:rPr>
                <w:rFonts w:ascii="宋体" w:hAnsi="宋体" w:eastAsia="宋体" w:cs="宋体"/>
                <w:snapToGrid w:val="0"/>
                <w:color w:val="000000"/>
                <w:spacing w:val="8"/>
                <w:kern w:val="0"/>
                <w:sz w:val="20"/>
                <w:szCs w:val="20"/>
                <w:lang w:val="en-US" w:eastAsia="en-US" w:bidi="ar-SA"/>
              </w:rPr>
              <w:t>）是否建立定期安全检查及隐患排查治理制度</w:t>
            </w:r>
          </w:p>
        </w:tc>
        <w:tc>
          <w:tcPr>
            <w:tcW w:w="1710" w:type="dxa"/>
            <w:vAlign w:val="top"/>
          </w:tcPr>
          <w:p w14:paraId="1AC7EAC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有隐患排查治理</w:t>
            </w:r>
            <w:r>
              <w:rPr>
                <w:rFonts w:ascii="宋体" w:hAnsi="宋体" w:eastAsia="宋体" w:cs="宋体"/>
                <w:snapToGrid w:val="0"/>
                <w:color w:val="000000"/>
                <w:spacing w:val="2"/>
                <w:kern w:val="0"/>
                <w:sz w:val="20"/>
                <w:szCs w:val="20"/>
                <w:lang w:val="en-US" w:eastAsia="en-US" w:bidi="ar-SA"/>
              </w:rPr>
              <w:t xml:space="preserve"> 制度。</w:t>
            </w:r>
          </w:p>
        </w:tc>
        <w:tc>
          <w:tcPr>
            <w:tcW w:w="1710" w:type="dxa"/>
            <w:vAlign w:val="top"/>
          </w:tcPr>
          <w:p w14:paraId="0E387809">
            <w:pPr>
              <w:kinsoku w:val="0"/>
              <w:autoSpaceDE w:val="0"/>
              <w:autoSpaceDN w:val="0"/>
              <w:adjustRightInd w:val="0"/>
              <w:snapToGrid w:val="0"/>
              <w:spacing w:before="45"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DA33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77FAD4C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7F083D7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64A859E8">
            <w:pPr>
              <w:kinsoku w:val="0"/>
              <w:autoSpaceDE w:val="0"/>
              <w:autoSpaceDN w:val="0"/>
              <w:adjustRightInd w:val="0"/>
              <w:snapToGrid w:val="0"/>
              <w:spacing w:before="47" w:line="234" w:lineRule="auto"/>
              <w:ind w:left="102"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2</w:t>
            </w:r>
            <w:r>
              <w:rPr>
                <w:rFonts w:ascii="宋体" w:hAnsi="宋体" w:eastAsia="宋体" w:cs="宋体"/>
                <w:snapToGrid w:val="0"/>
                <w:color w:val="000000"/>
                <w:spacing w:val="10"/>
                <w:kern w:val="0"/>
                <w:sz w:val="20"/>
                <w:szCs w:val="20"/>
                <w:lang w:val="en-US" w:eastAsia="en-US" w:bidi="ar-SA"/>
              </w:rPr>
              <w:t>）是否按照计划和要求进行相应的安全检查并保存</w:t>
            </w:r>
            <w:r>
              <w:rPr>
                <w:rFonts w:ascii="宋体" w:hAnsi="宋体" w:eastAsia="宋体" w:cs="宋体"/>
                <w:snapToGrid w:val="0"/>
                <w:color w:val="000000"/>
                <w:spacing w:val="3"/>
                <w:kern w:val="0"/>
                <w:sz w:val="20"/>
                <w:szCs w:val="20"/>
                <w:lang w:val="en-US" w:eastAsia="en-US" w:bidi="ar-SA"/>
              </w:rPr>
              <w:t>记录。</w:t>
            </w:r>
          </w:p>
        </w:tc>
        <w:tc>
          <w:tcPr>
            <w:tcW w:w="1710" w:type="dxa"/>
            <w:vAlign w:val="top"/>
          </w:tcPr>
          <w:p w14:paraId="0CD08F2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按要求定期进行</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检查</w:t>
            </w:r>
          </w:p>
        </w:tc>
        <w:tc>
          <w:tcPr>
            <w:tcW w:w="1710" w:type="dxa"/>
            <w:vAlign w:val="top"/>
          </w:tcPr>
          <w:p w14:paraId="5E22A5AD">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8D6A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23AC7B9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17D65F3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0634E747">
            <w:pPr>
              <w:kinsoku w:val="0"/>
              <w:autoSpaceDE w:val="0"/>
              <w:autoSpaceDN w:val="0"/>
              <w:adjustRightInd w:val="0"/>
              <w:snapToGrid w:val="0"/>
              <w:spacing w:before="188"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3</w:t>
            </w:r>
            <w:r>
              <w:rPr>
                <w:rFonts w:ascii="宋体" w:hAnsi="宋体" w:eastAsia="宋体" w:cs="宋体"/>
                <w:snapToGrid w:val="0"/>
                <w:color w:val="000000"/>
                <w:spacing w:val="8"/>
                <w:kern w:val="0"/>
                <w:sz w:val="20"/>
                <w:szCs w:val="20"/>
                <w:lang w:val="en-US" w:eastAsia="en-US" w:bidi="ar-SA"/>
              </w:rPr>
              <w:t>）安全检查出的事故隐患是否闭合。</w:t>
            </w:r>
          </w:p>
        </w:tc>
        <w:tc>
          <w:tcPr>
            <w:tcW w:w="1710" w:type="dxa"/>
            <w:vAlign w:val="top"/>
          </w:tcPr>
          <w:p w14:paraId="728C80D0">
            <w:pPr>
              <w:kinsoku w:val="0"/>
              <w:autoSpaceDE w:val="0"/>
              <w:autoSpaceDN w:val="0"/>
              <w:adjustRightInd w:val="0"/>
              <w:snapToGrid w:val="0"/>
              <w:spacing w:before="188" w:line="229" w:lineRule="auto"/>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隐患排查有闭环</w:t>
            </w:r>
          </w:p>
        </w:tc>
        <w:tc>
          <w:tcPr>
            <w:tcW w:w="1710" w:type="dxa"/>
            <w:vAlign w:val="top"/>
          </w:tcPr>
          <w:p w14:paraId="5226A054">
            <w:pPr>
              <w:kinsoku w:val="0"/>
              <w:autoSpaceDE w:val="0"/>
              <w:autoSpaceDN w:val="0"/>
              <w:adjustRightInd w:val="0"/>
              <w:snapToGrid w:val="0"/>
              <w:spacing w:before="45"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AA49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15" w:hRule="atLeast"/>
        </w:trPr>
        <w:tc>
          <w:tcPr>
            <w:tcW w:w="699" w:type="dxa"/>
            <w:vMerge w:val="restart"/>
            <w:vAlign w:val="top"/>
          </w:tcPr>
          <w:p w14:paraId="3D1B4C9A">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118131A1">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3307CE20">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0E0D3B69">
            <w:pPr>
              <w:widowControl/>
              <w:kinsoku w:val="0"/>
              <w:autoSpaceDE w:val="0"/>
              <w:autoSpaceDN w:val="0"/>
              <w:adjustRightInd w:val="0"/>
              <w:snapToGrid w:val="0"/>
              <w:spacing w:before="57" w:line="195" w:lineRule="auto"/>
              <w:ind w:left="22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8</w:t>
            </w:r>
          </w:p>
        </w:tc>
        <w:tc>
          <w:tcPr>
            <w:tcW w:w="626" w:type="dxa"/>
            <w:gridSpan w:val="2"/>
            <w:vMerge w:val="restart"/>
            <w:vAlign w:val="top"/>
          </w:tcPr>
          <w:p w14:paraId="0D909309">
            <w:pPr>
              <w:kinsoku w:val="0"/>
              <w:autoSpaceDE w:val="0"/>
              <w:autoSpaceDN w:val="0"/>
              <w:adjustRightInd w:val="0"/>
              <w:snapToGrid w:val="0"/>
              <w:spacing w:before="196" w:line="229" w:lineRule="auto"/>
              <w:ind w:left="16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风险</w:t>
            </w:r>
          </w:p>
          <w:p w14:paraId="2B339273">
            <w:pPr>
              <w:kinsoku w:val="0"/>
              <w:autoSpaceDE w:val="0"/>
              <w:autoSpaceDN w:val="0"/>
              <w:adjustRightInd w:val="0"/>
              <w:snapToGrid w:val="0"/>
              <w:spacing w:before="32" w:line="229" w:lineRule="auto"/>
              <w:ind w:left="16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分级</w:t>
            </w:r>
          </w:p>
          <w:p w14:paraId="1F44DAD6">
            <w:pPr>
              <w:kinsoku w:val="0"/>
              <w:autoSpaceDE w:val="0"/>
              <w:autoSpaceDN w:val="0"/>
              <w:adjustRightInd w:val="0"/>
              <w:snapToGrid w:val="0"/>
              <w:spacing w:before="33" w:line="228" w:lineRule="auto"/>
              <w:ind w:left="16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及管</w:t>
            </w:r>
          </w:p>
          <w:p w14:paraId="0FAD1A62">
            <w:pPr>
              <w:kinsoku w:val="0"/>
              <w:autoSpaceDE w:val="0"/>
              <w:autoSpaceDN w:val="0"/>
              <w:adjustRightInd w:val="0"/>
              <w:snapToGrid w:val="0"/>
              <w:spacing w:before="31" w:line="229" w:lineRule="auto"/>
              <w:ind w:left="16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控措</w:t>
            </w:r>
          </w:p>
          <w:p w14:paraId="7C694BBC">
            <w:pPr>
              <w:kinsoku w:val="0"/>
              <w:autoSpaceDE w:val="0"/>
              <w:autoSpaceDN w:val="0"/>
              <w:adjustRightInd w:val="0"/>
              <w:snapToGrid w:val="0"/>
              <w:spacing w:before="32" w:line="231" w:lineRule="auto"/>
              <w:ind w:left="26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施</w:t>
            </w:r>
          </w:p>
        </w:tc>
        <w:tc>
          <w:tcPr>
            <w:tcW w:w="4744" w:type="dxa"/>
            <w:vAlign w:val="top"/>
          </w:tcPr>
          <w:p w14:paraId="78CFF154">
            <w:pPr>
              <w:kinsoku w:val="0"/>
              <w:autoSpaceDE w:val="0"/>
              <w:autoSpaceDN w:val="0"/>
              <w:adjustRightInd w:val="0"/>
              <w:snapToGrid w:val="0"/>
              <w:spacing w:before="187"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1</w:t>
            </w:r>
            <w:r>
              <w:rPr>
                <w:rFonts w:ascii="宋体" w:hAnsi="宋体" w:eastAsia="宋体" w:cs="宋体"/>
                <w:snapToGrid w:val="0"/>
                <w:color w:val="000000"/>
                <w:spacing w:val="8"/>
                <w:kern w:val="0"/>
                <w:sz w:val="20"/>
                <w:szCs w:val="20"/>
                <w:lang w:val="en-US" w:eastAsia="en-US" w:bidi="ar-SA"/>
              </w:rPr>
              <w:t>）是否建立健全安全风险分级管控管理制度。</w:t>
            </w:r>
          </w:p>
        </w:tc>
        <w:tc>
          <w:tcPr>
            <w:tcW w:w="1710" w:type="dxa"/>
            <w:vAlign w:val="top"/>
          </w:tcPr>
          <w:p w14:paraId="225C560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有安全风险分级</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管控制度</w:t>
            </w:r>
          </w:p>
        </w:tc>
        <w:tc>
          <w:tcPr>
            <w:tcW w:w="1710" w:type="dxa"/>
            <w:vAlign w:val="top"/>
          </w:tcPr>
          <w:p w14:paraId="45209BB7">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8644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036088B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6C8E57F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08166121">
            <w:pPr>
              <w:kinsoku w:val="0"/>
              <w:autoSpaceDE w:val="0"/>
              <w:autoSpaceDN w:val="0"/>
              <w:adjustRightInd w:val="0"/>
              <w:snapToGrid w:val="0"/>
              <w:spacing w:before="188"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）是否组织全员参与风险分级辨识。</w:t>
            </w:r>
          </w:p>
        </w:tc>
        <w:tc>
          <w:tcPr>
            <w:tcW w:w="1710" w:type="dxa"/>
            <w:vAlign w:val="top"/>
          </w:tcPr>
          <w:p w14:paraId="301FBBB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全员参与</w:t>
            </w:r>
          </w:p>
        </w:tc>
        <w:tc>
          <w:tcPr>
            <w:tcW w:w="1710" w:type="dxa"/>
            <w:vAlign w:val="top"/>
          </w:tcPr>
          <w:p w14:paraId="77115BE1">
            <w:pPr>
              <w:kinsoku w:val="0"/>
              <w:autoSpaceDE w:val="0"/>
              <w:autoSpaceDN w:val="0"/>
              <w:adjustRightInd w:val="0"/>
              <w:snapToGrid w:val="0"/>
              <w:spacing w:before="45"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D80A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5B9A636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2C04364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54BF9FC5">
            <w:pPr>
              <w:kinsoku w:val="0"/>
              <w:autoSpaceDE w:val="0"/>
              <w:autoSpaceDN w:val="0"/>
              <w:adjustRightInd w:val="0"/>
              <w:snapToGrid w:val="0"/>
              <w:spacing w:before="47" w:line="234" w:lineRule="auto"/>
              <w:ind w:left="103"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3</w:t>
            </w:r>
            <w:r>
              <w:rPr>
                <w:rFonts w:ascii="宋体" w:hAnsi="宋体" w:eastAsia="宋体" w:cs="宋体"/>
                <w:snapToGrid w:val="0"/>
                <w:color w:val="000000"/>
                <w:spacing w:val="10"/>
                <w:kern w:val="0"/>
                <w:sz w:val="20"/>
                <w:szCs w:val="20"/>
                <w:lang w:val="en-US" w:eastAsia="en-US" w:bidi="ar-SA"/>
              </w:rPr>
              <w:t>）是否制定安全风险分布图、风险识别管控及应急</w:t>
            </w:r>
            <w:r>
              <w:rPr>
                <w:rFonts w:ascii="宋体" w:hAnsi="宋体" w:eastAsia="宋体" w:cs="宋体"/>
                <w:snapToGrid w:val="0"/>
                <w:color w:val="000000"/>
                <w:spacing w:val="8"/>
                <w:kern w:val="0"/>
                <w:sz w:val="20"/>
                <w:szCs w:val="20"/>
                <w:lang w:val="en-US" w:eastAsia="en-US" w:bidi="ar-SA"/>
              </w:rPr>
              <w:t>措施，即“一图一牌三清单</w:t>
            </w:r>
            <w:r>
              <w:rPr>
                <w:rFonts w:ascii="宋体" w:hAnsi="宋体" w:eastAsia="宋体" w:cs="宋体"/>
                <w:snapToGrid w:val="0"/>
                <w:color w:val="000000"/>
                <w:spacing w:val="-62"/>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w:t>
            </w:r>
          </w:p>
        </w:tc>
        <w:tc>
          <w:tcPr>
            <w:tcW w:w="1710" w:type="dxa"/>
            <w:vAlign w:val="top"/>
          </w:tcPr>
          <w:p w14:paraId="40F12B5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有风险分布图和</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应急措施</w:t>
            </w:r>
          </w:p>
        </w:tc>
        <w:tc>
          <w:tcPr>
            <w:tcW w:w="1710" w:type="dxa"/>
            <w:vAlign w:val="top"/>
          </w:tcPr>
          <w:p w14:paraId="008E4DC1">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6FF4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restart"/>
            <w:vAlign w:val="top"/>
          </w:tcPr>
          <w:p w14:paraId="08AA0F35">
            <w:pPr>
              <w:widowControl/>
              <w:kinsoku w:val="0"/>
              <w:autoSpaceDE w:val="0"/>
              <w:autoSpaceDN w:val="0"/>
              <w:adjustRightInd w:val="0"/>
              <w:snapToGrid w:val="0"/>
              <w:spacing w:line="447" w:lineRule="auto"/>
              <w:jc w:val="left"/>
              <w:textAlignment w:val="baseline"/>
              <w:rPr>
                <w:rFonts w:ascii="Arial" w:hAnsi="Arial" w:eastAsia="Arial" w:cs="Arial"/>
                <w:snapToGrid w:val="0"/>
                <w:color w:val="000000"/>
                <w:kern w:val="0"/>
                <w:sz w:val="21"/>
                <w:lang w:eastAsia="en-US"/>
              </w:rPr>
            </w:pPr>
          </w:p>
          <w:p w14:paraId="44B9ABA9">
            <w:pPr>
              <w:widowControl/>
              <w:kinsoku w:val="0"/>
              <w:autoSpaceDE w:val="0"/>
              <w:autoSpaceDN w:val="0"/>
              <w:adjustRightInd w:val="0"/>
              <w:snapToGrid w:val="0"/>
              <w:spacing w:before="57" w:line="195" w:lineRule="auto"/>
              <w:ind w:left="22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9</w:t>
            </w:r>
          </w:p>
        </w:tc>
        <w:tc>
          <w:tcPr>
            <w:tcW w:w="626" w:type="dxa"/>
            <w:gridSpan w:val="2"/>
            <w:vMerge w:val="restart"/>
            <w:vAlign w:val="top"/>
          </w:tcPr>
          <w:p w14:paraId="35107841">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0FB98681">
            <w:pPr>
              <w:kinsoku w:val="0"/>
              <w:autoSpaceDE w:val="0"/>
              <w:autoSpaceDN w:val="0"/>
              <w:adjustRightInd w:val="0"/>
              <w:snapToGrid w:val="0"/>
              <w:spacing w:before="65" w:line="244" w:lineRule="auto"/>
              <w:ind w:left="165" w:right="177" w:hanging="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应急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管理</w:t>
            </w:r>
          </w:p>
        </w:tc>
        <w:tc>
          <w:tcPr>
            <w:tcW w:w="4744" w:type="dxa"/>
            <w:vAlign w:val="top"/>
          </w:tcPr>
          <w:p w14:paraId="3F2A60AF">
            <w:pPr>
              <w:kinsoku w:val="0"/>
              <w:autoSpaceDE w:val="0"/>
              <w:autoSpaceDN w:val="0"/>
              <w:adjustRightInd w:val="0"/>
              <w:snapToGrid w:val="0"/>
              <w:spacing w:before="15" w:line="249" w:lineRule="auto"/>
              <w:ind w:left="105" w:right="102"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1)</w:t>
            </w:r>
            <w:r>
              <w:rPr>
                <w:rFonts w:ascii="宋体" w:hAnsi="宋体" w:eastAsia="宋体" w:cs="宋体"/>
                <w:snapToGrid w:val="0"/>
                <w:color w:val="000000"/>
                <w:spacing w:val="7"/>
                <w:kern w:val="0"/>
                <w:sz w:val="20"/>
                <w:szCs w:val="20"/>
                <w:lang w:val="en-US" w:eastAsia="en-US" w:bidi="ar-SA"/>
              </w:rPr>
              <w:t>是否制定加油站事故应急救援预案，应急预案是否按要求进行备案。</w:t>
            </w:r>
          </w:p>
        </w:tc>
        <w:tc>
          <w:tcPr>
            <w:tcW w:w="1710" w:type="dxa"/>
            <w:vAlign w:val="top"/>
          </w:tcPr>
          <w:p w14:paraId="02D403B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有应急预案，预</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案已备案</w:t>
            </w:r>
          </w:p>
        </w:tc>
        <w:tc>
          <w:tcPr>
            <w:tcW w:w="1710" w:type="dxa"/>
            <w:vAlign w:val="top"/>
          </w:tcPr>
          <w:p w14:paraId="74EA421D">
            <w:pPr>
              <w:kinsoku w:val="0"/>
              <w:autoSpaceDE w:val="0"/>
              <w:autoSpaceDN w:val="0"/>
              <w:adjustRightInd w:val="0"/>
              <w:snapToGrid w:val="0"/>
              <w:spacing w:before="45"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5B1D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66EF100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572EAE3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77F9A95D">
            <w:pPr>
              <w:kinsoku w:val="0"/>
              <w:autoSpaceDE w:val="0"/>
              <w:autoSpaceDN w:val="0"/>
              <w:adjustRightInd w:val="0"/>
              <w:snapToGrid w:val="0"/>
              <w:spacing w:before="186"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）是否组织应急演练，并保存演练记录材料。</w:t>
            </w:r>
          </w:p>
        </w:tc>
        <w:tc>
          <w:tcPr>
            <w:tcW w:w="1710" w:type="dxa"/>
            <w:vAlign w:val="top"/>
          </w:tcPr>
          <w:p w14:paraId="02F2B448">
            <w:pPr>
              <w:kinsoku w:val="0"/>
              <w:autoSpaceDE w:val="0"/>
              <w:autoSpaceDN w:val="0"/>
              <w:adjustRightInd w:val="0"/>
              <w:snapToGrid w:val="0"/>
              <w:spacing w:before="187" w:line="229" w:lineRule="auto"/>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有应急演练记录</w:t>
            </w:r>
          </w:p>
        </w:tc>
        <w:tc>
          <w:tcPr>
            <w:tcW w:w="1710" w:type="dxa"/>
            <w:vAlign w:val="top"/>
          </w:tcPr>
          <w:p w14:paraId="173147FF">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5071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restart"/>
            <w:vAlign w:val="top"/>
          </w:tcPr>
          <w:p w14:paraId="65023675">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1DB26F9B">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172837E8">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632C7DA3">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lang w:eastAsia="en-US"/>
              </w:rPr>
            </w:pPr>
          </w:p>
          <w:p w14:paraId="00AE1F99">
            <w:pPr>
              <w:widowControl/>
              <w:kinsoku w:val="0"/>
              <w:autoSpaceDE w:val="0"/>
              <w:autoSpaceDN w:val="0"/>
              <w:adjustRightInd w:val="0"/>
              <w:snapToGrid w:val="0"/>
              <w:spacing w:line="250" w:lineRule="auto"/>
              <w:jc w:val="left"/>
              <w:textAlignment w:val="baseline"/>
              <w:rPr>
                <w:rFonts w:ascii="Arial" w:hAnsi="Arial" w:eastAsia="Arial" w:cs="Arial"/>
                <w:snapToGrid w:val="0"/>
                <w:color w:val="000000"/>
                <w:kern w:val="0"/>
                <w:sz w:val="21"/>
                <w:lang w:eastAsia="en-US"/>
              </w:rPr>
            </w:pPr>
          </w:p>
          <w:p w14:paraId="5E27894B">
            <w:pPr>
              <w:widowControl/>
              <w:kinsoku w:val="0"/>
              <w:autoSpaceDE w:val="0"/>
              <w:autoSpaceDN w:val="0"/>
              <w:adjustRightInd w:val="0"/>
              <w:snapToGrid w:val="0"/>
              <w:spacing w:before="57" w:line="195" w:lineRule="auto"/>
              <w:ind w:left="187"/>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8"/>
                <w:kern w:val="0"/>
                <w:sz w:val="20"/>
                <w:szCs w:val="20"/>
                <w:lang w:eastAsia="en-US"/>
              </w:rPr>
              <w:t>10</w:t>
            </w:r>
          </w:p>
        </w:tc>
        <w:tc>
          <w:tcPr>
            <w:tcW w:w="626" w:type="dxa"/>
            <w:gridSpan w:val="2"/>
            <w:vMerge w:val="restart"/>
            <w:vAlign w:val="top"/>
          </w:tcPr>
          <w:p w14:paraId="06190FA2">
            <w:pPr>
              <w:widowControl/>
              <w:kinsoku w:val="0"/>
              <w:autoSpaceDE w:val="0"/>
              <w:autoSpaceDN w:val="0"/>
              <w:adjustRightInd w:val="0"/>
              <w:snapToGrid w:val="0"/>
              <w:spacing w:line="323" w:lineRule="auto"/>
              <w:jc w:val="left"/>
              <w:textAlignment w:val="baseline"/>
              <w:rPr>
                <w:rFonts w:ascii="Arial" w:hAnsi="Arial" w:eastAsia="Arial" w:cs="Arial"/>
                <w:snapToGrid w:val="0"/>
                <w:color w:val="000000"/>
                <w:kern w:val="0"/>
                <w:sz w:val="21"/>
                <w:lang w:eastAsia="en-US"/>
              </w:rPr>
            </w:pPr>
          </w:p>
          <w:p w14:paraId="52818EE4">
            <w:pPr>
              <w:widowControl/>
              <w:kinsoku w:val="0"/>
              <w:autoSpaceDE w:val="0"/>
              <w:autoSpaceDN w:val="0"/>
              <w:adjustRightInd w:val="0"/>
              <w:snapToGrid w:val="0"/>
              <w:spacing w:line="324" w:lineRule="auto"/>
              <w:jc w:val="left"/>
              <w:textAlignment w:val="baseline"/>
              <w:rPr>
                <w:rFonts w:ascii="Arial" w:hAnsi="Arial" w:eastAsia="Arial" w:cs="Arial"/>
                <w:snapToGrid w:val="0"/>
                <w:color w:val="000000"/>
                <w:kern w:val="0"/>
                <w:sz w:val="21"/>
                <w:lang w:eastAsia="en-US"/>
              </w:rPr>
            </w:pPr>
          </w:p>
          <w:p w14:paraId="1E534F95">
            <w:pPr>
              <w:kinsoku w:val="0"/>
              <w:autoSpaceDE w:val="0"/>
              <w:autoSpaceDN w:val="0"/>
              <w:adjustRightInd w:val="0"/>
              <w:snapToGrid w:val="0"/>
              <w:spacing w:before="65" w:line="228" w:lineRule="auto"/>
              <w:ind w:left="16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检维</w:t>
            </w:r>
          </w:p>
          <w:p w14:paraId="5285DBC5">
            <w:pPr>
              <w:kinsoku w:val="0"/>
              <w:autoSpaceDE w:val="0"/>
              <w:autoSpaceDN w:val="0"/>
              <w:adjustRightInd w:val="0"/>
              <w:snapToGrid w:val="0"/>
              <w:spacing w:before="31" w:line="228" w:lineRule="auto"/>
              <w:ind w:left="16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修作</w:t>
            </w:r>
          </w:p>
          <w:p w14:paraId="617473CD">
            <w:pPr>
              <w:kinsoku w:val="0"/>
              <w:autoSpaceDE w:val="0"/>
              <w:autoSpaceDN w:val="0"/>
              <w:adjustRightInd w:val="0"/>
              <w:snapToGrid w:val="0"/>
              <w:spacing w:before="33" w:line="229" w:lineRule="auto"/>
              <w:ind w:left="10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2"/>
                <w:kern w:val="0"/>
                <w:sz w:val="20"/>
                <w:szCs w:val="20"/>
                <w:lang w:val="en-US" w:eastAsia="en-US" w:bidi="ar-SA"/>
              </w:rPr>
              <w:t>业、危</w:t>
            </w:r>
          </w:p>
          <w:p w14:paraId="08ACA5BB">
            <w:pPr>
              <w:kinsoku w:val="0"/>
              <w:autoSpaceDE w:val="0"/>
              <w:autoSpaceDN w:val="0"/>
              <w:adjustRightInd w:val="0"/>
              <w:snapToGrid w:val="0"/>
              <w:spacing w:before="32" w:line="229" w:lineRule="auto"/>
              <w:ind w:left="17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险作</w:t>
            </w:r>
          </w:p>
          <w:p w14:paraId="7AF1D3C0">
            <w:pPr>
              <w:kinsoku w:val="0"/>
              <w:autoSpaceDE w:val="0"/>
              <w:autoSpaceDN w:val="0"/>
              <w:adjustRightInd w:val="0"/>
              <w:snapToGrid w:val="0"/>
              <w:spacing w:before="30" w:line="241" w:lineRule="auto"/>
              <w:ind w:left="26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业</w:t>
            </w:r>
          </w:p>
        </w:tc>
        <w:tc>
          <w:tcPr>
            <w:tcW w:w="4744" w:type="dxa"/>
            <w:vAlign w:val="top"/>
          </w:tcPr>
          <w:p w14:paraId="25221609">
            <w:pPr>
              <w:kinsoku w:val="0"/>
              <w:autoSpaceDE w:val="0"/>
              <w:autoSpaceDN w:val="0"/>
              <w:adjustRightInd w:val="0"/>
              <w:snapToGrid w:val="0"/>
              <w:spacing w:before="188"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1</w:t>
            </w:r>
            <w:r>
              <w:rPr>
                <w:rFonts w:ascii="宋体" w:hAnsi="宋体" w:eastAsia="宋体" w:cs="宋体"/>
                <w:snapToGrid w:val="0"/>
                <w:color w:val="000000"/>
                <w:spacing w:val="7"/>
                <w:kern w:val="0"/>
                <w:sz w:val="20"/>
                <w:szCs w:val="20"/>
                <w:lang w:val="en-US" w:eastAsia="en-US" w:bidi="ar-SA"/>
              </w:rPr>
              <w:t>）是否制定检维修管理制度。</w:t>
            </w:r>
          </w:p>
        </w:tc>
        <w:tc>
          <w:tcPr>
            <w:tcW w:w="1710" w:type="dxa"/>
            <w:vAlign w:val="top"/>
          </w:tcPr>
          <w:p w14:paraId="2988402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有检维修制度</w:t>
            </w:r>
          </w:p>
        </w:tc>
        <w:tc>
          <w:tcPr>
            <w:tcW w:w="1710" w:type="dxa"/>
            <w:vAlign w:val="top"/>
          </w:tcPr>
          <w:p w14:paraId="25A577D6">
            <w:pPr>
              <w:kinsoku w:val="0"/>
              <w:autoSpaceDE w:val="0"/>
              <w:autoSpaceDN w:val="0"/>
              <w:adjustRightInd w:val="0"/>
              <w:snapToGrid w:val="0"/>
              <w:spacing w:before="45"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8E37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rPr>
        <w:tc>
          <w:tcPr>
            <w:tcW w:w="699" w:type="dxa"/>
            <w:vMerge w:val="continue"/>
            <w:vAlign w:val="top"/>
          </w:tcPr>
          <w:p w14:paraId="176D097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25B170E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4B78F881">
            <w:pPr>
              <w:kinsoku w:val="0"/>
              <w:autoSpaceDE w:val="0"/>
              <w:autoSpaceDN w:val="0"/>
              <w:adjustRightInd w:val="0"/>
              <w:snapToGrid w:val="0"/>
              <w:spacing w:before="17" w:line="248" w:lineRule="auto"/>
              <w:ind w:left="104" w:right="102" w:firstLine="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2)</w:t>
            </w:r>
            <w:r>
              <w:rPr>
                <w:rFonts w:ascii="宋体" w:hAnsi="宋体" w:eastAsia="宋体" w:cs="宋体"/>
                <w:snapToGrid w:val="0"/>
                <w:color w:val="000000"/>
                <w:spacing w:val="7"/>
                <w:kern w:val="0"/>
                <w:sz w:val="20"/>
                <w:szCs w:val="20"/>
                <w:lang w:val="en-US" w:eastAsia="en-US" w:bidi="ar-SA"/>
              </w:rPr>
              <w:t>是否制定动火作业、受限空间作业等危险作业管理</w:t>
            </w:r>
            <w:r>
              <w:rPr>
                <w:rFonts w:ascii="宋体" w:hAnsi="宋体" w:eastAsia="宋体" w:cs="宋体"/>
                <w:snapToGrid w:val="0"/>
                <w:color w:val="000000"/>
                <w:spacing w:val="2"/>
                <w:kern w:val="0"/>
                <w:sz w:val="20"/>
                <w:szCs w:val="20"/>
                <w:lang w:val="en-US" w:eastAsia="en-US" w:bidi="ar-SA"/>
              </w:rPr>
              <w:t>制度。</w:t>
            </w:r>
          </w:p>
        </w:tc>
        <w:tc>
          <w:tcPr>
            <w:tcW w:w="1710" w:type="dxa"/>
            <w:vAlign w:val="top"/>
          </w:tcPr>
          <w:p w14:paraId="328F9681">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有动火、受限空</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间作业管理制度</w:t>
            </w:r>
          </w:p>
        </w:tc>
        <w:tc>
          <w:tcPr>
            <w:tcW w:w="1710" w:type="dxa"/>
            <w:vAlign w:val="top"/>
          </w:tcPr>
          <w:p w14:paraId="404F794A">
            <w:pPr>
              <w:kinsoku w:val="0"/>
              <w:autoSpaceDE w:val="0"/>
              <w:autoSpaceDN w:val="0"/>
              <w:adjustRightInd w:val="0"/>
              <w:snapToGrid w:val="0"/>
              <w:spacing w:before="47"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2D33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0" w:hRule="atLeast"/>
        </w:trPr>
        <w:tc>
          <w:tcPr>
            <w:tcW w:w="699" w:type="dxa"/>
            <w:vMerge w:val="continue"/>
            <w:vAlign w:val="top"/>
          </w:tcPr>
          <w:p w14:paraId="71C391B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43F324D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023C318B">
            <w:pPr>
              <w:kinsoku w:val="0"/>
              <w:autoSpaceDE w:val="0"/>
              <w:autoSpaceDN w:val="0"/>
              <w:adjustRightInd w:val="0"/>
              <w:snapToGrid w:val="0"/>
              <w:spacing w:before="213" w:line="244" w:lineRule="auto"/>
              <w:ind w:left="110" w:right="100" w:firstLine="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3</w:t>
            </w:r>
            <w:r>
              <w:rPr>
                <w:rFonts w:ascii="宋体" w:hAnsi="宋体" w:eastAsia="宋体" w:cs="宋体"/>
                <w:snapToGrid w:val="0"/>
                <w:color w:val="000000"/>
                <w:spacing w:val="10"/>
                <w:kern w:val="0"/>
                <w:sz w:val="20"/>
                <w:szCs w:val="20"/>
                <w:lang w:val="en-US" w:eastAsia="en-US" w:bidi="ar-SA"/>
              </w:rPr>
              <w:t>）危险作业是否按要求履行审批手续，危险作业是</w:t>
            </w:r>
            <w:r>
              <w:rPr>
                <w:rFonts w:ascii="宋体" w:hAnsi="宋体" w:eastAsia="宋体" w:cs="宋体"/>
                <w:snapToGrid w:val="0"/>
                <w:color w:val="000000"/>
                <w:spacing w:val="7"/>
                <w:kern w:val="0"/>
                <w:sz w:val="20"/>
                <w:szCs w:val="20"/>
                <w:lang w:val="en-US" w:eastAsia="en-US" w:bidi="ar-SA"/>
              </w:rPr>
              <w:t>否按要求执行作业票管理。</w:t>
            </w:r>
          </w:p>
        </w:tc>
        <w:tc>
          <w:tcPr>
            <w:tcW w:w="1710" w:type="dxa"/>
            <w:vAlign w:val="top"/>
          </w:tcPr>
          <w:p w14:paraId="463F557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危险作业严格执</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行审批手续</w:t>
            </w:r>
          </w:p>
        </w:tc>
        <w:tc>
          <w:tcPr>
            <w:tcW w:w="1710" w:type="dxa"/>
            <w:vAlign w:val="top"/>
          </w:tcPr>
          <w:p w14:paraId="3509BDC0">
            <w:pPr>
              <w:kinsoku w:val="0"/>
              <w:autoSpaceDE w:val="0"/>
              <w:autoSpaceDN w:val="0"/>
              <w:adjustRightInd w:val="0"/>
              <w:snapToGrid w:val="0"/>
              <w:spacing w:before="211"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70FC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699" w:type="dxa"/>
            <w:vMerge w:val="continue"/>
            <w:vAlign w:val="top"/>
          </w:tcPr>
          <w:p w14:paraId="5657AF4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6" w:type="dxa"/>
            <w:gridSpan w:val="2"/>
            <w:vMerge w:val="continue"/>
            <w:vAlign w:val="top"/>
          </w:tcPr>
          <w:p w14:paraId="182A749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4" w:type="dxa"/>
            <w:vAlign w:val="top"/>
          </w:tcPr>
          <w:p w14:paraId="06A692D1">
            <w:pPr>
              <w:kinsoku w:val="0"/>
              <w:autoSpaceDE w:val="0"/>
              <w:autoSpaceDN w:val="0"/>
              <w:adjustRightInd w:val="0"/>
              <w:snapToGrid w:val="0"/>
              <w:spacing w:before="254"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4</w:t>
            </w:r>
            <w:r>
              <w:rPr>
                <w:rFonts w:ascii="宋体" w:hAnsi="宋体" w:eastAsia="宋体" w:cs="宋体"/>
                <w:snapToGrid w:val="0"/>
                <w:color w:val="000000"/>
                <w:spacing w:val="8"/>
                <w:kern w:val="0"/>
                <w:sz w:val="20"/>
                <w:szCs w:val="20"/>
                <w:lang w:val="en-US" w:eastAsia="en-US" w:bidi="ar-SA"/>
              </w:rPr>
              <w:t>）危险作业现场管理是否按要求执行。</w:t>
            </w:r>
          </w:p>
        </w:tc>
        <w:tc>
          <w:tcPr>
            <w:tcW w:w="1710" w:type="dxa"/>
            <w:vAlign w:val="top"/>
          </w:tcPr>
          <w:p w14:paraId="027A422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按要求执行</w:t>
            </w:r>
          </w:p>
        </w:tc>
        <w:tc>
          <w:tcPr>
            <w:tcW w:w="1710" w:type="dxa"/>
            <w:vAlign w:val="top"/>
          </w:tcPr>
          <w:p w14:paraId="335532A0">
            <w:pPr>
              <w:kinsoku w:val="0"/>
              <w:autoSpaceDE w:val="0"/>
              <w:autoSpaceDN w:val="0"/>
              <w:adjustRightInd w:val="0"/>
              <w:snapToGrid w:val="0"/>
              <w:spacing w:before="113"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0B3F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trPr>
        <w:tc>
          <w:tcPr>
            <w:tcW w:w="9489" w:type="dxa"/>
            <w:gridSpan w:val="6"/>
            <w:shd w:val="clear" w:color="auto" w:fill="C0C0C0"/>
            <w:vAlign w:val="top"/>
          </w:tcPr>
          <w:p w14:paraId="11462014">
            <w:pPr>
              <w:kinsoku w:val="0"/>
              <w:autoSpaceDE w:val="0"/>
              <w:autoSpaceDN w:val="0"/>
              <w:adjustRightInd w:val="0"/>
              <w:snapToGrid w:val="0"/>
              <w:spacing w:before="48" w:line="211" w:lineRule="auto"/>
              <w:ind w:left="330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b/>
                <w:bCs/>
                <w:snapToGrid w:val="0"/>
                <w:color w:val="000000"/>
                <w:spacing w:val="-6"/>
                <w:kern w:val="0"/>
                <w:sz w:val="20"/>
                <w:szCs w:val="20"/>
                <w:lang w:val="en-US" w:eastAsia="en-US" w:bidi="ar-SA"/>
              </w:rPr>
              <w:t>现</w:t>
            </w:r>
            <w:r>
              <w:rPr>
                <w:rFonts w:ascii="宋体" w:hAnsi="宋体" w:eastAsia="宋体" w:cs="宋体"/>
                <w:snapToGrid w:val="0"/>
                <w:color w:val="000000"/>
                <w:spacing w:val="18"/>
                <w:kern w:val="0"/>
                <w:sz w:val="20"/>
                <w:szCs w:val="20"/>
                <w:lang w:val="en-US" w:eastAsia="en-US" w:bidi="ar-SA"/>
              </w:rPr>
              <w:t xml:space="preserve"> </w:t>
            </w:r>
            <w:r>
              <w:rPr>
                <w:rFonts w:ascii="宋体" w:hAnsi="宋体" w:eastAsia="宋体" w:cs="宋体"/>
                <w:b/>
                <w:bCs/>
                <w:snapToGrid w:val="0"/>
                <w:color w:val="000000"/>
                <w:spacing w:val="-6"/>
                <w:kern w:val="0"/>
                <w:sz w:val="20"/>
                <w:szCs w:val="20"/>
                <w:lang w:val="en-US" w:eastAsia="en-US" w:bidi="ar-SA"/>
              </w:rPr>
              <w:t>场</w:t>
            </w:r>
            <w:r>
              <w:rPr>
                <w:rFonts w:ascii="宋体" w:hAnsi="宋体" w:eastAsia="宋体" w:cs="宋体"/>
                <w:snapToGrid w:val="0"/>
                <w:color w:val="000000"/>
                <w:spacing w:val="18"/>
                <w:kern w:val="0"/>
                <w:sz w:val="20"/>
                <w:szCs w:val="20"/>
                <w:lang w:val="en-US" w:eastAsia="en-US" w:bidi="ar-SA"/>
              </w:rPr>
              <w:t xml:space="preserve"> </w:t>
            </w:r>
            <w:r>
              <w:rPr>
                <w:rFonts w:ascii="宋体" w:hAnsi="宋体" w:eastAsia="宋体" w:cs="宋体"/>
                <w:b/>
                <w:bCs/>
                <w:snapToGrid w:val="0"/>
                <w:color w:val="000000"/>
                <w:spacing w:val="-6"/>
                <w:kern w:val="0"/>
                <w:sz w:val="20"/>
                <w:szCs w:val="20"/>
                <w:lang w:val="en-US" w:eastAsia="en-US" w:bidi="ar-SA"/>
              </w:rPr>
              <w:t>安</w:t>
            </w:r>
            <w:r>
              <w:rPr>
                <w:rFonts w:ascii="宋体" w:hAnsi="宋体" w:eastAsia="宋体" w:cs="宋体"/>
                <w:snapToGrid w:val="0"/>
                <w:color w:val="000000"/>
                <w:spacing w:val="16"/>
                <w:kern w:val="0"/>
                <w:sz w:val="20"/>
                <w:szCs w:val="20"/>
                <w:lang w:val="en-US" w:eastAsia="en-US" w:bidi="ar-SA"/>
              </w:rPr>
              <w:t xml:space="preserve"> </w:t>
            </w:r>
            <w:r>
              <w:rPr>
                <w:rFonts w:ascii="宋体" w:hAnsi="宋体" w:eastAsia="宋体" w:cs="宋体"/>
                <w:b/>
                <w:bCs/>
                <w:snapToGrid w:val="0"/>
                <w:color w:val="000000"/>
                <w:spacing w:val="-6"/>
                <w:kern w:val="0"/>
                <w:sz w:val="20"/>
                <w:szCs w:val="20"/>
                <w:lang w:val="en-US" w:eastAsia="en-US" w:bidi="ar-SA"/>
              </w:rPr>
              <w:t>全</w:t>
            </w:r>
            <w:r>
              <w:rPr>
                <w:rFonts w:ascii="宋体" w:hAnsi="宋体" w:eastAsia="宋体" w:cs="宋体"/>
                <w:snapToGrid w:val="0"/>
                <w:color w:val="000000"/>
                <w:spacing w:val="16"/>
                <w:kern w:val="0"/>
                <w:sz w:val="20"/>
                <w:szCs w:val="20"/>
                <w:lang w:val="en-US" w:eastAsia="en-US" w:bidi="ar-SA"/>
              </w:rPr>
              <w:t xml:space="preserve"> </w:t>
            </w:r>
            <w:r>
              <w:rPr>
                <w:rFonts w:ascii="宋体" w:hAnsi="宋体" w:eastAsia="宋体" w:cs="宋体"/>
                <w:b/>
                <w:bCs/>
                <w:snapToGrid w:val="0"/>
                <w:color w:val="000000"/>
                <w:spacing w:val="-6"/>
                <w:kern w:val="0"/>
                <w:sz w:val="20"/>
                <w:szCs w:val="20"/>
                <w:lang w:val="en-US" w:eastAsia="en-US" w:bidi="ar-SA"/>
              </w:rPr>
              <w:t>检</w:t>
            </w:r>
            <w:r>
              <w:rPr>
                <w:rFonts w:ascii="宋体" w:hAnsi="宋体" w:eastAsia="宋体" w:cs="宋体"/>
                <w:snapToGrid w:val="0"/>
                <w:color w:val="000000"/>
                <w:spacing w:val="16"/>
                <w:kern w:val="0"/>
                <w:sz w:val="20"/>
                <w:szCs w:val="20"/>
                <w:lang w:val="en-US" w:eastAsia="en-US" w:bidi="ar-SA"/>
              </w:rPr>
              <w:t xml:space="preserve"> </w:t>
            </w:r>
            <w:r>
              <w:rPr>
                <w:rFonts w:ascii="宋体" w:hAnsi="宋体" w:eastAsia="宋体" w:cs="宋体"/>
                <w:b/>
                <w:bCs/>
                <w:snapToGrid w:val="0"/>
                <w:color w:val="000000"/>
                <w:spacing w:val="-6"/>
                <w:kern w:val="0"/>
                <w:sz w:val="20"/>
                <w:szCs w:val="20"/>
                <w:lang w:val="en-US" w:eastAsia="en-US" w:bidi="ar-SA"/>
              </w:rPr>
              <w:t>查</w:t>
            </w:r>
            <w:r>
              <w:rPr>
                <w:rFonts w:ascii="宋体" w:hAnsi="宋体" w:eastAsia="宋体" w:cs="宋体"/>
                <w:snapToGrid w:val="0"/>
                <w:color w:val="000000"/>
                <w:spacing w:val="41"/>
                <w:kern w:val="0"/>
                <w:sz w:val="20"/>
                <w:szCs w:val="20"/>
                <w:lang w:val="en-US" w:eastAsia="en-US" w:bidi="ar-SA"/>
              </w:rPr>
              <w:t xml:space="preserve"> </w:t>
            </w:r>
            <w:r>
              <w:rPr>
                <w:rFonts w:ascii="宋体" w:hAnsi="宋体" w:eastAsia="宋体" w:cs="宋体"/>
                <w:b/>
                <w:bCs/>
                <w:snapToGrid w:val="0"/>
                <w:color w:val="000000"/>
                <w:spacing w:val="-6"/>
                <w:kern w:val="0"/>
                <w:sz w:val="20"/>
                <w:szCs w:val="20"/>
                <w:lang w:val="en-US" w:eastAsia="en-US" w:bidi="ar-SA"/>
              </w:rPr>
              <w:t>内</w:t>
            </w:r>
            <w:r>
              <w:rPr>
                <w:rFonts w:ascii="宋体" w:hAnsi="宋体" w:eastAsia="宋体" w:cs="宋体"/>
                <w:snapToGrid w:val="0"/>
                <w:color w:val="000000"/>
                <w:spacing w:val="16"/>
                <w:kern w:val="0"/>
                <w:sz w:val="20"/>
                <w:szCs w:val="20"/>
                <w:lang w:val="en-US" w:eastAsia="en-US" w:bidi="ar-SA"/>
              </w:rPr>
              <w:t xml:space="preserve"> </w:t>
            </w:r>
            <w:r>
              <w:rPr>
                <w:rFonts w:ascii="宋体" w:hAnsi="宋体" w:eastAsia="宋体" w:cs="宋体"/>
                <w:b/>
                <w:bCs/>
                <w:snapToGrid w:val="0"/>
                <w:color w:val="000000"/>
                <w:spacing w:val="-6"/>
                <w:kern w:val="0"/>
                <w:sz w:val="20"/>
                <w:szCs w:val="20"/>
                <w:lang w:val="en-US" w:eastAsia="en-US" w:bidi="ar-SA"/>
              </w:rPr>
              <w:t>容</w:t>
            </w:r>
          </w:p>
        </w:tc>
      </w:tr>
      <w:tr w14:paraId="5924A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6" w:hRule="atLeast"/>
        </w:trPr>
        <w:tc>
          <w:tcPr>
            <w:tcW w:w="699" w:type="dxa"/>
            <w:textDirection w:val="tbRlV"/>
            <w:vAlign w:val="top"/>
          </w:tcPr>
          <w:p w14:paraId="76681EAF">
            <w:pPr>
              <w:kinsoku w:val="0"/>
              <w:autoSpaceDE w:val="0"/>
              <w:autoSpaceDN w:val="0"/>
              <w:adjustRightInd w:val="0"/>
              <w:snapToGrid w:val="0"/>
              <w:spacing w:before="183" w:line="218" w:lineRule="auto"/>
              <w:ind w:left="4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序</w:t>
            </w:r>
            <w:r>
              <w:rPr>
                <w:rFonts w:ascii="宋体" w:hAnsi="宋体" w:eastAsia="宋体" w:cs="宋体"/>
                <w:snapToGrid w:val="0"/>
                <w:color w:val="000000"/>
                <w:spacing w:val="-29"/>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号</w:t>
            </w:r>
          </w:p>
        </w:tc>
        <w:tc>
          <w:tcPr>
            <w:tcW w:w="625" w:type="dxa"/>
            <w:vAlign w:val="top"/>
          </w:tcPr>
          <w:p w14:paraId="6E3ED86B">
            <w:pPr>
              <w:kinsoku w:val="0"/>
              <w:autoSpaceDE w:val="0"/>
              <w:autoSpaceDN w:val="0"/>
              <w:adjustRightInd w:val="0"/>
              <w:snapToGrid w:val="0"/>
              <w:spacing w:before="48" w:line="234" w:lineRule="auto"/>
              <w:ind w:left="165" w:right="176" w:hanging="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检查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项目</w:t>
            </w:r>
          </w:p>
        </w:tc>
        <w:tc>
          <w:tcPr>
            <w:tcW w:w="4745" w:type="dxa"/>
            <w:gridSpan w:val="2"/>
            <w:vAlign w:val="top"/>
          </w:tcPr>
          <w:p w14:paraId="40EE928E">
            <w:pPr>
              <w:kinsoku w:val="0"/>
              <w:autoSpaceDE w:val="0"/>
              <w:autoSpaceDN w:val="0"/>
              <w:adjustRightInd w:val="0"/>
              <w:snapToGrid w:val="0"/>
              <w:spacing w:before="189" w:line="228" w:lineRule="auto"/>
              <w:ind w:left="217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检查内容</w:t>
            </w:r>
          </w:p>
        </w:tc>
        <w:tc>
          <w:tcPr>
            <w:tcW w:w="1710" w:type="dxa"/>
            <w:vAlign w:val="top"/>
          </w:tcPr>
          <w:p w14:paraId="1F362248">
            <w:pPr>
              <w:keepNext w:val="0"/>
              <w:keepLines w:val="0"/>
              <w:pageBreakBefore w:val="0"/>
              <w:widowControl w:val="0"/>
              <w:kinsoku w:val="0"/>
              <w:wordWrap/>
              <w:overflowPunct/>
              <w:topLinePunct w:val="0"/>
              <w:autoSpaceDE w:val="0"/>
              <w:autoSpaceDN w:val="0"/>
              <w:bidi w:val="0"/>
              <w:adjustRightInd w:val="0"/>
              <w:snapToGrid w:val="0"/>
              <w:spacing w:line="231" w:lineRule="auto"/>
              <w:jc w:val="center"/>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主要问题</w:t>
            </w:r>
          </w:p>
        </w:tc>
        <w:tc>
          <w:tcPr>
            <w:tcW w:w="1710" w:type="dxa"/>
            <w:vAlign w:val="top"/>
          </w:tcPr>
          <w:p w14:paraId="61012845">
            <w:pPr>
              <w:kinsoku w:val="0"/>
              <w:autoSpaceDE w:val="0"/>
              <w:autoSpaceDN w:val="0"/>
              <w:adjustRightInd w:val="0"/>
              <w:snapToGrid w:val="0"/>
              <w:spacing w:before="48" w:line="234" w:lineRule="auto"/>
              <w:ind w:left="228" w:right="201" w:hanging="5"/>
              <w:jc w:val="both"/>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4"/>
                <w:kern w:val="0"/>
                <w:sz w:val="20"/>
                <w:szCs w:val="20"/>
                <w:lang w:val="en-US" w:eastAsia="en-US" w:bidi="ar-SA"/>
              </w:rPr>
              <w:t>符合要求</w:t>
            </w:r>
          </w:p>
        </w:tc>
      </w:tr>
      <w:tr w14:paraId="6E5C3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8" w:hRule="atLeast"/>
        </w:trPr>
        <w:tc>
          <w:tcPr>
            <w:tcW w:w="699" w:type="dxa"/>
            <w:vMerge w:val="restart"/>
            <w:vAlign w:val="top"/>
          </w:tcPr>
          <w:p w14:paraId="6B78B58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7DDC0EE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069274A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237E2D4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6A51B6C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42F2069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1692475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2462B80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52231F1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36E6016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591441F6">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137B5614">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6BAC2173">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3E5FA29F">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1AF43232">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5551A4F8">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4F755954">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36D3ECB9">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35DE8DD3">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66D281C8">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4DA09990">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721D07A8">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65D73D1F">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680CE77A">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6057A6FC">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18430D19">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5C0A5924">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7561C1D1">
            <w:pPr>
              <w:widowControl/>
              <w:kinsoku w:val="0"/>
              <w:autoSpaceDE w:val="0"/>
              <w:autoSpaceDN w:val="0"/>
              <w:adjustRightInd w:val="0"/>
              <w:snapToGrid w:val="0"/>
              <w:spacing w:before="57" w:line="195" w:lineRule="auto"/>
              <w:ind w:left="23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1</w:t>
            </w:r>
          </w:p>
        </w:tc>
        <w:tc>
          <w:tcPr>
            <w:tcW w:w="625" w:type="dxa"/>
            <w:vMerge w:val="restart"/>
            <w:vAlign w:val="top"/>
          </w:tcPr>
          <w:p w14:paraId="7B2911FC">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35494EE0">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391D66C">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BEFE7EF">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3468189">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577246FC">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5B3BDA82">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9C71D75">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5ADD0DCD">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103A677A">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699FD645">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420EEFC6">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42D54148">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4908A664">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4B0431A">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0C16BFC9">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777E712C">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D90E0C6">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7A172846">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2692292D">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2A03494">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035C9290">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7120C39D">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5D4CE216">
            <w:pPr>
              <w:kinsoku w:val="0"/>
              <w:autoSpaceDE w:val="0"/>
              <w:autoSpaceDN w:val="0"/>
              <w:adjustRightInd w:val="0"/>
              <w:snapToGrid w:val="0"/>
              <w:spacing w:before="65" w:line="255" w:lineRule="auto"/>
              <w:ind w:left="162" w:right="176"/>
              <w:jc w:val="both"/>
              <w:textAlignment w:val="baseline"/>
              <w:rPr>
                <w:rFonts w:ascii="宋体" w:hAnsi="宋体" w:eastAsia="宋体" w:cs="宋体"/>
                <w:snapToGrid w:val="0"/>
                <w:color w:val="000000"/>
                <w:spacing w:val="24"/>
                <w:w w:val="141"/>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加油</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加气</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站选</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址与</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总平</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面布</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置</w:t>
            </w:r>
          </w:p>
          <w:p w14:paraId="561E9B01">
            <w:pPr>
              <w:bidi w:val="0"/>
              <w:rPr>
                <w:rFonts w:ascii="Calibri" w:hAnsi="Calibri" w:eastAsia="宋体" w:cs="Calibri"/>
                <w:kern w:val="2"/>
                <w:sz w:val="21"/>
                <w:szCs w:val="21"/>
                <w:lang w:val="en-US" w:eastAsia="en-US" w:bidi="ar-SA"/>
              </w:rPr>
            </w:pPr>
          </w:p>
          <w:p w14:paraId="08B3970E">
            <w:pPr>
              <w:bidi w:val="0"/>
              <w:rPr>
                <w:lang w:val="en-US" w:eastAsia="en-US"/>
              </w:rPr>
            </w:pPr>
          </w:p>
          <w:p w14:paraId="77FE54CF">
            <w:pPr>
              <w:bidi w:val="0"/>
              <w:rPr>
                <w:lang w:val="en-US" w:eastAsia="en-US"/>
              </w:rPr>
            </w:pPr>
          </w:p>
          <w:p w14:paraId="7DE1DE6F">
            <w:pPr>
              <w:bidi w:val="0"/>
              <w:rPr>
                <w:lang w:val="en-US" w:eastAsia="en-US"/>
              </w:rPr>
            </w:pPr>
          </w:p>
          <w:p w14:paraId="1B4F28B1">
            <w:pPr>
              <w:bidi w:val="0"/>
              <w:rPr>
                <w:lang w:val="en-US" w:eastAsia="en-US"/>
              </w:rPr>
            </w:pPr>
          </w:p>
          <w:p w14:paraId="0CFC12D4">
            <w:pPr>
              <w:bidi w:val="0"/>
              <w:rPr>
                <w:lang w:val="en-US" w:eastAsia="en-US"/>
              </w:rPr>
            </w:pPr>
          </w:p>
          <w:p w14:paraId="15CB72C5">
            <w:pPr>
              <w:bidi w:val="0"/>
              <w:rPr>
                <w:lang w:val="en-US" w:eastAsia="en-US"/>
              </w:rPr>
            </w:pPr>
          </w:p>
          <w:p w14:paraId="14D4D20E">
            <w:pPr>
              <w:bidi w:val="0"/>
              <w:rPr>
                <w:lang w:val="en-US" w:eastAsia="en-US"/>
              </w:rPr>
            </w:pPr>
          </w:p>
          <w:p w14:paraId="40A1455A">
            <w:pPr>
              <w:bidi w:val="0"/>
              <w:rPr>
                <w:lang w:val="en-US" w:eastAsia="en-US"/>
              </w:rPr>
            </w:pPr>
          </w:p>
          <w:p w14:paraId="5F399B2D">
            <w:pPr>
              <w:bidi w:val="0"/>
              <w:rPr>
                <w:lang w:val="en-US" w:eastAsia="en-US"/>
              </w:rPr>
            </w:pPr>
          </w:p>
          <w:p w14:paraId="1559B802">
            <w:pPr>
              <w:bidi w:val="0"/>
              <w:rPr>
                <w:lang w:val="en-US" w:eastAsia="en-US"/>
              </w:rPr>
            </w:pPr>
          </w:p>
          <w:p w14:paraId="495B0961">
            <w:pPr>
              <w:bidi w:val="0"/>
              <w:rPr>
                <w:lang w:val="en-US" w:eastAsia="en-US"/>
              </w:rPr>
            </w:pPr>
          </w:p>
          <w:p w14:paraId="1D31B9A2">
            <w:pPr>
              <w:bidi w:val="0"/>
              <w:rPr>
                <w:lang w:val="en-US" w:eastAsia="en-US"/>
              </w:rPr>
            </w:pPr>
          </w:p>
          <w:p w14:paraId="7CB839EC">
            <w:pPr>
              <w:bidi w:val="0"/>
              <w:rPr>
                <w:lang w:val="en-US" w:eastAsia="en-US"/>
              </w:rPr>
            </w:pPr>
          </w:p>
          <w:p w14:paraId="4D5CB243">
            <w:pPr>
              <w:bidi w:val="0"/>
              <w:jc w:val="left"/>
              <w:rPr>
                <w:lang w:val="en-US" w:eastAsia="en-US"/>
              </w:rPr>
            </w:pPr>
          </w:p>
        </w:tc>
        <w:tc>
          <w:tcPr>
            <w:tcW w:w="4745" w:type="dxa"/>
            <w:gridSpan w:val="2"/>
            <w:vAlign w:val="top"/>
          </w:tcPr>
          <w:p w14:paraId="18ECD542">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495C0EB3">
            <w:pPr>
              <w:kinsoku w:val="0"/>
              <w:autoSpaceDE w:val="0"/>
              <w:autoSpaceDN w:val="0"/>
              <w:adjustRightInd w:val="0"/>
              <w:snapToGrid w:val="0"/>
              <w:spacing w:before="65" w:line="244" w:lineRule="auto"/>
              <w:ind w:left="120" w:right="98" w:hanging="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1</w:t>
            </w:r>
            <w:r>
              <w:rPr>
                <w:rFonts w:ascii="宋体" w:hAnsi="宋体" w:eastAsia="宋体" w:cs="宋体"/>
                <w:snapToGrid w:val="0"/>
                <w:color w:val="000000"/>
                <w:spacing w:val="10"/>
                <w:kern w:val="0"/>
                <w:sz w:val="20"/>
                <w:szCs w:val="20"/>
                <w:lang w:val="en-US" w:eastAsia="en-US" w:bidi="ar-SA"/>
              </w:rPr>
              <w:t>）站址选择应符合有关规划、环境保护和防火安全</w:t>
            </w:r>
            <w:r>
              <w:rPr>
                <w:rFonts w:ascii="宋体" w:hAnsi="宋体" w:eastAsia="宋体" w:cs="宋体"/>
                <w:snapToGrid w:val="0"/>
                <w:color w:val="000000"/>
                <w:spacing w:val="8"/>
                <w:kern w:val="0"/>
                <w:sz w:val="20"/>
                <w:szCs w:val="20"/>
                <w:lang w:val="en-US" w:eastAsia="en-US" w:bidi="ar-SA"/>
              </w:rPr>
              <w:t>的要求，并应选在交通便利、用户使用方便的地点。</w:t>
            </w:r>
          </w:p>
        </w:tc>
        <w:tc>
          <w:tcPr>
            <w:tcW w:w="1710" w:type="dxa"/>
            <w:vAlign w:val="top"/>
          </w:tcPr>
          <w:p w14:paraId="52B8C59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both"/>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符合规划保、</w:t>
            </w:r>
            <w:r>
              <w:rPr>
                <w:rFonts w:ascii="宋体" w:hAnsi="宋体" w:eastAsia="宋体" w:cs="宋体"/>
                <w:snapToGrid w:val="0"/>
                <w:color w:val="000000"/>
                <w:spacing w:val="5"/>
                <w:kern w:val="0"/>
                <w:sz w:val="20"/>
                <w:szCs w:val="20"/>
                <w:lang w:val="en-US" w:eastAsia="en-US" w:bidi="ar-SA"/>
              </w:rPr>
              <w:t>防火安全要求，</w:t>
            </w:r>
            <w:r>
              <w:rPr>
                <w:rFonts w:ascii="宋体" w:hAnsi="宋体" w:eastAsia="宋体" w:cs="宋体"/>
                <w:snapToGrid w:val="0"/>
                <w:color w:val="000000"/>
                <w:spacing w:val="8"/>
                <w:kern w:val="0"/>
                <w:sz w:val="20"/>
                <w:szCs w:val="20"/>
                <w:lang w:val="en-US" w:eastAsia="en-US" w:bidi="ar-SA"/>
              </w:rPr>
              <w:t>交通便利，靠近</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县道</w:t>
            </w:r>
          </w:p>
        </w:tc>
        <w:tc>
          <w:tcPr>
            <w:tcW w:w="1710" w:type="dxa"/>
            <w:vAlign w:val="top"/>
          </w:tcPr>
          <w:p w14:paraId="42A88310">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73979DB5">
            <w:pPr>
              <w:kinsoku w:val="0"/>
              <w:autoSpaceDE w:val="0"/>
              <w:autoSpaceDN w:val="0"/>
              <w:adjustRightInd w:val="0"/>
              <w:snapToGrid w:val="0"/>
              <w:spacing w:before="65"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A3C9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2536B72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A24D3B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64194F7">
            <w:pPr>
              <w:kinsoku w:val="0"/>
              <w:autoSpaceDE w:val="0"/>
              <w:autoSpaceDN w:val="0"/>
              <w:adjustRightInd w:val="0"/>
              <w:snapToGrid w:val="0"/>
              <w:spacing w:before="196"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）在城市建成区不应建一级加油站。</w:t>
            </w:r>
          </w:p>
        </w:tc>
        <w:tc>
          <w:tcPr>
            <w:tcW w:w="1710" w:type="dxa"/>
            <w:vAlign w:val="top"/>
          </w:tcPr>
          <w:p w14:paraId="23C360FA">
            <w:pPr>
              <w:kinsoku w:val="0"/>
              <w:autoSpaceDE w:val="0"/>
              <w:autoSpaceDN w:val="0"/>
              <w:adjustRightInd w:val="0"/>
              <w:snapToGrid w:val="0"/>
              <w:spacing w:before="196" w:line="230" w:lineRule="auto"/>
              <w:ind w:left="131"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属于三级加油站</w:t>
            </w:r>
          </w:p>
        </w:tc>
        <w:tc>
          <w:tcPr>
            <w:tcW w:w="1710" w:type="dxa"/>
            <w:vAlign w:val="top"/>
          </w:tcPr>
          <w:p w14:paraId="455B7F69">
            <w:pPr>
              <w:kinsoku w:val="0"/>
              <w:autoSpaceDE w:val="0"/>
              <w:autoSpaceDN w:val="0"/>
              <w:adjustRightInd w:val="0"/>
              <w:snapToGrid w:val="0"/>
              <w:spacing w:before="55" w:line="229"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9CA7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4135421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29927A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6C48CB5">
            <w:pPr>
              <w:kinsoku w:val="0"/>
              <w:autoSpaceDE w:val="0"/>
              <w:autoSpaceDN w:val="0"/>
              <w:adjustRightInd w:val="0"/>
              <w:snapToGrid w:val="0"/>
              <w:spacing w:before="57" w:line="228" w:lineRule="auto"/>
              <w:ind w:left="103" w:right="98"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3</w:t>
            </w:r>
            <w:r>
              <w:rPr>
                <w:rFonts w:ascii="宋体" w:hAnsi="宋体" w:eastAsia="宋体" w:cs="宋体"/>
                <w:snapToGrid w:val="0"/>
                <w:color w:val="000000"/>
                <w:spacing w:val="10"/>
                <w:kern w:val="0"/>
                <w:sz w:val="20"/>
                <w:szCs w:val="20"/>
                <w:lang w:val="en-US" w:eastAsia="en-US" w:bidi="ar-SA"/>
              </w:rPr>
              <w:t>）城市建成区内的加油站宜靠近城市道路，但不宜</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选在城市干道的交叉路口附近。</w:t>
            </w:r>
          </w:p>
        </w:tc>
        <w:tc>
          <w:tcPr>
            <w:tcW w:w="1710" w:type="dxa"/>
            <w:vAlign w:val="top"/>
          </w:tcPr>
          <w:p w14:paraId="0F278B72">
            <w:pPr>
              <w:keepNext w:val="0"/>
              <w:keepLines w:val="0"/>
              <w:pageBreakBefore w:val="0"/>
              <w:widowControl/>
              <w:kinsoku w:val="0"/>
              <w:wordWrap/>
              <w:overflowPunct/>
              <w:topLinePunct w:val="0"/>
              <w:autoSpaceDE w:val="0"/>
              <w:autoSpaceDN w:val="0"/>
              <w:bidi w:val="0"/>
              <w:adjustRightInd w:val="0"/>
              <w:snapToGrid w:val="0"/>
              <w:spacing w:before="57" w:line="240" w:lineRule="auto"/>
              <w:ind w:left="130" w:leftChars="0" w:right="108"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不在城市干道交</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叉路口</w:t>
            </w:r>
          </w:p>
        </w:tc>
        <w:tc>
          <w:tcPr>
            <w:tcW w:w="1710" w:type="dxa"/>
            <w:vAlign w:val="top"/>
          </w:tcPr>
          <w:p w14:paraId="690FF798">
            <w:pPr>
              <w:kinsoku w:val="0"/>
              <w:autoSpaceDE w:val="0"/>
              <w:autoSpaceDN w:val="0"/>
              <w:adjustRightInd w:val="0"/>
              <w:snapToGrid w:val="0"/>
              <w:spacing w:before="57" w:line="228"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6C1B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5664E48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5E821C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24CEA78">
            <w:pPr>
              <w:kinsoku w:val="0"/>
              <w:autoSpaceDE w:val="0"/>
              <w:autoSpaceDN w:val="0"/>
              <w:adjustRightInd w:val="0"/>
              <w:snapToGrid w:val="0"/>
              <w:spacing w:before="59" w:line="237" w:lineRule="auto"/>
              <w:ind w:left="103" w:right="100"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4</w:t>
            </w:r>
            <w:r>
              <w:rPr>
                <w:rFonts w:ascii="宋体" w:hAnsi="宋体" w:eastAsia="宋体" w:cs="宋体"/>
                <w:snapToGrid w:val="0"/>
                <w:color w:val="000000"/>
                <w:spacing w:val="10"/>
                <w:kern w:val="0"/>
                <w:sz w:val="20"/>
                <w:szCs w:val="20"/>
                <w:lang w:val="en-US" w:eastAsia="en-US" w:bidi="ar-SA"/>
              </w:rPr>
              <w:t>）加油站的油罐、加油机和通气管管口与站外建、</w:t>
            </w:r>
            <w:r>
              <w:rPr>
                <w:rFonts w:ascii="宋体" w:hAnsi="宋体" w:eastAsia="宋体" w:cs="宋体"/>
                <w:snapToGrid w:val="0"/>
                <w:color w:val="000000"/>
                <w:spacing w:val="6"/>
                <w:kern w:val="0"/>
                <w:sz w:val="20"/>
                <w:szCs w:val="20"/>
                <w:lang w:val="en-US" w:eastAsia="en-US" w:bidi="ar-SA"/>
              </w:rPr>
              <w:t>构筑物的防火距离，不应小于《汽车加油加气站设计与施工规范》表</w:t>
            </w:r>
            <w:r>
              <w:rPr>
                <w:rFonts w:ascii="Times New Roman" w:hAnsi="Times New Roman" w:eastAsia="Times New Roman" w:cs="Times New Roman"/>
                <w:snapToGrid w:val="0"/>
                <w:color w:val="000000"/>
                <w:spacing w:val="6"/>
                <w:kern w:val="0"/>
                <w:sz w:val="20"/>
                <w:szCs w:val="20"/>
                <w:lang w:val="en-US" w:eastAsia="en-US" w:bidi="ar-SA"/>
              </w:rPr>
              <w:t>4.0.4</w:t>
            </w:r>
            <w:r>
              <w:rPr>
                <w:rFonts w:ascii="宋体" w:hAnsi="宋体" w:eastAsia="宋体" w:cs="宋体"/>
                <w:snapToGrid w:val="0"/>
                <w:color w:val="000000"/>
                <w:spacing w:val="6"/>
                <w:kern w:val="0"/>
                <w:sz w:val="20"/>
                <w:szCs w:val="20"/>
                <w:lang w:val="en-US" w:eastAsia="en-US" w:bidi="ar-SA"/>
              </w:rPr>
              <w:t>和表</w:t>
            </w:r>
            <w:r>
              <w:rPr>
                <w:rFonts w:ascii="Times New Roman" w:hAnsi="Times New Roman" w:eastAsia="Times New Roman" w:cs="Times New Roman"/>
                <w:snapToGrid w:val="0"/>
                <w:color w:val="000000"/>
                <w:spacing w:val="6"/>
                <w:kern w:val="0"/>
                <w:sz w:val="20"/>
                <w:szCs w:val="20"/>
                <w:lang w:val="en-US" w:eastAsia="en-US" w:bidi="ar-SA"/>
              </w:rPr>
              <w:t>4.0.5</w:t>
            </w:r>
            <w:r>
              <w:rPr>
                <w:rFonts w:ascii="宋体" w:hAnsi="宋体" w:eastAsia="宋体" w:cs="宋体"/>
                <w:snapToGrid w:val="0"/>
                <w:color w:val="000000"/>
                <w:spacing w:val="6"/>
                <w:kern w:val="0"/>
                <w:sz w:val="20"/>
                <w:szCs w:val="20"/>
                <w:lang w:val="en-US" w:eastAsia="en-US" w:bidi="ar-SA"/>
              </w:rPr>
              <w:t>的规定</w:t>
            </w:r>
          </w:p>
        </w:tc>
        <w:tc>
          <w:tcPr>
            <w:tcW w:w="1710" w:type="dxa"/>
            <w:vAlign w:val="top"/>
          </w:tcPr>
          <w:p w14:paraId="631895B6">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56A513F0">
            <w:pPr>
              <w:kinsoku w:val="0"/>
              <w:autoSpaceDE w:val="0"/>
              <w:autoSpaceDN w:val="0"/>
              <w:adjustRightInd w:val="0"/>
              <w:snapToGrid w:val="0"/>
              <w:spacing w:before="65" w:line="228" w:lineRule="auto"/>
              <w:jc w:val="center"/>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符合</w:t>
            </w:r>
          </w:p>
        </w:tc>
        <w:tc>
          <w:tcPr>
            <w:tcW w:w="1710" w:type="dxa"/>
            <w:vAlign w:val="top"/>
          </w:tcPr>
          <w:p w14:paraId="4DD64F7D">
            <w:pPr>
              <w:kinsoku w:val="0"/>
              <w:autoSpaceDE w:val="0"/>
              <w:autoSpaceDN w:val="0"/>
              <w:adjustRightInd w:val="0"/>
              <w:snapToGrid w:val="0"/>
              <w:spacing w:before="202"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2155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3A29822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CA453A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F15E1E0">
            <w:pPr>
              <w:kinsoku w:val="0"/>
              <w:autoSpaceDE w:val="0"/>
              <w:autoSpaceDN w:val="0"/>
              <w:adjustRightInd w:val="0"/>
              <w:snapToGrid w:val="0"/>
              <w:spacing w:before="207"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5</w:t>
            </w:r>
            <w:r>
              <w:rPr>
                <w:rFonts w:ascii="宋体" w:hAnsi="宋体" w:eastAsia="宋体" w:cs="宋体"/>
                <w:snapToGrid w:val="0"/>
                <w:color w:val="000000"/>
                <w:spacing w:val="8"/>
                <w:kern w:val="0"/>
                <w:sz w:val="20"/>
                <w:szCs w:val="20"/>
                <w:lang w:val="en-US" w:eastAsia="en-US" w:bidi="ar-SA"/>
              </w:rPr>
              <w:t>）架空电力线路是否跨越加油站的作业区。</w:t>
            </w:r>
          </w:p>
        </w:tc>
        <w:tc>
          <w:tcPr>
            <w:tcW w:w="1710" w:type="dxa"/>
            <w:vAlign w:val="top"/>
          </w:tcPr>
          <w:p w14:paraId="3C67606B">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不涉及架空电力线路跨越加油站</w:t>
            </w:r>
          </w:p>
        </w:tc>
        <w:tc>
          <w:tcPr>
            <w:tcW w:w="1710" w:type="dxa"/>
            <w:vAlign w:val="top"/>
          </w:tcPr>
          <w:p w14:paraId="352B0136">
            <w:pPr>
              <w:kinsoku w:val="0"/>
              <w:autoSpaceDE w:val="0"/>
              <w:autoSpaceDN w:val="0"/>
              <w:adjustRightInd w:val="0"/>
              <w:snapToGrid w:val="0"/>
              <w:spacing w:before="64" w:line="225" w:lineRule="auto"/>
              <w:ind w:left="230" w:right="199" w:hanging="3"/>
              <w:jc w:val="left"/>
              <w:textAlignment w:val="baseline"/>
              <w:rPr>
                <w:rFonts w:hint="eastAsia" w:ascii="MS UI Gothic" w:hAnsi="MS UI Gothic" w:eastAsia="宋体" w:cs="MS UI Gothic"/>
                <w:snapToGrid w:val="0"/>
                <w:color w:val="000000"/>
                <w:kern w:val="0"/>
                <w:sz w:val="20"/>
                <w:szCs w:val="20"/>
                <w:lang w:val="en-US" w:eastAsia="zh-CN" w:bidi="ar-SA"/>
              </w:rPr>
            </w:pPr>
            <w:r>
              <w:rPr>
                <w:rFonts w:hint="eastAsia" w:ascii="宋体" w:hAnsi="宋体" w:eastAsia="宋体" w:cs="宋体"/>
                <w:snapToGrid w:val="0"/>
                <w:color w:val="000000"/>
                <w:spacing w:val="3"/>
                <w:kern w:val="0"/>
                <w:sz w:val="20"/>
                <w:szCs w:val="20"/>
                <w:lang w:val="en-US" w:eastAsia="en-US" w:bidi="ar-SA"/>
              </w:rPr>
              <w:t>符合要求</w:t>
            </w:r>
          </w:p>
        </w:tc>
      </w:tr>
      <w:tr w14:paraId="66869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14B65BD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6BE32F9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63D87C8">
            <w:pPr>
              <w:kinsoku w:val="0"/>
              <w:autoSpaceDE w:val="0"/>
              <w:autoSpaceDN w:val="0"/>
              <w:adjustRightInd w:val="0"/>
              <w:snapToGrid w:val="0"/>
              <w:spacing w:before="208" w:line="245" w:lineRule="auto"/>
              <w:ind w:left="106" w:right="98"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6</w:t>
            </w:r>
            <w:r>
              <w:rPr>
                <w:rFonts w:ascii="宋体" w:hAnsi="宋体" w:eastAsia="宋体" w:cs="宋体"/>
                <w:snapToGrid w:val="0"/>
                <w:color w:val="000000"/>
                <w:spacing w:val="10"/>
                <w:kern w:val="0"/>
                <w:sz w:val="20"/>
                <w:szCs w:val="20"/>
                <w:lang w:val="en-US" w:eastAsia="en-US" w:bidi="ar-SA"/>
              </w:rPr>
              <w:t>）与加油站无关的可燃介质管道是否穿越车加油站</w:t>
            </w:r>
            <w:r>
              <w:rPr>
                <w:rFonts w:ascii="宋体" w:hAnsi="宋体" w:eastAsia="宋体" w:cs="宋体"/>
                <w:snapToGrid w:val="0"/>
                <w:color w:val="000000"/>
                <w:spacing w:val="5"/>
                <w:kern w:val="0"/>
                <w:sz w:val="20"/>
                <w:szCs w:val="20"/>
                <w:lang w:val="en-US" w:eastAsia="en-US" w:bidi="ar-SA"/>
              </w:rPr>
              <w:t>用地范围。</w:t>
            </w:r>
          </w:p>
        </w:tc>
        <w:tc>
          <w:tcPr>
            <w:tcW w:w="1710" w:type="dxa"/>
            <w:vAlign w:val="top"/>
          </w:tcPr>
          <w:p w14:paraId="1CF3425B">
            <w:pPr>
              <w:kinsoku w:val="0"/>
              <w:autoSpaceDE w:val="0"/>
              <w:autoSpaceDN w:val="0"/>
              <w:adjustRightInd w:val="0"/>
              <w:snapToGrid w:val="0"/>
              <w:spacing w:before="69" w:line="229" w:lineRule="auto"/>
              <w:ind w:left="13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不涉及无关的可</w:t>
            </w:r>
          </w:p>
          <w:p w14:paraId="36BBC35D">
            <w:pPr>
              <w:kinsoku w:val="0"/>
              <w:autoSpaceDE w:val="0"/>
              <w:autoSpaceDN w:val="0"/>
              <w:adjustRightInd w:val="0"/>
              <w:snapToGrid w:val="0"/>
              <w:spacing w:before="32" w:line="228" w:lineRule="auto"/>
              <w:ind w:left="129"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燃介质管道穿越</w:t>
            </w:r>
            <w:r>
              <w:rPr>
                <w:rFonts w:ascii="宋体" w:hAnsi="宋体" w:eastAsia="宋体" w:cs="宋体"/>
                <w:snapToGrid w:val="0"/>
                <w:color w:val="000000"/>
                <w:spacing w:val="6"/>
                <w:kern w:val="0"/>
                <w:sz w:val="20"/>
                <w:szCs w:val="20"/>
                <w:lang w:val="en-US" w:eastAsia="en-US" w:bidi="ar-SA"/>
              </w:rPr>
              <w:t>加油站</w:t>
            </w:r>
          </w:p>
        </w:tc>
        <w:tc>
          <w:tcPr>
            <w:tcW w:w="1710" w:type="dxa"/>
            <w:vAlign w:val="top"/>
          </w:tcPr>
          <w:p w14:paraId="164ACDB6">
            <w:pPr>
              <w:kinsoku w:val="0"/>
              <w:autoSpaceDE w:val="0"/>
              <w:autoSpaceDN w:val="0"/>
              <w:adjustRightInd w:val="0"/>
              <w:snapToGrid w:val="0"/>
              <w:spacing w:before="208" w:line="245" w:lineRule="auto"/>
              <w:ind w:left="230" w:right="199" w:hanging="3"/>
              <w:jc w:val="left"/>
              <w:textAlignment w:val="baseline"/>
              <w:rPr>
                <w:rFonts w:hint="eastAsia" w:ascii="MS UI Gothic" w:hAnsi="MS UI Gothic" w:eastAsia="宋体" w:cs="MS UI Gothic"/>
                <w:snapToGrid w:val="0"/>
                <w:color w:val="000000"/>
                <w:kern w:val="0"/>
                <w:sz w:val="20"/>
                <w:szCs w:val="20"/>
                <w:lang w:val="en-US" w:eastAsia="zh-CN" w:bidi="ar-SA"/>
              </w:rPr>
            </w:pPr>
            <w:r>
              <w:rPr>
                <w:rFonts w:hint="eastAsia" w:ascii="宋体" w:hAnsi="宋体" w:eastAsia="宋体" w:cs="宋体"/>
                <w:snapToGrid w:val="0"/>
                <w:color w:val="000000"/>
                <w:spacing w:val="3"/>
                <w:kern w:val="0"/>
                <w:sz w:val="20"/>
                <w:szCs w:val="20"/>
                <w:lang w:val="en-US" w:eastAsia="en-US" w:bidi="ar-SA"/>
              </w:rPr>
              <w:t>符合要求</w:t>
            </w:r>
          </w:p>
        </w:tc>
      </w:tr>
      <w:tr w14:paraId="35654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6ECC506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37B1B3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463B85B">
            <w:pPr>
              <w:kinsoku w:val="0"/>
              <w:autoSpaceDE w:val="0"/>
              <w:autoSpaceDN w:val="0"/>
              <w:adjustRightInd w:val="0"/>
              <w:snapToGrid w:val="0"/>
              <w:spacing w:before="75" w:line="220" w:lineRule="auto"/>
              <w:ind w:left="110" w:right="98" w:firstLine="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7</w:t>
            </w:r>
            <w:r>
              <w:rPr>
                <w:rFonts w:ascii="宋体" w:hAnsi="宋体" w:eastAsia="宋体" w:cs="宋体"/>
                <w:snapToGrid w:val="0"/>
                <w:color w:val="000000"/>
                <w:spacing w:val="10"/>
                <w:kern w:val="0"/>
                <w:sz w:val="20"/>
                <w:szCs w:val="20"/>
                <w:lang w:val="en-US" w:eastAsia="en-US" w:bidi="ar-SA"/>
              </w:rPr>
              <w:t>）加油站内设施、装置之间的防火距离，不应小于</w:t>
            </w:r>
            <w:r>
              <w:rPr>
                <w:rFonts w:ascii="宋体" w:hAnsi="宋体" w:eastAsia="宋体" w:cs="宋体"/>
                <w:snapToGrid w:val="0"/>
                <w:color w:val="000000"/>
                <w:spacing w:val="7"/>
                <w:kern w:val="0"/>
                <w:sz w:val="20"/>
                <w:szCs w:val="20"/>
                <w:lang w:val="en-US" w:eastAsia="en-US" w:bidi="ar-SA"/>
              </w:rPr>
              <w:t>《汽车加油加气站设计与施工规范》表</w:t>
            </w:r>
            <w:r>
              <w:rPr>
                <w:rFonts w:ascii="Times New Roman" w:hAnsi="Times New Roman" w:eastAsia="Times New Roman" w:cs="Times New Roman"/>
                <w:snapToGrid w:val="0"/>
                <w:color w:val="000000"/>
                <w:spacing w:val="7"/>
                <w:kern w:val="0"/>
                <w:sz w:val="20"/>
                <w:szCs w:val="20"/>
                <w:lang w:val="en-US" w:eastAsia="en-US" w:bidi="ar-SA"/>
              </w:rPr>
              <w:t>5.</w:t>
            </w:r>
            <w:r>
              <w:rPr>
                <w:rFonts w:ascii="Times New Roman" w:hAnsi="Times New Roman" w:eastAsia="Times New Roman" w:cs="Times New Roman"/>
                <w:snapToGrid w:val="0"/>
                <w:color w:val="000000"/>
                <w:spacing w:val="6"/>
                <w:kern w:val="0"/>
                <w:sz w:val="20"/>
                <w:szCs w:val="20"/>
                <w:lang w:val="en-US" w:eastAsia="en-US" w:bidi="ar-SA"/>
              </w:rPr>
              <w:t>0.13</w:t>
            </w:r>
            <w:r>
              <w:rPr>
                <w:rFonts w:ascii="宋体" w:hAnsi="宋体" w:eastAsia="宋体" w:cs="宋体"/>
                <w:snapToGrid w:val="0"/>
                <w:color w:val="000000"/>
                <w:spacing w:val="6"/>
                <w:kern w:val="0"/>
                <w:sz w:val="20"/>
                <w:szCs w:val="20"/>
                <w:lang w:val="en-US" w:eastAsia="en-US" w:bidi="ar-SA"/>
              </w:rPr>
              <w:t>规定。</w:t>
            </w:r>
          </w:p>
        </w:tc>
        <w:tc>
          <w:tcPr>
            <w:tcW w:w="1710" w:type="dxa"/>
            <w:vAlign w:val="top"/>
          </w:tcPr>
          <w:p w14:paraId="776D13E6">
            <w:pPr>
              <w:kinsoku w:val="0"/>
              <w:autoSpaceDE w:val="0"/>
              <w:autoSpaceDN w:val="0"/>
              <w:adjustRightInd w:val="0"/>
              <w:snapToGrid w:val="0"/>
              <w:spacing w:before="213" w:line="228" w:lineRule="auto"/>
              <w:jc w:val="center"/>
              <w:textAlignment w:val="baseline"/>
              <w:rPr>
                <w:rFonts w:hint="eastAsia" w:ascii="宋体" w:hAnsi="宋体" w:eastAsia="宋体" w:cs="宋体"/>
                <w:snapToGrid w:val="0"/>
                <w:color w:val="000000"/>
                <w:kern w:val="0"/>
                <w:sz w:val="20"/>
                <w:szCs w:val="20"/>
                <w:lang w:val="en-US" w:eastAsia="zh-CN" w:bidi="ar-SA"/>
              </w:rPr>
            </w:pPr>
            <w:r>
              <w:rPr>
                <w:rFonts w:ascii="宋体" w:hAnsi="宋体" w:eastAsia="宋体" w:cs="宋体"/>
                <w:snapToGrid w:val="0"/>
                <w:color w:val="000000"/>
                <w:spacing w:val="2"/>
                <w:kern w:val="0"/>
                <w:sz w:val="20"/>
                <w:szCs w:val="20"/>
                <w:lang w:val="en-US" w:eastAsia="en-US" w:bidi="ar-SA"/>
              </w:rPr>
              <w:t>符合</w:t>
            </w:r>
          </w:p>
        </w:tc>
        <w:tc>
          <w:tcPr>
            <w:tcW w:w="1710" w:type="dxa"/>
            <w:vAlign w:val="top"/>
          </w:tcPr>
          <w:p w14:paraId="3AD4B5A6">
            <w:pPr>
              <w:kinsoku w:val="0"/>
              <w:autoSpaceDE w:val="0"/>
              <w:autoSpaceDN w:val="0"/>
              <w:adjustRightInd w:val="0"/>
              <w:snapToGrid w:val="0"/>
              <w:spacing w:before="75" w:line="220"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6514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75" w:hRule="atLeast"/>
        </w:trPr>
        <w:tc>
          <w:tcPr>
            <w:tcW w:w="699" w:type="dxa"/>
            <w:vMerge w:val="continue"/>
            <w:vAlign w:val="top"/>
          </w:tcPr>
          <w:p w14:paraId="0F86A00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068B8E2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C73BD3A">
            <w:pPr>
              <w:kinsoku w:val="0"/>
              <w:autoSpaceDE w:val="0"/>
              <w:autoSpaceDN w:val="0"/>
              <w:adjustRightInd w:val="0"/>
              <w:snapToGrid w:val="0"/>
              <w:spacing w:before="79" w:line="244" w:lineRule="auto"/>
              <w:ind w:left="104" w:right="98"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8</w:t>
            </w:r>
            <w:r>
              <w:rPr>
                <w:rFonts w:ascii="宋体" w:hAnsi="宋体" w:eastAsia="宋体" w:cs="宋体"/>
                <w:snapToGrid w:val="0"/>
                <w:color w:val="000000"/>
                <w:spacing w:val="8"/>
                <w:kern w:val="0"/>
                <w:sz w:val="20"/>
                <w:szCs w:val="20"/>
                <w:lang w:val="en-US" w:eastAsia="en-US" w:bidi="ar-SA"/>
              </w:rPr>
              <w:t>）加油工艺设施与站外建、构筑物之间</w:t>
            </w:r>
            <w:r>
              <w:rPr>
                <w:rFonts w:ascii="Times New Roman" w:hAnsi="Times New Roman" w:eastAsia="Times New Roman" w:cs="Times New Roman"/>
                <w:snapToGrid w:val="0"/>
                <w:color w:val="000000"/>
                <w:spacing w:val="8"/>
                <w:kern w:val="0"/>
                <w:sz w:val="20"/>
                <w:szCs w:val="20"/>
                <w:lang w:val="en-US" w:eastAsia="en-US" w:bidi="ar-SA"/>
              </w:rPr>
              <w:t>,</w:t>
            </w:r>
            <w:r>
              <w:rPr>
                <w:rFonts w:ascii="宋体" w:hAnsi="宋体" w:eastAsia="宋体" w:cs="宋体"/>
                <w:snapToGrid w:val="0"/>
                <w:color w:val="000000"/>
                <w:spacing w:val="8"/>
                <w:kern w:val="0"/>
                <w:sz w:val="20"/>
                <w:szCs w:val="20"/>
                <w:lang w:val="en-US" w:eastAsia="en-US" w:bidi="ar-SA"/>
              </w:rPr>
              <w:t>宜设置高度</w:t>
            </w:r>
            <w:r>
              <w:rPr>
                <w:rFonts w:ascii="宋体" w:hAnsi="宋体" w:eastAsia="宋体" w:cs="宋体"/>
                <w:snapToGrid w:val="0"/>
                <w:color w:val="000000"/>
                <w:spacing w:val="11"/>
                <w:kern w:val="0"/>
                <w:sz w:val="20"/>
                <w:szCs w:val="20"/>
                <w:lang w:val="en-US" w:eastAsia="en-US" w:bidi="ar-SA"/>
              </w:rPr>
              <w:t>不低于</w:t>
            </w:r>
            <w:r>
              <w:rPr>
                <w:rFonts w:ascii="Times New Roman" w:hAnsi="Times New Roman" w:eastAsia="Times New Roman" w:cs="Times New Roman"/>
                <w:snapToGrid w:val="0"/>
                <w:color w:val="000000"/>
                <w:spacing w:val="11"/>
                <w:kern w:val="0"/>
                <w:sz w:val="20"/>
                <w:szCs w:val="20"/>
                <w:lang w:val="en-US" w:eastAsia="en-US" w:bidi="ar-SA"/>
              </w:rPr>
              <w:t>2.2m</w:t>
            </w:r>
            <w:r>
              <w:rPr>
                <w:rFonts w:ascii="宋体" w:hAnsi="宋体" w:eastAsia="宋体" w:cs="宋体"/>
                <w:snapToGrid w:val="0"/>
                <w:color w:val="000000"/>
                <w:spacing w:val="11"/>
                <w:kern w:val="0"/>
                <w:sz w:val="20"/>
                <w:szCs w:val="20"/>
                <w:lang w:val="en-US" w:eastAsia="en-US" w:bidi="ar-SA"/>
              </w:rPr>
              <w:t>的不燃烧实体围墙。当加油站的工艺设备</w:t>
            </w:r>
            <w:r>
              <w:rPr>
                <w:rFonts w:ascii="宋体" w:hAnsi="宋体" w:eastAsia="宋体" w:cs="宋体"/>
                <w:snapToGrid w:val="0"/>
                <w:color w:val="000000"/>
                <w:spacing w:val="6"/>
                <w:kern w:val="0"/>
                <w:sz w:val="20"/>
                <w:szCs w:val="20"/>
                <w:lang w:val="en-US" w:eastAsia="en-US" w:bidi="ar-SA"/>
              </w:rPr>
              <w:t>与站外建、构筑物之间的距离大于《汽车加油加气站设</w:t>
            </w:r>
            <w:r>
              <w:rPr>
                <w:rFonts w:ascii="宋体" w:hAnsi="宋体" w:eastAsia="宋体" w:cs="宋体"/>
                <w:snapToGrid w:val="0"/>
                <w:color w:val="000000"/>
                <w:spacing w:val="17"/>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计与施工规范》中表</w:t>
            </w:r>
            <w:r>
              <w:rPr>
                <w:rFonts w:ascii="Times New Roman" w:hAnsi="Times New Roman" w:eastAsia="Times New Roman" w:cs="Times New Roman"/>
                <w:snapToGrid w:val="0"/>
                <w:color w:val="000000"/>
                <w:spacing w:val="6"/>
                <w:kern w:val="0"/>
                <w:sz w:val="20"/>
                <w:szCs w:val="20"/>
                <w:lang w:val="en-US" w:eastAsia="en-US" w:bidi="ar-SA"/>
              </w:rPr>
              <w:t>4.0.4-</w:t>
            </w:r>
            <w:r>
              <w:rPr>
                <w:rFonts w:ascii="宋体" w:hAnsi="宋体" w:eastAsia="宋体" w:cs="宋体"/>
                <w:snapToGrid w:val="0"/>
                <w:color w:val="000000"/>
                <w:spacing w:val="6"/>
                <w:kern w:val="0"/>
                <w:sz w:val="20"/>
                <w:szCs w:val="20"/>
                <w:lang w:val="en-US" w:eastAsia="en-US" w:bidi="ar-SA"/>
              </w:rPr>
              <w:t>表</w:t>
            </w:r>
            <w:r>
              <w:rPr>
                <w:rFonts w:ascii="Times New Roman" w:hAnsi="Times New Roman" w:eastAsia="Times New Roman" w:cs="Times New Roman"/>
                <w:snapToGrid w:val="0"/>
                <w:color w:val="000000"/>
                <w:spacing w:val="6"/>
                <w:kern w:val="0"/>
                <w:sz w:val="20"/>
                <w:szCs w:val="20"/>
                <w:lang w:val="en-US" w:eastAsia="en-US" w:bidi="ar-SA"/>
              </w:rPr>
              <w:t>4.0.9</w:t>
            </w:r>
            <w:r>
              <w:rPr>
                <w:rFonts w:ascii="宋体" w:hAnsi="宋体" w:eastAsia="宋体" w:cs="宋体"/>
                <w:snapToGrid w:val="0"/>
                <w:color w:val="000000"/>
                <w:spacing w:val="6"/>
                <w:kern w:val="0"/>
                <w:sz w:val="20"/>
                <w:szCs w:val="20"/>
                <w:lang w:val="en-US" w:eastAsia="en-US" w:bidi="ar-SA"/>
              </w:rPr>
              <w:t>中安全间距的</w:t>
            </w:r>
            <w:r>
              <w:rPr>
                <w:rFonts w:ascii="Times New Roman" w:hAnsi="Times New Roman" w:eastAsia="Times New Roman" w:cs="Times New Roman"/>
                <w:snapToGrid w:val="0"/>
                <w:color w:val="000000"/>
                <w:spacing w:val="6"/>
                <w:kern w:val="0"/>
                <w:sz w:val="20"/>
                <w:szCs w:val="20"/>
                <w:lang w:val="en-US" w:eastAsia="en-US" w:bidi="ar-SA"/>
              </w:rPr>
              <w:t>1.5</w:t>
            </w:r>
            <w:r>
              <w:rPr>
                <w:rFonts w:ascii="宋体" w:hAnsi="宋体" w:eastAsia="宋体" w:cs="宋体"/>
                <w:snapToGrid w:val="0"/>
                <w:color w:val="000000"/>
                <w:spacing w:val="6"/>
                <w:kern w:val="0"/>
                <w:sz w:val="20"/>
                <w:szCs w:val="20"/>
                <w:lang w:val="en-US" w:eastAsia="en-US" w:bidi="ar-SA"/>
              </w:rPr>
              <w:t>倍</w:t>
            </w:r>
            <w:r>
              <w:rPr>
                <w:rFonts w:ascii="宋体" w:hAnsi="宋体" w:eastAsia="宋体" w:cs="宋体"/>
                <w:snapToGrid w:val="0"/>
                <w:color w:val="000000"/>
                <w:spacing w:val="5"/>
                <w:kern w:val="0"/>
                <w:sz w:val="20"/>
                <w:szCs w:val="20"/>
                <w:lang w:val="en-US" w:eastAsia="en-US" w:bidi="ar-SA"/>
              </w:rPr>
              <w:t>时</w:t>
            </w:r>
            <w:r>
              <w:rPr>
                <w:rFonts w:ascii="Times New Roman" w:hAnsi="Times New Roman" w:eastAsia="Times New Roman" w:cs="Times New Roman"/>
                <w:snapToGrid w:val="0"/>
                <w:color w:val="000000"/>
                <w:spacing w:val="5"/>
                <w:kern w:val="0"/>
                <w:sz w:val="20"/>
                <w:szCs w:val="20"/>
                <w:lang w:val="en-US" w:eastAsia="en-US" w:bidi="ar-SA"/>
              </w:rPr>
              <w:t>,</w:t>
            </w:r>
            <w:r>
              <w:rPr>
                <w:rFonts w:ascii="宋体" w:hAnsi="宋体" w:eastAsia="宋体" w:cs="宋体"/>
                <w:snapToGrid w:val="0"/>
                <w:color w:val="000000"/>
                <w:spacing w:val="5"/>
                <w:kern w:val="0"/>
                <w:sz w:val="20"/>
                <w:szCs w:val="20"/>
                <w:lang w:val="en-US" w:eastAsia="en-US" w:bidi="ar-SA"/>
              </w:rPr>
              <w:t>且大于</w:t>
            </w:r>
            <w:r>
              <w:rPr>
                <w:rFonts w:ascii="Times New Roman" w:hAnsi="Times New Roman" w:eastAsia="Times New Roman" w:cs="Times New Roman"/>
                <w:snapToGrid w:val="0"/>
                <w:color w:val="000000"/>
                <w:spacing w:val="5"/>
                <w:kern w:val="0"/>
                <w:sz w:val="20"/>
                <w:szCs w:val="20"/>
                <w:lang w:val="en-US" w:eastAsia="en-US" w:bidi="ar-SA"/>
              </w:rPr>
              <w:t>25m</w:t>
            </w:r>
            <w:r>
              <w:rPr>
                <w:rFonts w:ascii="宋体" w:hAnsi="宋体" w:eastAsia="宋体" w:cs="宋体"/>
                <w:snapToGrid w:val="0"/>
                <w:color w:val="000000"/>
                <w:spacing w:val="5"/>
                <w:kern w:val="0"/>
                <w:sz w:val="20"/>
                <w:szCs w:val="20"/>
                <w:lang w:val="en-US" w:eastAsia="en-US" w:bidi="ar-SA"/>
              </w:rPr>
              <w:t>时，可设置非实体围墙。面向车辆人口和出</w:t>
            </w:r>
            <w:r>
              <w:rPr>
                <w:rFonts w:ascii="宋体" w:hAnsi="宋体" w:eastAsia="宋体" w:cs="宋体"/>
                <w:snapToGrid w:val="0"/>
                <w:color w:val="000000"/>
                <w:spacing w:val="8"/>
                <w:kern w:val="0"/>
                <w:sz w:val="20"/>
                <w:szCs w:val="20"/>
                <w:lang w:val="en-US" w:eastAsia="en-US" w:bidi="ar-SA"/>
              </w:rPr>
              <w:t>口道路的一侧可设非实体围墙或不设围墙。</w:t>
            </w:r>
          </w:p>
        </w:tc>
        <w:tc>
          <w:tcPr>
            <w:tcW w:w="1710" w:type="dxa"/>
            <w:vAlign w:val="top"/>
          </w:tcPr>
          <w:p w14:paraId="76846FC4">
            <w:pPr>
              <w:widowControl/>
              <w:kinsoku w:val="0"/>
              <w:autoSpaceDE w:val="0"/>
              <w:autoSpaceDN w:val="0"/>
              <w:adjustRightInd w:val="0"/>
              <w:snapToGrid w:val="0"/>
              <w:spacing w:line="285" w:lineRule="auto"/>
              <w:jc w:val="left"/>
              <w:textAlignment w:val="baseline"/>
              <w:rPr>
                <w:rFonts w:ascii="Arial" w:hAnsi="Arial" w:eastAsia="Arial" w:cs="Arial"/>
                <w:snapToGrid w:val="0"/>
                <w:color w:val="000000"/>
                <w:kern w:val="0"/>
                <w:sz w:val="21"/>
                <w:lang w:eastAsia="en-US"/>
              </w:rPr>
            </w:pPr>
          </w:p>
          <w:p w14:paraId="32096285">
            <w:pPr>
              <w:kinsoku w:val="0"/>
              <w:autoSpaceDE w:val="0"/>
              <w:autoSpaceDN w:val="0"/>
              <w:adjustRightInd w:val="0"/>
              <w:snapToGrid w:val="0"/>
              <w:spacing w:before="65" w:line="245" w:lineRule="auto"/>
              <w:ind w:left="230" w:right="199" w:hanging="3"/>
              <w:jc w:val="left"/>
              <w:textAlignment w:val="baseline"/>
              <w:rPr>
                <w:rFonts w:hint="eastAsia" w:ascii="宋体" w:hAnsi="宋体" w:eastAsia="宋体" w:cs="宋体"/>
                <w:snapToGrid w:val="0"/>
                <w:color w:val="000000"/>
                <w:spacing w:val="3"/>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加油站建有围</w:t>
            </w:r>
            <w:r>
              <w:rPr>
                <w:rFonts w:ascii="宋体" w:hAnsi="宋体" w:eastAsia="宋体" w:cs="宋体"/>
                <w:snapToGrid w:val="0"/>
                <w:color w:val="000000"/>
                <w:kern w:val="0"/>
                <w:sz w:val="20"/>
                <w:szCs w:val="20"/>
                <w:lang w:val="en-US" w:eastAsia="en-US" w:bidi="ar-SA"/>
              </w:rPr>
              <w:t>墙</w:t>
            </w:r>
          </w:p>
        </w:tc>
        <w:tc>
          <w:tcPr>
            <w:tcW w:w="1710" w:type="dxa"/>
            <w:vAlign w:val="top"/>
          </w:tcPr>
          <w:p w14:paraId="3EEF8C5D">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28869404">
            <w:pPr>
              <w:widowControl/>
              <w:kinsoku w:val="0"/>
              <w:autoSpaceDE w:val="0"/>
              <w:autoSpaceDN w:val="0"/>
              <w:adjustRightInd w:val="0"/>
              <w:snapToGrid w:val="0"/>
              <w:spacing w:line="284" w:lineRule="auto"/>
              <w:jc w:val="left"/>
              <w:textAlignment w:val="baseline"/>
              <w:rPr>
                <w:rFonts w:ascii="Arial" w:hAnsi="Arial" w:eastAsia="Arial" w:cs="Arial"/>
                <w:snapToGrid w:val="0"/>
                <w:color w:val="000000"/>
                <w:kern w:val="0"/>
                <w:sz w:val="21"/>
                <w:lang w:eastAsia="en-US"/>
              </w:rPr>
            </w:pPr>
          </w:p>
          <w:p w14:paraId="3C3F00AC">
            <w:pPr>
              <w:kinsoku w:val="0"/>
              <w:autoSpaceDE w:val="0"/>
              <w:autoSpaceDN w:val="0"/>
              <w:adjustRightInd w:val="0"/>
              <w:snapToGrid w:val="0"/>
              <w:spacing w:before="65"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6B83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472B452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1E18BB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CD2CF51">
            <w:pPr>
              <w:kinsoku w:val="0"/>
              <w:autoSpaceDE w:val="0"/>
              <w:autoSpaceDN w:val="0"/>
              <w:adjustRightInd w:val="0"/>
              <w:snapToGrid w:val="0"/>
              <w:spacing w:before="226"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w:t>
            </w:r>
            <w:r>
              <w:rPr>
                <w:rFonts w:ascii="Times New Roman" w:hAnsi="Times New Roman" w:eastAsia="Times New Roman" w:cs="Times New Roman"/>
                <w:snapToGrid w:val="0"/>
                <w:color w:val="000000"/>
                <w:spacing w:val="9"/>
                <w:kern w:val="0"/>
                <w:sz w:val="20"/>
                <w:szCs w:val="20"/>
                <w:lang w:val="en-US" w:eastAsia="en-US" w:bidi="ar-SA"/>
              </w:rPr>
              <w:t>9</w:t>
            </w:r>
            <w:r>
              <w:rPr>
                <w:rFonts w:ascii="宋体" w:hAnsi="宋体" w:eastAsia="宋体" w:cs="宋体"/>
                <w:snapToGrid w:val="0"/>
                <w:color w:val="000000"/>
                <w:spacing w:val="9"/>
                <w:kern w:val="0"/>
                <w:sz w:val="20"/>
                <w:szCs w:val="20"/>
                <w:lang w:val="en-US" w:eastAsia="en-US" w:bidi="ar-SA"/>
              </w:rPr>
              <w:t>）加油站现场总平面布置是否与设计总</w:t>
            </w:r>
            <w:r>
              <w:rPr>
                <w:rFonts w:ascii="宋体" w:hAnsi="宋体" w:eastAsia="宋体" w:cs="宋体"/>
                <w:snapToGrid w:val="0"/>
                <w:color w:val="000000"/>
                <w:spacing w:val="8"/>
                <w:kern w:val="0"/>
                <w:sz w:val="20"/>
                <w:szCs w:val="20"/>
                <w:lang w:val="en-US" w:eastAsia="en-US" w:bidi="ar-SA"/>
              </w:rPr>
              <w:t>图一致</w:t>
            </w:r>
          </w:p>
        </w:tc>
        <w:tc>
          <w:tcPr>
            <w:tcW w:w="1710" w:type="dxa"/>
            <w:vAlign w:val="top"/>
          </w:tcPr>
          <w:p w14:paraId="7708566D">
            <w:pPr>
              <w:kinsoku w:val="0"/>
              <w:autoSpaceDE w:val="0"/>
              <w:autoSpaceDN w:val="0"/>
              <w:adjustRightInd w:val="0"/>
              <w:snapToGrid w:val="0"/>
              <w:spacing w:before="227" w:line="228" w:lineRule="auto"/>
              <w:ind w:left="131"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现场与图纸相符</w:t>
            </w:r>
          </w:p>
        </w:tc>
        <w:tc>
          <w:tcPr>
            <w:tcW w:w="1710" w:type="dxa"/>
            <w:vAlign w:val="top"/>
          </w:tcPr>
          <w:p w14:paraId="2F7082B0">
            <w:pPr>
              <w:kinsoku w:val="0"/>
              <w:autoSpaceDE w:val="0"/>
              <w:autoSpaceDN w:val="0"/>
              <w:adjustRightInd w:val="0"/>
              <w:snapToGrid w:val="0"/>
              <w:spacing w:before="88" w:line="214"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2EB1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700AE39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814227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894F783">
            <w:pPr>
              <w:kinsoku w:val="0"/>
              <w:autoSpaceDE w:val="0"/>
              <w:autoSpaceDN w:val="0"/>
              <w:adjustRightInd w:val="0"/>
              <w:snapToGrid w:val="0"/>
              <w:spacing w:before="231"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10</w:t>
            </w:r>
            <w:r>
              <w:rPr>
                <w:rFonts w:ascii="宋体" w:hAnsi="宋体" w:eastAsia="宋体" w:cs="宋体"/>
                <w:snapToGrid w:val="0"/>
                <w:color w:val="000000"/>
                <w:spacing w:val="7"/>
                <w:kern w:val="0"/>
                <w:sz w:val="20"/>
                <w:szCs w:val="20"/>
                <w:lang w:val="en-US" w:eastAsia="en-US" w:bidi="ar-SA"/>
              </w:rPr>
              <w:t>）车辆入口和出口应分开设置。</w:t>
            </w:r>
          </w:p>
        </w:tc>
        <w:tc>
          <w:tcPr>
            <w:tcW w:w="1710" w:type="dxa"/>
            <w:vAlign w:val="top"/>
          </w:tcPr>
          <w:p w14:paraId="44AE8EE7">
            <w:pPr>
              <w:kinsoku w:val="0"/>
              <w:autoSpaceDE w:val="0"/>
              <w:autoSpaceDN w:val="0"/>
              <w:adjustRightInd w:val="0"/>
              <w:snapToGrid w:val="0"/>
              <w:spacing w:before="231" w:line="228" w:lineRule="auto"/>
              <w:ind w:left="148"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出入库分开设置</w:t>
            </w:r>
          </w:p>
        </w:tc>
        <w:tc>
          <w:tcPr>
            <w:tcW w:w="1710" w:type="dxa"/>
            <w:vAlign w:val="top"/>
          </w:tcPr>
          <w:p w14:paraId="579E4797">
            <w:pPr>
              <w:kinsoku w:val="0"/>
              <w:autoSpaceDE w:val="0"/>
              <w:autoSpaceDN w:val="0"/>
              <w:adjustRightInd w:val="0"/>
              <w:snapToGrid w:val="0"/>
              <w:spacing w:before="90" w:line="21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913B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8" w:hRule="atLeast"/>
        </w:trPr>
        <w:tc>
          <w:tcPr>
            <w:tcW w:w="699" w:type="dxa"/>
            <w:vMerge w:val="continue"/>
            <w:vAlign w:val="top"/>
          </w:tcPr>
          <w:p w14:paraId="61B2B2B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6B08F1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808E2D4">
            <w:pPr>
              <w:kinsoku w:val="0"/>
              <w:autoSpaceDE w:val="0"/>
              <w:autoSpaceDN w:val="0"/>
              <w:adjustRightInd w:val="0"/>
              <w:snapToGrid w:val="0"/>
              <w:spacing w:before="94"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11</w:t>
            </w:r>
            <w:r>
              <w:rPr>
                <w:rFonts w:ascii="宋体" w:hAnsi="宋体" w:eastAsia="宋体" w:cs="宋体"/>
                <w:snapToGrid w:val="0"/>
                <w:color w:val="000000"/>
                <w:spacing w:val="7"/>
                <w:kern w:val="0"/>
                <w:sz w:val="20"/>
                <w:szCs w:val="20"/>
                <w:lang w:val="en-US" w:eastAsia="en-US" w:bidi="ar-SA"/>
              </w:rPr>
              <w:t>）</w:t>
            </w:r>
            <w:r>
              <w:rPr>
                <w:rFonts w:ascii="宋体" w:hAnsi="宋体" w:eastAsia="宋体" w:cs="宋体"/>
                <w:snapToGrid w:val="0"/>
                <w:color w:val="000000"/>
                <w:spacing w:val="-33"/>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站区内停车位和道路应符合下列规</w:t>
            </w:r>
            <w:r>
              <w:rPr>
                <w:rFonts w:ascii="宋体" w:hAnsi="宋体" w:eastAsia="宋体" w:cs="宋体"/>
                <w:snapToGrid w:val="0"/>
                <w:color w:val="000000"/>
                <w:spacing w:val="6"/>
                <w:kern w:val="0"/>
                <w:sz w:val="20"/>
                <w:szCs w:val="20"/>
                <w:lang w:val="en-US" w:eastAsia="en-US" w:bidi="ar-SA"/>
              </w:rPr>
              <w:t>定：</w:t>
            </w:r>
          </w:p>
          <w:p w14:paraId="2D65B9DC">
            <w:pPr>
              <w:kinsoku w:val="0"/>
              <w:autoSpaceDE w:val="0"/>
              <w:autoSpaceDN w:val="0"/>
              <w:adjustRightInd w:val="0"/>
              <w:snapToGrid w:val="0"/>
              <w:spacing w:before="29" w:line="253" w:lineRule="auto"/>
              <w:ind w:left="104" w:right="100" w:firstLine="16"/>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5"/>
                <w:kern w:val="0"/>
                <w:sz w:val="20"/>
                <w:szCs w:val="20"/>
                <w:lang w:val="en-US" w:eastAsia="en-US" w:bidi="ar-SA"/>
              </w:rPr>
              <w:t>1.</w:t>
            </w:r>
            <w:r>
              <w:rPr>
                <w:rFonts w:ascii="宋体" w:hAnsi="宋体" w:eastAsia="宋体" w:cs="宋体"/>
                <w:snapToGrid w:val="0"/>
                <w:color w:val="000000"/>
                <w:spacing w:val="5"/>
                <w:kern w:val="0"/>
                <w:sz w:val="20"/>
                <w:szCs w:val="20"/>
                <w:lang w:val="en-US" w:eastAsia="en-US" w:bidi="ar-SA"/>
              </w:rPr>
              <w:t>站内车道或停车位宽度应按车辆类型确定。</w:t>
            </w:r>
            <w:r>
              <w:rPr>
                <w:rFonts w:ascii="Times New Roman" w:hAnsi="Times New Roman" w:eastAsia="Times New Roman" w:cs="Times New Roman"/>
                <w:snapToGrid w:val="0"/>
                <w:color w:val="000000"/>
                <w:kern w:val="0"/>
                <w:sz w:val="20"/>
                <w:szCs w:val="20"/>
                <w:lang w:val="en-US" w:eastAsia="en-US" w:bidi="ar-SA"/>
              </w:rPr>
              <w:t>CNG</w:t>
            </w:r>
            <w:r>
              <w:rPr>
                <w:rFonts w:ascii="Times New Roman" w:hAnsi="Times New Roman" w:eastAsia="Times New Roman" w:cs="Times New Roman"/>
                <w:snapToGrid w:val="0"/>
                <w:color w:val="000000"/>
                <w:spacing w:val="5"/>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加气</w:t>
            </w:r>
            <w:r>
              <w:rPr>
                <w:rFonts w:ascii="宋体" w:hAnsi="宋体" w:eastAsia="宋体" w:cs="宋体"/>
                <w:snapToGrid w:val="0"/>
                <w:color w:val="000000"/>
                <w:spacing w:val="6"/>
                <w:kern w:val="0"/>
                <w:sz w:val="20"/>
                <w:szCs w:val="20"/>
                <w:lang w:val="en-US" w:eastAsia="en-US" w:bidi="ar-SA"/>
              </w:rPr>
              <w:t>母站内单车道或单车停车位宽度不应小于</w:t>
            </w:r>
            <w:r>
              <w:rPr>
                <w:rFonts w:ascii="Times New Roman" w:hAnsi="Times New Roman" w:eastAsia="Times New Roman" w:cs="Times New Roman"/>
                <w:snapToGrid w:val="0"/>
                <w:color w:val="000000"/>
                <w:spacing w:val="6"/>
                <w:kern w:val="0"/>
                <w:sz w:val="20"/>
                <w:szCs w:val="20"/>
                <w:lang w:val="en-US" w:eastAsia="en-US" w:bidi="ar-SA"/>
              </w:rPr>
              <w:t>4.5m</w:t>
            </w:r>
            <w:r>
              <w:rPr>
                <w:rFonts w:ascii="宋体" w:hAnsi="宋体" w:eastAsia="宋体" w:cs="宋体"/>
                <w:snapToGrid w:val="0"/>
                <w:color w:val="000000"/>
                <w:spacing w:val="6"/>
                <w:kern w:val="0"/>
                <w:sz w:val="20"/>
                <w:szCs w:val="20"/>
                <w:lang w:val="en-US" w:eastAsia="en-US" w:bidi="ar-SA"/>
              </w:rPr>
              <w:t>，双车道</w:t>
            </w:r>
            <w:r>
              <w:rPr>
                <w:rFonts w:ascii="宋体" w:hAnsi="宋体" w:eastAsia="宋体" w:cs="宋体"/>
                <w:snapToGrid w:val="0"/>
                <w:color w:val="000000"/>
                <w:spacing w:val="12"/>
                <w:kern w:val="0"/>
                <w:sz w:val="20"/>
                <w:szCs w:val="20"/>
                <w:lang w:val="en-US" w:eastAsia="en-US" w:bidi="ar-SA"/>
              </w:rPr>
              <w:t>或双车停车位宽度不应小于</w:t>
            </w:r>
            <w:r>
              <w:rPr>
                <w:rFonts w:ascii="Times New Roman" w:hAnsi="Times New Roman" w:eastAsia="Times New Roman" w:cs="Times New Roman"/>
                <w:snapToGrid w:val="0"/>
                <w:color w:val="000000"/>
                <w:spacing w:val="12"/>
                <w:kern w:val="0"/>
                <w:sz w:val="20"/>
                <w:szCs w:val="20"/>
                <w:lang w:val="en-US" w:eastAsia="en-US" w:bidi="ar-SA"/>
              </w:rPr>
              <w:t>9m</w:t>
            </w:r>
            <w:r>
              <w:rPr>
                <w:rFonts w:ascii="宋体" w:hAnsi="宋体" w:eastAsia="宋体" w:cs="宋体"/>
                <w:snapToGrid w:val="0"/>
                <w:color w:val="000000"/>
                <w:spacing w:val="12"/>
                <w:kern w:val="0"/>
                <w:sz w:val="20"/>
                <w:szCs w:val="20"/>
                <w:lang w:val="en-US" w:eastAsia="en-US" w:bidi="ar-SA"/>
              </w:rPr>
              <w:t>；其他类型汽车加油加</w:t>
            </w:r>
            <w:r>
              <w:rPr>
                <w:rFonts w:ascii="宋体" w:hAnsi="宋体" w:eastAsia="宋体" w:cs="宋体"/>
                <w:snapToGrid w:val="0"/>
                <w:color w:val="000000"/>
                <w:spacing w:val="17"/>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气加氢站的车道或停车位，单车道或单车停车位宽度不</w:t>
            </w:r>
            <w:r>
              <w:rPr>
                <w:rFonts w:ascii="宋体" w:hAnsi="宋体" w:eastAsia="宋体" w:cs="宋体"/>
                <w:snapToGrid w:val="0"/>
                <w:color w:val="000000"/>
                <w:spacing w:val="7"/>
                <w:kern w:val="0"/>
                <w:sz w:val="20"/>
                <w:szCs w:val="20"/>
                <w:lang w:val="en-US" w:eastAsia="en-US" w:bidi="ar-SA"/>
              </w:rPr>
              <w:t>应小于</w:t>
            </w:r>
            <w:r>
              <w:rPr>
                <w:rFonts w:ascii="Times New Roman" w:hAnsi="Times New Roman" w:eastAsia="Times New Roman" w:cs="Times New Roman"/>
                <w:snapToGrid w:val="0"/>
                <w:color w:val="000000"/>
                <w:spacing w:val="7"/>
                <w:kern w:val="0"/>
                <w:sz w:val="20"/>
                <w:szCs w:val="20"/>
                <w:lang w:val="en-US" w:eastAsia="en-US" w:bidi="ar-SA"/>
              </w:rPr>
              <w:t>4m</w:t>
            </w:r>
            <w:r>
              <w:rPr>
                <w:rFonts w:ascii="宋体" w:hAnsi="宋体" w:eastAsia="宋体" w:cs="宋体"/>
                <w:snapToGrid w:val="0"/>
                <w:color w:val="000000"/>
                <w:spacing w:val="7"/>
                <w:kern w:val="0"/>
                <w:sz w:val="20"/>
                <w:szCs w:val="20"/>
                <w:lang w:val="en-US" w:eastAsia="en-US" w:bidi="ar-SA"/>
              </w:rPr>
              <w:t>，双车道或双车停车位宽度不应小于</w:t>
            </w:r>
            <w:r>
              <w:rPr>
                <w:rFonts w:ascii="Times New Roman" w:hAnsi="Times New Roman" w:eastAsia="Times New Roman" w:cs="Times New Roman"/>
                <w:snapToGrid w:val="0"/>
                <w:color w:val="000000"/>
                <w:spacing w:val="7"/>
                <w:kern w:val="0"/>
                <w:sz w:val="20"/>
                <w:szCs w:val="20"/>
                <w:lang w:val="en-US" w:eastAsia="en-US" w:bidi="ar-SA"/>
              </w:rPr>
              <w:t>6m</w:t>
            </w:r>
            <w:r>
              <w:rPr>
                <w:rFonts w:ascii="宋体" w:hAnsi="宋体" w:eastAsia="宋体" w:cs="宋体"/>
                <w:snapToGrid w:val="0"/>
                <w:color w:val="000000"/>
                <w:spacing w:val="7"/>
                <w:kern w:val="0"/>
                <w:sz w:val="20"/>
                <w:szCs w:val="20"/>
                <w:lang w:val="en-US" w:eastAsia="en-US" w:bidi="ar-SA"/>
              </w:rPr>
              <w:t>。</w:t>
            </w:r>
          </w:p>
          <w:p w14:paraId="0FDC7637">
            <w:pPr>
              <w:kinsoku w:val="0"/>
              <w:autoSpaceDE w:val="0"/>
              <w:autoSpaceDN w:val="0"/>
              <w:adjustRightInd w:val="0"/>
              <w:snapToGrid w:val="0"/>
              <w:spacing w:before="32" w:line="244" w:lineRule="auto"/>
              <w:ind w:left="103" w:right="100" w:hanging="3"/>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站内的道路转弯半径应按行驶车型确定，且不宜小于</w:t>
            </w:r>
            <w:r>
              <w:rPr>
                <w:rFonts w:ascii="Times New Roman" w:hAnsi="Times New Roman" w:eastAsia="Times New Roman" w:cs="Times New Roman"/>
                <w:snapToGrid w:val="0"/>
                <w:color w:val="000000"/>
                <w:spacing w:val="1"/>
                <w:kern w:val="0"/>
                <w:sz w:val="20"/>
                <w:szCs w:val="20"/>
                <w:lang w:val="en-US" w:eastAsia="en-US" w:bidi="ar-SA"/>
              </w:rPr>
              <w:t>9m</w:t>
            </w:r>
            <w:r>
              <w:rPr>
                <w:rFonts w:ascii="宋体" w:hAnsi="宋体" w:eastAsia="宋体" w:cs="宋体"/>
                <w:snapToGrid w:val="0"/>
                <w:color w:val="000000"/>
                <w:spacing w:val="1"/>
                <w:kern w:val="0"/>
                <w:sz w:val="20"/>
                <w:szCs w:val="20"/>
                <w:lang w:val="en-US" w:eastAsia="en-US" w:bidi="ar-SA"/>
              </w:rPr>
              <w:t>。</w:t>
            </w:r>
          </w:p>
          <w:p w14:paraId="413E805D">
            <w:pPr>
              <w:kinsoku w:val="0"/>
              <w:autoSpaceDE w:val="0"/>
              <w:autoSpaceDN w:val="0"/>
              <w:adjustRightInd w:val="0"/>
              <w:snapToGrid w:val="0"/>
              <w:spacing w:line="258" w:lineRule="auto"/>
              <w:ind w:left="125" w:right="100" w:hanging="20"/>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5"/>
                <w:kern w:val="0"/>
                <w:sz w:val="20"/>
                <w:szCs w:val="20"/>
                <w:lang w:val="en-US" w:eastAsia="en-US" w:bidi="ar-SA"/>
              </w:rPr>
              <w:t>3.</w:t>
            </w:r>
            <w:r>
              <w:rPr>
                <w:rFonts w:ascii="宋体" w:hAnsi="宋体" w:eastAsia="宋体" w:cs="宋体"/>
                <w:snapToGrid w:val="0"/>
                <w:color w:val="000000"/>
                <w:spacing w:val="5"/>
                <w:kern w:val="0"/>
                <w:sz w:val="20"/>
                <w:szCs w:val="20"/>
                <w:lang w:val="en-US" w:eastAsia="en-US" w:bidi="ar-SA"/>
              </w:rPr>
              <w:t>站内停车位应为平坡，道路坡度不应大于</w:t>
            </w:r>
            <w:r>
              <w:rPr>
                <w:rFonts w:ascii="Times New Roman" w:hAnsi="Times New Roman" w:eastAsia="Times New Roman" w:cs="Times New Roman"/>
                <w:snapToGrid w:val="0"/>
                <w:color w:val="000000"/>
                <w:spacing w:val="5"/>
                <w:kern w:val="0"/>
                <w:sz w:val="20"/>
                <w:szCs w:val="20"/>
                <w:lang w:val="en-US" w:eastAsia="en-US" w:bidi="ar-SA"/>
              </w:rPr>
              <w:t>8%</w:t>
            </w:r>
            <w:r>
              <w:rPr>
                <w:rFonts w:ascii="宋体" w:hAnsi="宋体" w:eastAsia="宋体" w:cs="宋体"/>
                <w:snapToGrid w:val="0"/>
                <w:color w:val="000000"/>
                <w:spacing w:val="5"/>
                <w:kern w:val="0"/>
                <w:sz w:val="20"/>
                <w:szCs w:val="20"/>
                <w:lang w:val="en-US" w:eastAsia="en-US" w:bidi="ar-SA"/>
              </w:rPr>
              <w:t>，且宜坡</w:t>
            </w:r>
            <w:r>
              <w:rPr>
                <w:rFonts w:ascii="宋体" w:hAnsi="宋体" w:eastAsia="宋体" w:cs="宋体"/>
                <w:snapToGrid w:val="0"/>
                <w:color w:val="000000"/>
                <w:spacing w:val="-1"/>
                <w:kern w:val="0"/>
                <w:sz w:val="20"/>
                <w:szCs w:val="20"/>
                <w:lang w:val="en-US" w:eastAsia="en-US" w:bidi="ar-SA"/>
              </w:rPr>
              <w:t>向站外。</w:t>
            </w:r>
          </w:p>
          <w:p w14:paraId="491D947E">
            <w:pPr>
              <w:kinsoku w:val="0"/>
              <w:autoSpaceDE w:val="0"/>
              <w:autoSpaceDN w:val="0"/>
              <w:adjustRightInd w:val="0"/>
              <w:snapToGrid w:val="0"/>
              <w:spacing w:before="30" w:line="165" w:lineRule="exact"/>
              <w:ind w:left="99"/>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9"/>
                <w:kern w:val="0"/>
                <w:position w:val="-1"/>
                <w:sz w:val="20"/>
                <w:szCs w:val="20"/>
                <w:lang w:val="en-US" w:eastAsia="en-US" w:bidi="ar-SA"/>
              </w:rPr>
              <w:t>4.</w:t>
            </w:r>
            <w:r>
              <w:rPr>
                <w:rFonts w:ascii="宋体" w:hAnsi="宋体" w:eastAsia="宋体" w:cs="宋体"/>
                <w:snapToGrid w:val="0"/>
                <w:color w:val="000000"/>
                <w:spacing w:val="9"/>
                <w:kern w:val="0"/>
                <w:position w:val="-1"/>
                <w:sz w:val="20"/>
                <w:szCs w:val="20"/>
                <w:lang w:val="en-US" w:eastAsia="en-US" w:bidi="ar-SA"/>
              </w:rPr>
              <w:t>作业区内的停车场和道路路面不应采用沥</w:t>
            </w:r>
            <w:r>
              <w:rPr>
                <w:rFonts w:ascii="宋体" w:hAnsi="宋体" w:eastAsia="宋体" w:cs="宋体"/>
                <w:snapToGrid w:val="0"/>
                <w:color w:val="000000"/>
                <w:spacing w:val="8"/>
                <w:kern w:val="0"/>
                <w:position w:val="-1"/>
                <w:sz w:val="20"/>
                <w:szCs w:val="20"/>
                <w:lang w:val="en-US" w:eastAsia="en-US" w:bidi="ar-SA"/>
              </w:rPr>
              <w:t>青路面。</w:t>
            </w:r>
          </w:p>
        </w:tc>
        <w:tc>
          <w:tcPr>
            <w:tcW w:w="1710" w:type="dxa"/>
            <w:vAlign w:val="top"/>
          </w:tcPr>
          <w:p w14:paraId="2855AF04">
            <w:pPr>
              <w:widowControl/>
              <w:kinsoku w:val="0"/>
              <w:autoSpaceDE w:val="0"/>
              <w:autoSpaceDN w:val="0"/>
              <w:adjustRightInd w:val="0"/>
              <w:snapToGrid w:val="0"/>
              <w:spacing w:line="288" w:lineRule="auto"/>
              <w:jc w:val="left"/>
              <w:textAlignment w:val="baseline"/>
              <w:rPr>
                <w:rFonts w:ascii="Arial" w:hAnsi="Arial" w:eastAsia="Arial" w:cs="Arial"/>
                <w:snapToGrid w:val="0"/>
                <w:color w:val="000000"/>
                <w:kern w:val="0"/>
                <w:sz w:val="21"/>
                <w:lang w:eastAsia="en-US"/>
              </w:rPr>
            </w:pPr>
          </w:p>
          <w:p w14:paraId="1D7756B9">
            <w:pPr>
              <w:widowControl/>
              <w:kinsoku w:val="0"/>
              <w:autoSpaceDE w:val="0"/>
              <w:autoSpaceDN w:val="0"/>
              <w:adjustRightInd w:val="0"/>
              <w:snapToGrid w:val="0"/>
              <w:spacing w:line="288" w:lineRule="auto"/>
              <w:jc w:val="left"/>
              <w:textAlignment w:val="baseline"/>
              <w:rPr>
                <w:rFonts w:ascii="Arial" w:hAnsi="Arial" w:eastAsia="Arial" w:cs="Arial"/>
                <w:snapToGrid w:val="0"/>
                <w:color w:val="000000"/>
                <w:kern w:val="0"/>
                <w:sz w:val="21"/>
                <w:lang w:eastAsia="en-US"/>
              </w:rPr>
            </w:pPr>
          </w:p>
          <w:p w14:paraId="23DF848A">
            <w:pPr>
              <w:widowControl/>
              <w:kinsoku w:val="0"/>
              <w:autoSpaceDE w:val="0"/>
              <w:autoSpaceDN w:val="0"/>
              <w:adjustRightInd w:val="0"/>
              <w:snapToGrid w:val="0"/>
              <w:spacing w:line="288" w:lineRule="auto"/>
              <w:jc w:val="left"/>
              <w:textAlignment w:val="baseline"/>
              <w:rPr>
                <w:rFonts w:ascii="Arial" w:hAnsi="Arial" w:eastAsia="Arial" w:cs="Arial"/>
                <w:snapToGrid w:val="0"/>
                <w:color w:val="000000"/>
                <w:kern w:val="0"/>
                <w:sz w:val="21"/>
                <w:lang w:eastAsia="en-US"/>
              </w:rPr>
            </w:pPr>
          </w:p>
          <w:p w14:paraId="1A35A19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both"/>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单车道宽度不小</w:t>
            </w:r>
            <w:r>
              <w:rPr>
                <w:rFonts w:ascii="宋体" w:hAnsi="宋体" w:eastAsia="宋体" w:cs="宋体"/>
                <w:snapToGrid w:val="0"/>
                <w:color w:val="000000"/>
                <w:spacing w:val="2"/>
                <w:kern w:val="0"/>
                <w:sz w:val="20"/>
                <w:szCs w:val="20"/>
                <w:lang w:val="en-US" w:eastAsia="en-US" w:bidi="ar-SA"/>
              </w:rPr>
              <w:t xml:space="preserve"> 于</w:t>
            </w:r>
            <w:r>
              <w:rPr>
                <w:rFonts w:ascii="Times New Roman" w:hAnsi="Times New Roman" w:eastAsia="Times New Roman" w:cs="Times New Roman"/>
                <w:snapToGrid w:val="0"/>
                <w:color w:val="000000"/>
                <w:spacing w:val="2"/>
                <w:kern w:val="0"/>
                <w:sz w:val="20"/>
                <w:szCs w:val="20"/>
                <w:lang w:val="en-US" w:eastAsia="en-US" w:bidi="ar-SA"/>
              </w:rPr>
              <w:t>4m</w:t>
            </w:r>
            <w:r>
              <w:rPr>
                <w:rFonts w:ascii="宋体" w:hAnsi="宋体" w:eastAsia="宋体" w:cs="宋体"/>
                <w:snapToGrid w:val="0"/>
                <w:color w:val="000000"/>
                <w:spacing w:val="2"/>
                <w:kern w:val="0"/>
                <w:sz w:val="20"/>
                <w:szCs w:val="20"/>
                <w:lang w:val="en-US" w:eastAsia="en-US" w:bidi="ar-SA"/>
              </w:rPr>
              <w:t>，站内道路</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为砼路面；站内</w:t>
            </w:r>
            <w:r>
              <w:rPr>
                <w:rFonts w:ascii="宋体" w:hAnsi="宋体" w:eastAsia="宋体" w:cs="宋体"/>
                <w:snapToGrid w:val="0"/>
                <w:color w:val="000000"/>
                <w:spacing w:val="6"/>
                <w:kern w:val="0"/>
                <w:sz w:val="20"/>
                <w:szCs w:val="20"/>
                <w:lang w:val="en-US" w:eastAsia="en-US" w:bidi="ar-SA"/>
              </w:rPr>
              <w:t>的道路转弯半径</w:t>
            </w:r>
            <w:r>
              <w:rPr>
                <w:rFonts w:ascii="宋体" w:hAnsi="宋体" w:eastAsia="宋体" w:cs="宋体"/>
                <w:snapToGrid w:val="0"/>
                <w:color w:val="000000"/>
                <w:spacing w:val="4"/>
                <w:kern w:val="0"/>
                <w:sz w:val="20"/>
                <w:szCs w:val="20"/>
                <w:lang w:val="en-US" w:eastAsia="en-US" w:bidi="ar-SA"/>
              </w:rPr>
              <w:t>不小于</w:t>
            </w:r>
            <w:r>
              <w:rPr>
                <w:rFonts w:ascii="Times New Roman" w:hAnsi="Times New Roman" w:eastAsia="Times New Roman" w:cs="Times New Roman"/>
                <w:snapToGrid w:val="0"/>
                <w:color w:val="000000"/>
                <w:spacing w:val="4"/>
                <w:kern w:val="0"/>
                <w:sz w:val="20"/>
                <w:szCs w:val="20"/>
                <w:lang w:val="en-US" w:eastAsia="en-US" w:bidi="ar-SA"/>
              </w:rPr>
              <w:t>9m</w:t>
            </w:r>
            <w:r>
              <w:rPr>
                <w:rFonts w:ascii="宋体" w:hAnsi="宋体" w:eastAsia="宋体" w:cs="宋体"/>
                <w:snapToGrid w:val="0"/>
                <w:color w:val="000000"/>
                <w:spacing w:val="4"/>
                <w:kern w:val="0"/>
                <w:sz w:val="20"/>
                <w:szCs w:val="20"/>
                <w:lang w:val="en-US" w:eastAsia="en-US" w:bidi="ar-SA"/>
              </w:rPr>
              <w:t>。</w:t>
            </w:r>
          </w:p>
        </w:tc>
        <w:tc>
          <w:tcPr>
            <w:tcW w:w="1710" w:type="dxa"/>
            <w:vAlign w:val="top"/>
          </w:tcPr>
          <w:p w14:paraId="22F00438">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53DFA129">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2E7648CA">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7D9CADC3">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09E07ABB">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67F1A2CB">
            <w:pPr>
              <w:kinsoku w:val="0"/>
              <w:autoSpaceDE w:val="0"/>
              <w:autoSpaceDN w:val="0"/>
              <w:adjustRightInd w:val="0"/>
              <w:snapToGrid w:val="0"/>
              <w:spacing w:before="65"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D3B2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4DDE39E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222485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0258428">
            <w:pPr>
              <w:kinsoku w:val="0"/>
              <w:autoSpaceDE w:val="0"/>
              <w:autoSpaceDN w:val="0"/>
              <w:adjustRightInd w:val="0"/>
              <w:snapToGrid w:val="0"/>
              <w:spacing w:before="251"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12</w:t>
            </w:r>
            <w:r>
              <w:rPr>
                <w:rFonts w:ascii="宋体" w:hAnsi="宋体" w:eastAsia="宋体" w:cs="宋体"/>
                <w:snapToGrid w:val="0"/>
                <w:color w:val="000000"/>
                <w:spacing w:val="6"/>
                <w:kern w:val="0"/>
                <w:sz w:val="20"/>
                <w:szCs w:val="20"/>
                <w:lang w:val="en-US" w:eastAsia="en-US" w:bidi="ar-SA"/>
              </w:rPr>
              <w:t>）</w:t>
            </w:r>
            <w:r>
              <w:rPr>
                <w:rFonts w:ascii="宋体" w:hAnsi="宋体" w:eastAsia="宋体" w:cs="宋体"/>
                <w:snapToGrid w:val="0"/>
                <w:color w:val="000000"/>
                <w:spacing w:val="-49"/>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电动汽车充电设施应布置在辅助服务区内。</w:t>
            </w:r>
          </w:p>
        </w:tc>
        <w:tc>
          <w:tcPr>
            <w:tcW w:w="1710" w:type="dxa"/>
            <w:vAlign w:val="top"/>
          </w:tcPr>
          <w:p w14:paraId="3517A42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未设汽车充电</w:t>
            </w:r>
            <w:r>
              <w:rPr>
                <w:rFonts w:ascii="宋体" w:hAnsi="宋体" w:eastAsia="宋体" w:cs="宋体"/>
                <w:snapToGrid w:val="0"/>
                <w:color w:val="000000"/>
                <w:kern w:val="0"/>
                <w:sz w:val="20"/>
                <w:szCs w:val="20"/>
                <w:lang w:val="en-US" w:eastAsia="en-US" w:bidi="ar-SA"/>
              </w:rPr>
              <w:t>桩。</w:t>
            </w:r>
          </w:p>
        </w:tc>
        <w:tc>
          <w:tcPr>
            <w:tcW w:w="1710" w:type="dxa"/>
            <w:vAlign w:val="top"/>
          </w:tcPr>
          <w:p w14:paraId="73ED4CDA">
            <w:pPr>
              <w:kinsoku w:val="0"/>
              <w:autoSpaceDE w:val="0"/>
              <w:autoSpaceDN w:val="0"/>
              <w:adjustRightInd w:val="0"/>
              <w:snapToGrid w:val="0"/>
              <w:spacing w:before="109" w:line="204"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61CA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2B3C777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D1D5B4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990160A">
            <w:pPr>
              <w:kinsoku w:val="0"/>
              <w:autoSpaceDE w:val="0"/>
              <w:autoSpaceDN w:val="0"/>
              <w:adjustRightInd w:val="0"/>
              <w:snapToGrid w:val="0"/>
              <w:spacing w:before="252" w:line="245" w:lineRule="auto"/>
              <w:ind w:left="106" w:right="100"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13</w:t>
            </w:r>
            <w:r>
              <w:rPr>
                <w:rFonts w:ascii="宋体" w:hAnsi="宋体" w:eastAsia="宋体" w:cs="宋体"/>
                <w:snapToGrid w:val="0"/>
                <w:color w:val="000000"/>
                <w:spacing w:val="6"/>
                <w:kern w:val="0"/>
                <w:sz w:val="20"/>
                <w:szCs w:val="20"/>
                <w:lang w:val="en-US" w:eastAsia="en-US" w:bidi="ar-SA"/>
              </w:rPr>
              <w:t>）加油站的变配电间或室外变压器应布置在作业区</w:t>
            </w:r>
            <w:r>
              <w:rPr>
                <w:rFonts w:ascii="宋体" w:hAnsi="宋体" w:eastAsia="宋体" w:cs="宋体"/>
                <w:snapToGrid w:val="0"/>
                <w:color w:val="000000"/>
                <w:spacing w:val="2"/>
                <w:kern w:val="0"/>
                <w:sz w:val="20"/>
                <w:szCs w:val="20"/>
                <w:lang w:val="en-US" w:eastAsia="en-US" w:bidi="ar-SA"/>
              </w:rPr>
              <w:t>之外。</w:t>
            </w:r>
          </w:p>
        </w:tc>
        <w:tc>
          <w:tcPr>
            <w:tcW w:w="1710" w:type="dxa"/>
            <w:vAlign w:val="top"/>
          </w:tcPr>
          <w:p w14:paraId="4DFA5922">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变配电室在作业</w:t>
            </w:r>
            <w:r>
              <w:rPr>
                <w:rFonts w:ascii="宋体" w:hAnsi="宋体" w:eastAsia="宋体" w:cs="宋体"/>
                <w:snapToGrid w:val="0"/>
                <w:color w:val="000000"/>
                <w:spacing w:val="6"/>
                <w:kern w:val="0"/>
                <w:sz w:val="20"/>
                <w:szCs w:val="20"/>
                <w:lang w:val="en-US" w:eastAsia="en-US" w:bidi="ar-SA"/>
              </w:rPr>
              <w:t>区外，位于站房</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13"/>
                <w:kern w:val="0"/>
                <w:sz w:val="20"/>
                <w:szCs w:val="20"/>
                <w:lang w:val="en-US" w:eastAsia="en-US" w:bidi="ar-SA"/>
              </w:rPr>
              <w:t>内。</w:t>
            </w:r>
          </w:p>
        </w:tc>
        <w:tc>
          <w:tcPr>
            <w:tcW w:w="1710" w:type="dxa"/>
            <w:vAlign w:val="top"/>
          </w:tcPr>
          <w:p w14:paraId="168A9135">
            <w:pPr>
              <w:kinsoku w:val="0"/>
              <w:autoSpaceDE w:val="0"/>
              <w:autoSpaceDN w:val="0"/>
              <w:adjustRightInd w:val="0"/>
              <w:snapToGrid w:val="0"/>
              <w:spacing w:before="252"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46F6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31FDF61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0DF0C7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18CF281A">
            <w:pPr>
              <w:kinsoku w:val="0"/>
              <w:autoSpaceDE w:val="0"/>
              <w:autoSpaceDN w:val="0"/>
              <w:adjustRightInd w:val="0"/>
              <w:snapToGrid w:val="0"/>
              <w:spacing w:before="118" w:line="200" w:lineRule="auto"/>
              <w:ind w:left="104"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w:t>
            </w:r>
            <w:r>
              <w:rPr>
                <w:rFonts w:ascii="Times New Roman" w:hAnsi="Times New Roman" w:eastAsia="Times New Roman" w:cs="Times New Roman"/>
                <w:snapToGrid w:val="0"/>
                <w:color w:val="000000"/>
                <w:spacing w:val="3"/>
                <w:kern w:val="0"/>
                <w:sz w:val="20"/>
                <w:szCs w:val="20"/>
                <w:lang w:val="en-US" w:eastAsia="en-US" w:bidi="ar-SA"/>
              </w:rPr>
              <w:t>14</w:t>
            </w:r>
            <w:r>
              <w:rPr>
                <w:rFonts w:ascii="宋体" w:hAnsi="宋体" w:eastAsia="宋体" w:cs="宋体"/>
                <w:snapToGrid w:val="0"/>
                <w:color w:val="000000"/>
                <w:spacing w:val="3"/>
                <w:kern w:val="0"/>
                <w:sz w:val="20"/>
                <w:szCs w:val="20"/>
                <w:lang w:val="en-US" w:eastAsia="en-US" w:bidi="ar-SA"/>
              </w:rPr>
              <w:t>）加油作业区内不得有“</w:t>
            </w:r>
            <w:r>
              <w:rPr>
                <w:rFonts w:ascii="宋体" w:hAnsi="宋体" w:eastAsia="宋体" w:cs="宋体"/>
                <w:snapToGrid w:val="0"/>
                <w:color w:val="000000"/>
                <w:spacing w:val="-54"/>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明火地点</w:t>
            </w:r>
            <w:r>
              <w:rPr>
                <w:rFonts w:ascii="宋体" w:hAnsi="宋体" w:eastAsia="宋体" w:cs="宋体"/>
                <w:snapToGrid w:val="0"/>
                <w:color w:val="000000"/>
                <w:spacing w:val="-7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”或“散发火花地点</w:t>
            </w:r>
            <w:r>
              <w:rPr>
                <w:rFonts w:ascii="Times New Roman" w:hAnsi="Times New Roman" w:eastAsia="Times New Roman" w:cs="Times New Roman"/>
                <w:snapToGrid w:val="0"/>
                <w:color w:val="000000"/>
                <w:spacing w:val="3"/>
                <w:kern w:val="0"/>
                <w:sz w:val="20"/>
                <w:szCs w:val="20"/>
                <w:lang w:val="en-US" w:eastAsia="en-US" w:bidi="ar-SA"/>
              </w:rPr>
              <w:t>"</w:t>
            </w:r>
            <w:r>
              <w:rPr>
                <w:rFonts w:ascii="宋体" w:hAnsi="宋体" w:eastAsia="宋体" w:cs="宋体"/>
                <w:snapToGrid w:val="0"/>
                <w:color w:val="000000"/>
                <w:spacing w:val="3"/>
                <w:kern w:val="0"/>
                <w:sz w:val="20"/>
                <w:szCs w:val="20"/>
                <w:lang w:val="en-US" w:eastAsia="en-US" w:bidi="ar-SA"/>
              </w:rPr>
              <w:t>。</w:t>
            </w:r>
          </w:p>
        </w:tc>
        <w:tc>
          <w:tcPr>
            <w:tcW w:w="1710" w:type="dxa"/>
            <w:vAlign w:val="top"/>
          </w:tcPr>
          <w:p w14:paraId="6B39456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加油作业区无明</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火</w:t>
            </w:r>
          </w:p>
        </w:tc>
        <w:tc>
          <w:tcPr>
            <w:tcW w:w="1710" w:type="dxa"/>
            <w:vAlign w:val="top"/>
          </w:tcPr>
          <w:p w14:paraId="367A9E5B">
            <w:pPr>
              <w:kinsoku w:val="0"/>
              <w:autoSpaceDE w:val="0"/>
              <w:autoSpaceDN w:val="0"/>
              <w:adjustRightInd w:val="0"/>
              <w:snapToGrid w:val="0"/>
              <w:spacing w:before="118" w:line="200"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C371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699" w:type="dxa"/>
            <w:vMerge w:val="continue"/>
            <w:vAlign w:val="top"/>
          </w:tcPr>
          <w:p w14:paraId="63CB985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839C96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8EB0F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position w:val="-4"/>
                <w:sz w:val="20"/>
                <w:szCs w:val="20"/>
                <w:lang w:val="en-US" w:eastAsia="en-US" w:bidi="ar-SA"/>
              </w:rPr>
              <w:t>（</w:t>
            </w:r>
            <w:r>
              <w:rPr>
                <w:rFonts w:ascii="Times New Roman" w:hAnsi="Times New Roman" w:eastAsia="Times New Roman" w:cs="Times New Roman"/>
                <w:snapToGrid w:val="0"/>
                <w:color w:val="000000"/>
                <w:spacing w:val="6"/>
                <w:kern w:val="0"/>
                <w:position w:val="-4"/>
                <w:sz w:val="20"/>
                <w:szCs w:val="20"/>
                <w:lang w:val="en-US" w:eastAsia="en-US" w:bidi="ar-SA"/>
              </w:rPr>
              <w:t>15</w:t>
            </w:r>
            <w:r>
              <w:rPr>
                <w:rFonts w:ascii="宋体" w:hAnsi="宋体" w:eastAsia="宋体" w:cs="宋体"/>
                <w:snapToGrid w:val="0"/>
                <w:color w:val="000000"/>
                <w:spacing w:val="6"/>
                <w:kern w:val="0"/>
                <w:position w:val="-4"/>
                <w:sz w:val="20"/>
                <w:szCs w:val="20"/>
                <w:lang w:val="en-US" w:eastAsia="en-US" w:bidi="ar-SA"/>
              </w:rPr>
              <w:t>）站房不应布置在爆炸危险区域。站房部分位于作</w:t>
            </w:r>
            <w:r>
              <w:rPr>
                <w:rFonts w:ascii="宋体" w:hAnsi="宋体" w:eastAsia="宋体" w:cs="宋体"/>
                <w:snapToGrid w:val="0"/>
                <w:color w:val="000000"/>
                <w:spacing w:val="6"/>
                <w:kern w:val="0"/>
                <w:sz w:val="20"/>
                <w:szCs w:val="20"/>
                <w:lang w:val="en-US" w:eastAsia="en-US" w:bidi="ar-SA"/>
              </w:rPr>
              <w:t>业区内时，建筑面积等应符合《汽车加油加气站设计与</w:t>
            </w:r>
            <w:r>
              <w:rPr>
                <w:rFonts w:ascii="宋体" w:hAnsi="宋体" w:eastAsia="宋体" w:cs="宋体"/>
                <w:snapToGrid w:val="0"/>
                <w:color w:val="000000"/>
                <w:spacing w:val="18"/>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施工规范》第</w:t>
            </w:r>
            <w:r>
              <w:rPr>
                <w:rFonts w:ascii="Times New Roman" w:hAnsi="Times New Roman" w:eastAsia="Times New Roman" w:cs="Times New Roman"/>
                <w:snapToGrid w:val="0"/>
                <w:color w:val="000000"/>
                <w:spacing w:val="5"/>
                <w:kern w:val="0"/>
                <w:sz w:val="20"/>
                <w:szCs w:val="20"/>
                <w:lang w:val="en-US" w:eastAsia="en-US" w:bidi="ar-SA"/>
              </w:rPr>
              <w:t>14.2.10</w:t>
            </w:r>
            <w:r>
              <w:rPr>
                <w:rFonts w:ascii="宋体" w:hAnsi="宋体" w:eastAsia="宋体" w:cs="宋体"/>
                <w:snapToGrid w:val="0"/>
                <w:color w:val="000000"/>
                <w:spacing w:val="5"/>
                <w:kern w:val="0"/>
                <w:sz w:val="20"/>
                <w:szCs w:val="20"/>
                <w:lang w:val="en-US" w:eastAsia="en-US" w:bidi="ar-SA"/>
              </w:rPr>
              <w:t>条的规定。</w:t>
            </w:r>
          </w:p>
        </w:tc>
        <w:tc>
          <w:tcPr>
            <w:tcW w:w="1710" w:type="dxa"/>
            <w:vAlign w:val="top"/>
          </w:tcPr>
          <w:p w14:paraId="7CB11952">
            <w:pPr>
              <w:keepNext w:val="0"/>
              <w:keepLines w:val="0"/>
              <w:pageBreakBefore w:val="0"/>
              <w:kinsoku w:val="0"/>
              <w:wordWrap/>
              <w:overflowPunct/>
              <w:topLinePunct w:val="0"/>
              <w:autoSpaceDE w:val="0"/>
              <w:autoSpaceDN w:val="0"/>
              <w:bidi w:val="0"/>
              <w:adjustRightInd w:val="0"/>
              <w:snapToGrid w:val="0"/>
              <w:spacing w:before="0" w:line="240" w:lineRule="auto"/>
              <w:ind w:left="0"/>
              <w:jc w:val="left"/>
              <w:textAlignment w:val="baseline"/>
              <w:rPr>
                <w:rFonts w:ascii="宋体" w:hAnsi="宋体" w:eastAsia="宋体" w:cs="宋体"/>
                <w:snapToGrid w:val="0"/>
                <w:color w:val="000000"/>
                <w:spacing w:val="8"/>
                <w:kern w:val="0"/>
                <w:position w:val="-4"/>
                <w:sz w:val="20"/>
                <w:szCs w:val="20"/>
                <w:lang w:val="en-US" w:eastAsia="en-US" w:bidi="ar-SA"/>
              </w:rPr>
            </w:pPr>
            <w:r>
              <w:rPr>
                <w:rFonts w:ascii="宋体" w:hAnsi="宋体" w:eastAsia="宋体" w:cs="宋体"/>
                <w:snapToGrid w:val="0"/>
                <w:color w:val="000000"/>
                <w:spacing w:val="8"/>
                <w:kern w:val="0"/>
                <w:position w:val="-4"/>
                <w:sz w:val="20"/>
                <w:szCs w:val="20"/>
                <w:lang w:val="en-US" w:eastAsia="en-US" w:bidi="ar-SA"/>
              </w:rPr>
              <w:t>站房不在爆炸危</w:t>
            </w:r>
          </w:p>
          <w:p w14:paraId="13A892CE">
            <w:pPr>
              <w:keepNext w:val="0"/>
              <w:keepLines w:val="0"/>
              <w:pageBreakBefore w:val="0"/>
              <w:kinsoku w:val="0"/>
              <w:wordWrap/>
              <w:overflowPunct/>
              <w:topLinePunct w:val="0"/>
              <w:autoSpaceDE w:val="0"/>
              <w:autoSpaceDN w:val="0"/>
              <w:bidi w:val="0"/>
              <w:adjustRightInd w:val="0"/>
              <w:snapToGrid w:val="0"/>
              <w:spacing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险区域内</w:t>
            </w:r>
          </w:p>
        </w:tc>
        <w:tc>
          <w:tcPr>
            <w:tcW w:w="1710" w:type="dxa"/>
            <w:vAlign w:val="top"/>
          </w:tcPr>
          <w:p w14:paraId="43319B22">
            <w:pPr>
              <w:kinsoku w:val="0"/>
              <w:autoSpaceDE w:val="0"/>
              <w:autoSpaceDN w:val="0"/>
              <w:adjustRightInd w:val="0"/>
              <w:snapToGrid w:val="0"/>
              <w:spacing w:before="29" w:line="229" w:lineRule="auto"/>
              <w:ind w:left="230"/>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符合要求</w:t>
            </w:r>
          </w:p>
        </w:tc>
      </w:tr>
      <w:tr w14:paraId="085FE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75" w:hRule="atLeast"/>
        </w:trPr>
        <w:tc>
          <w:tcPr>
            <w:tcW w:w="699" w:type="dxa"/>
            <w:vMerge w:val="continue"/>
            <w:vAlign w:val="top"/>
          </w:tcPr>
          <w:p w14:paraId="6ED527D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1A709B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1C91291">
            <w:pPr>
              <w:kinsoku w:val="0"/>
              <w:autoSpaceDE w:val="0"/>
              <w:autoSpaceDN w:val="0"/>
              <w:adjustRightInd w:val="0"/>
              <w:snapToGrid w:val="0"/>
              <w:spacing w:before="46" w:line="249" w:lineRule="auto"/>
              <w:ind w:left="99" w:right="100" w:firstLine="14"/>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16</w:t>
            </w:r>
            <w:r>
              <w:rPr>
                <w:rFonts w:ascii="宋体" w:hAnsi="宋体" w:eastAsia="宋体" w:cs="宋体"/>
                <w:snapToGrid w:val="0"/>
                <w:color w:val="000000"/>
                <w:spacing w:val="6"/>
                <w:kern w:val="0"/>
                <w:sz w:val="20"/>
                <w:szCs w:val="20"/>
                <w:lang w:val="en-US" w:eastAsia="en-US" w:bidi="ar-SA"/>
              </w:rPr>
              <w:t>）当加油站内设置非油品业务建筑物或设施时，不</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应布置在作业区内，与站内可燃液体或可燃气体设</w:t>
            </w:r>
            <w:r>
              <w:rPr>
                <w:rFonts w:ascii="宋体" w:hAnsi="宋体" w:eastAsia="宋体" w:cs="宋体"/>
                <w:snapToGrid w:val="0"/>
                <w:color w:val="000000"/>
                <w:spacing w:val="6"/>
                <w:kern w:val="0"/>
                <w:sz w:val="20"/>
                <w:szCs w:val="20"/>
                <w:lang w:val="en-US" w:eastAsia="en-US" w:bidi="ar-SA"/>
              </w:rPr>
              <w:t>备的</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防火间距应符合《汽车加油加气站设计与施工规范</w:t>
            </w:r>
            <w:r>
              <w:rPr>
                <w:rFonts w:ascii="宋体" w:hAnsi="宋体" w:eastAsia="宋体" w:cs="宋体"/>
                <w:snapToGrid w:val="0"/>
                <w:color w:val="000000"/>
                <w:spacing w:val="6"/>
                <w:kern w:val="0"/>
                <w:sz w:val="20"/>
                <w:szCs w:val="20"/>
                <w:lang w:val="en-US" w:eastAsia="en-US" w:bidi="ar-SA"/>
              </w:rPr>
              <w:t>》第</w:t>
            </w:r>
            <w:r>
              <w:rPr>
                <w:rFonts w:ascii="Times New Roman" w:hAnsi="Times New Roman" w:eastAsia="Times New Roman" w:cs="Times New Roman"/>
                <w:snapToGrid w:val="0"/>
                <w:color w:val="000000"/>
                <w:spacing w:val="8"/>
                <w:kern w:val="0"/>
                <w:sz w:val="20"/>
                <w:szCs w:val="20"/>
                <w:lang w:val="en-US" w:eastAsia="en-US" w:bidi="ar-SA"/>
              </w:rPr>
              <w:t>4.0.4</w:t>
            </w:r>
            <w:r>
              <w:rPr>
                <w:rFonts w:ascii="宋体" w:hAnsi="宋体" w:eastAsia="宋体" w:cs="宋体"/>
                <w:snapToGrid w:val="0"/>
                <w:color w:val="000000"/>
                <w:spacing w:val="8"/>
                <w:kern w:val="0"/>
                <w:sz w:val="20"/>
                <w:szCs w:val="20"/>
                <w:lang w:val="en-US" w:eastAsia="en-US" w:bidi="ar-SA"/>
              </w:rPr>
              <w:t>条</w:t>
            </w:r>
            <w:r>
              <w:rPr>
                <w:rFonts w:ascii="Times New Roman" w:hAnsi="Times New Roman" w:eastAsia="Times New Roman" w:cs="Times New Roman"/>
                <w:snapToGrid w:val="0"/>
                <w:color w:val="000000"/>
                <w:spacing w:val="8"/>
                <w:kern w:val="0"/>
                <w:sz w:val="20"/>
                <w:szCs w:val="20"/>
                <w:lang w:val="en-US" w:eastAsia="en-US" w:bidi="ar-SA"/>
              </w:rPr>
              <w:t>~</w:t>
            </w:r>
            <w:r>
              <w:rPr>
                <w:rFonts w:ascii="宋体" w:hAnsi="宋体" w:eastAsia="宋体" w:cs="宋体"/>
                <w:snapToGrid w:val="0"/>
                <w:color w:val="000000"/>
                <w:spacing w:val="8"/>
                <w:kern w:val="0"/>
                <w:sz w:val="20"/>
                <w:szCs w:val="20"/>
                <w:lang w:val="en-US" w:eastAsia="en-US" w:bidi="ar-SA"/>
              </w:rPr>
              <w:t>第</w:t>
            </w:r>
            <w:r>
              <w:rPr>
                <w:rFonts w:ascii="Times New Roman" w:hAnsi="Times New Roman" w:eastAsia="Times New Roman" w:cs="Times New Roman"/>
                <w:snapToGrid w:val="0"/>
                <w:color w:val="000000"/>
                <w:spacing w:val="8"/>
                <w:kern w:val="0"/>
                <w:sz w:val="20"/>
                <w:szCs w:val="20"/>
                <w:lang w:val="en-US" w:eastAsia="en-US" w:bidi="ar-SA"/>
              </w:rPr>
              <w:t>4.0.8</w:t>
            </w:r>
            <w:r>
              <w:rPr>
                <w:rFonts w:ascii="宋体" w:hAnsi="宋体" w:eastAsia="宋体" w:cs="宋体"/>
                <w:snapToGrid w:val="0"/>
                <w:color w:val="000000"/>
                <w:spacing w:val="8"/>
                <w:kern w:val="0"/>
                <w:sz w:val="20"/>
                <w:szCs w:val="20"/>
                <w:lang w:val="en-US" w:eastAsia="en-US" w:bidi="ar-SA"/>
              </w:rPr>
              <w:t>条有关三类保护物的规定。当站内经营</w:t>
            </w:r>
            <w:r>
              <w:rPr>
                <w:rFonts w:ascii="宋体" w:hAnsi="宋体" w:eastAsia="宋体" w:cs="宋体"/>
                <w:snapToGrid w:val="0"/>
                <w:color w:val="000000"/>
                <w:spacing w:val="7"/>
                <w:kern w:val="0"/>
                <w:sz w:val="20"/>
                <w:szCs w:val="20"/>
                <w:lang w:val="en-US" w:eastAsia="en-US" w:bidi="ar-SA"/>
              </w:rPr>
              <w:t>性餐饮、汽车服务、司机休息室等设施内设置明火</w:t>
            </w:r>
            <w:r>
              <w:rPr>
                <w:rFonts w:ascii="宋体" w:hAnsi="宋体" w:eastAsia="宋体" w:cs="宋体"/>
                <w:snapToGrid w:val="0"/>
                <w:color w:val="000000"/>
                <w:spacing w:val="6"/>
                <w:kern w:val="0"/>
                <w:sz w:val="20"/>
                <w:szCs w:val="20"/>
                <w:lang w:val="en-US" w:eastAsia="en-US" w:bidi="ar-SA"/>
              </w:rPr>
              <w:t>设备时，应等同于“</w:t>
            </w:r>
            <w:r>
              <w:rPr>
                <w:rFonts w:ascii="宋体" w:hAnsi="宋体" w:eastAsia="宋体" w:cs="宋体"/>
                <w:snapToGrid w:val="0"/>
                <w:color w:val="000000"/>
                <w:spacing w:val="-57"/>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明火地点</w:t>
            </w:r>
            <w:r>
              <w:rPr>
                <w:rFonts w:ascii="宋体" w:hAnsi="宋体" w:eastAsia="宋体" w:cs="宋体"/>
                <w:snapToGrid w:val="0"/>
                <w:color w:val="000000"/>
                <w:spacing w:val="-7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”或“散发火花地点</w:t>
            </w:r>
            <w:r>
              <w:rPr>
                <w:rFonts w:ascii="宋体" w:hAnsi="宋体" w:eastAsia="宋体" w:cs="宋体"/>
                <w:snapToGrid w:val="0"/>
                <w:color w:val="000000"/>
                <w:spacing w:val="-7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w:t>
            </w:r>
          </w:p>
        </w:tc>
        <w:tc>
          <w:tcPr>
            <w:tcW w:w="1710" w:type="dxa"/>
            <w:vAlign w:val="top"/>
          </w:tcPr>
          <w:p w14:paraId="7A945F40">
            <w:pPr>
              <w:widowControl/>
              <w:kinsoku w:val="0"/>
              <w:autoSpaceDE w:val="0"/>
              <w:autoSpaceDN w:val="0"/>
              <w:adjustRightInd w:val="0"/>
              <w:snapToGrid w:val="0"/>
              <w:spacing w:line="270" w:lineRule="auto"/>
              <w:jc w:val="left"/>
              <w:textAlignment w:val="baseline"/>
              <w:rPr>
                <w:rFonts w:ascii="Arial" w:hAnsi="Arial" w:eastAsia="Arial" w:cs="Arial"/>
                <w:snapToGrid w:val="0"/>
                <w:color w:val="000000"/>
                <w:kern w:val="0"/>
                <w:sz w:val="21"/>
                <w:lang w:eastAsia="en-US"/>
              </w:rPr>
            </w:pPr>
          </w:p>
          <w:p w14:paraId="53018536">
            <w:pPr>
              <w:widowControl/>
              <w:kinsoku w:val="0"/>
              <w:autoSpaceDE w:val="0"/>
              <w:autoSpaceDN w:val="0"/>
              <w:adjustRightInd w:val="0"/>
              <w:snapToGrid w:val="0"/>
              <w:spacing w:line="270" w:lineRule="auto"/>
              <w:jc w:val="left"/>
              <w:textAlignment w:val="baseline"/>
              <w:rPr>
                <w:rFonts w:ascii="Arial" w:hAnsi="Arial" w:eastAsia="Arial" w:cs="Arial"/>
                <w:snapToGrid w:val="0"/>
                <w:color w:val="000000"/>
                <w:kern w:val="0"/>
                <w:sz w:val="21"/>
                <w:lang w:eastAsia="en-US"/>
              </w:rPr>
            </w:pPr>
          </w:p>
          <w:p w14:paraId="4696487D">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无非油品业务建</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筑物和设施</w:t>
            </w:r>
          </w:p>
        </w:tc>
        <w:tc>
          <w:tcPr>
            <w:tcW w:w="1710" w:type="dxa"/>
            <w:vAlign w:val="top"/>
          </w:tcPr>
          <w:p w14:paraId="76E49503">
            <w:pPr>
              <w:widowControl/>
              <w:kinsoku w:val="0"/>
              <w:autoSpaceDE w:val="0"/>
              <w:autoSpaceDN w:val="0"/>
              <w:adjustRightInd w:val="0"/>
              <w:snapToGrid w:val="0"/>
              <w:spacing w:line="270" w:lineRule="auto"/>
              <w:jc w:val="left"/>
              <w:textAlignment w:val="baseline"/>
              <w:rPr>
                <w:rFonts w:ascii="Arial" w:hAnsi="Arial" w:eastAsia="Arial" w:cs="Arial"/>
                <w:snapToGrid w:val="0"/>
                <w:color w:val="000000"/>
                <w:kern w:val="0"/>
                <w:sz w:val="21"/>
                <w:lang w:eastAsia="en-US"/>
              </w:rPr>
            </w:pPr>
          </w:p>
          <w:p w14:paraId="4BE859E2">
            <w:pPr>
              <w:widowControl/>
              <w:kinsoku w:val="0"/>
              <w:autoSpaceDE w:val="0"/>
              <w:autoSpaceDN w:val="0"/>
              <w:adjustRightInd w:val="0"/>
              <w:snapToGrid w:val="0"/>
              <w:spacing w:line="270" w:lineRule="auto"/>
              <w:jc w:val="left"/>
              <w:textAlignment w:val="baseline"/>
              <w:rPr>
                <w:rFonts w:ascii="Arial" w:hAnsi="Arial" w:eastAsia="Arial" w:cs="Arial"/>
                <w:snapToGrid w:val="0"/>
                <w:color w:val="000000"/>
                <w:kern w:val="0"/>
                <w:sz w:val="21"/>
                <w:lang w:eastAsia="en-US"/>
              </w:rPr>
            </w:pPr>
          </w:p>
          <w:p w14:paraId="7E8A6484">
            <w:pPr>
              <w:kinsoku w:val="0"/>
              <w:autoSpaceDE w:val="0"/>
              <w:autoSpaceDN w:val="0"/>
              <w:adjustRightInd w:val="0"/>
              <w:snapToGrid w:val="0"/>
              <w:spacing w:before="65"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2476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01C7081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6EE42EA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D724E9E">
            <w:pPr>
              <w:kinsoku w:val="0"/>
              <w:autoSpaceDE w:val="0"/>
              <w:autoSpaceDN w:val="0"/>
              <w:adjustRightInd w:val="0"/>
              <w:snapToGrid w:val="0"/>
              <w:spacing w:before="59" w:line="227" w:lineRule="auto"/>
              <w:ind w:left="121" w:right="100" w:hanging="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17</w:t>
            </w:r>
            <w:r>
              <w:rPr>
                <w:rFonts w:ascii="宋体" w:hAnsi="宋体" w:eastAsia="宋体" w:cs="宋体"/>
                <w:snapToGrid w:val="0"/>
                <w:color w:val="000000"/>
                <w:spacing w:val="6"/>
                <w:kern w:val="0"/>
                <w:sz w:val="20"/>
                <w:szCs w:val="20"/>
                <w:lang w:val="en-US" w:eastAsia="en-US" w:bidi="ar-SA"/>
              </w:rPr>
              <w:t>）汽车加油加气加氢站内的爆炸危险区域，不应超</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出站区围墙和可用地界线。</w:t>
            </w:r>
          </w:p>
        </w:tc>
        <w:tc>
          <w:tcPr>
            <w:tcW w:w="1710" w:type="dxa"/>
            <w:vAlign w:val="top"/>
          </w:tcPr>
          <w:p w14:paraId="57B5CBFD">
            <w:pPr>
              <w:keepNext w:val="0"/>
              <w:keepLines w:val="0"/>
              <w:pageBreakBefore w:val="0"/>
              <w:widowControl w:val="0"/>
              <w:kinsoku w:val="0"/>
              <w:wordWrap/>
              <w:overflowPunct/>
              <w:topLinePunct w:val="0"/>
              <w:autoSpaceDE w:val="0"/>
              <w:autoSpaceDN w:val="0"/>
              <w:bidi w:val="0"/>
              <w:adjustRightInd/>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未超出站区围墙</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和可用地界线</w:t>
            </w:r>
          </w:p>
        </w:tc>
        <w:tc>
          <w:tcPr>
            <w:tcW w:w="1710" w:type="dxa"/>
            <w:vAlign w:val="top"/>
          </w:tcPr>
          <w:p w14:paraId="13486F2E">
            <w:pPr>
              <w:kinsoku w:val="0"/>
              <w:autoSpaceDE w:val="0"/>
              <w:autoSpaceDN w:val="0"/>
              <w:adjustRightInd w:val="0"/>
              <w:snapToGrid w:val="0"/>
              <w:spacing w:before="59" w:line="227"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EBB9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1A0CBE9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1FCE96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2AF03ED">
            <w:pPr>
              <w:widowControl/>
              <w:kinsoku w:val="0"/>
              <w:autoSpaceDE w:val="0"/>
              <w:autoSpaceDN w:val="0"/>
              <w:adjustRightInd w:val="0"/>
              <w:snapToGrid w:val="0"/>
              <w:spacing w:line="276" w:lineRule="auto"/>
              <w:jc w:val="left"/>
              <w:textAlignment w:val="baseline"/>
              <w:rPr>
                <w:rFonts w:ascii="Arial" w:hAnsi="Arial" w:eastAsia="Arial" w:cs="Arial"/>
                <w:snapToGrid w:val="0"/>
                <w:color w:val="000000"/>
                <w:kern w:val="0"/>
                <w:sz w:val="21"/>
                <w:lang w:eastAsia="en-US"/>
              </w:rPr>
            </w:pPr>
          </w:p>
          <w:p w14:paraId="79B774AF">
            <w:pPr>
              <w:kinsoku w:val="0"/>
              <w:autoSpaceDE w:val="0"/>
              <w:autoSpaceDN w:val="0"/>
              <w:adjustRightInd w:val="0"/>
              <w:snapToGrid w:val="0"/>
              <w:spacing w:before="65"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18</w:t>
            </w:r>
            <w:r>
              <w:rPr>
                <w:rFonts w:ascii="宋体" w:hAnsi="宋体" w:eastAsia="宋体" w:cs="宋体"/>
                <w:snapToGrid w:val="0"/>
                <w:color w:val="000000"/>
                <w:spacing w:val="8"/>
                <w:kern w:val="0"/>
                <w:sz w:val="20"/>
                <w:szCs w:val="20"/>
                <w:lang w:val="en-US" w:eastAsia="en-US" w:bidi="ar-SA"/>
              </w:rPr>
              <w:t>）架空电力线路不应跨越加油站的加油作业区。</w:t>
            </w:r>
          </w:p>
        </w:tc>
        <w:tc>
          <w:tcPr>
            <w:tcW w:w="1710" w:type="dxa"/>
            <w:vAlign w:val="top"/>
          </w:tcPr>
          <w:p w14:paraId="5C94898C">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无架空电力线跨</w:t>
            </w:r>
          </w:p>
          <w:p w14:paraId="5707F731">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越加油站加油作</w:t>
            </w:r>
            <w:r>
              <w:rPr>
                <w:rFonts w:ascii="宋体" w:hAnsi="宋体" w:eastAsia="宋体" w:cs="宋体"/>
                <w:snapToGrid w:val="0"/>
                <w:color w:val="000000"/>
                <w:spacing w:val="5"/>
                <w:kern w:val="0"/>
                <w:sz w:val="20"/>
                <w:szCs w:val="20"/>
                <w:lang w:val="en-US" w:eastAsia="en-US" w:bidi="ar-SA"/>
              </w:rPr>
              <w:t>业区</w:t>
            </w:r>
          </w:p>
        </w:tc>
        <w:tc>
          <w:tcPr>
            <w:tcW w:w="1710" w:type="dxa"/>
            <w:vAlign w:val="top"/>
          </w:tcPr>
          <w:p w14:paraId="661735B6">
            <w:pPr>
              <w:kinsoku w:val="0"/>
              <w:autoSpaceDE w:val="0"/>
              <w:autoSpaceDN w:val="0"/>
              <w:adjustRightInd w:val="0"/>
              <w:snapToGrid w:val="0"/>
              <w:spacing w:before="200"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A5D4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restart"/>
            <w:vAlign w:val="top"/>
          </w:tcPr>
          <w:p w14:paraId="68707D89">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2DD40A91">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6EDD3592">
            <w:pPr>
              <w:widowControl/>
              <w:kinsoku w:val="0"/>
              <w:autoSpaceDE w:val="0"/>
              <w:autoSpaceDN w:val="0"/>
              <w:adjustRightInd w:val="0"/>
              <w:snapToGrid w:val="0"/>
              <w:spacing w:line="259" w:lineRule="auto"/>
              <w:jc w:val="left"/>
              <w:textAlignment w:val="baseline"/>
              <w:rPr>
                <w:rFonts w:ascii="Arial" w:hAnsi="Arial" w:eastAsia="Arial" w:cs="Arial"/>
                <w:snapToGrid w:val="0"/>
                <w:color w:val="000000"/>
                <w:kern w:val="0"/>
                <w:sz w:val="21"/>
                <w:lang w:eastAsia="en-US"/>
              </w:rPr>
            </w:pPr>
          </w:p>
          <w:p w14:paraId="7FFF3324">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284A1A7E">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50B11817">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3D1A92AC">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3EBE321B">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71497C3E">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22A8547A">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4715C3A4">
            <w:pPr>
              <w:widowControl/>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lang w:eastAsia="en-US"/>
              </w:rPr>
            </w:pPr>
          </w:p>
          <w:p w14:paraId="49961A57">
            <w:pPr>
              <w:widowControl/>
              <w:kinsoku w:val="0"/>
              <w:autoSpaceDE w:val="0"/>
              <w:autoSpaceDN w:val="0"/>
              <w:adjustRightInd w:val="0"/>
              <w:snapToGrid w:val="0"/>
              <w:spacing w:before="57" w:line="195" w:lineRule="auto"/>
              <w:ind w:left="219"/>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2</w:t>
            </w:r>
          </w:p>
        </w:tc>
        <w:tc>
          <w:tcPr>
            <w:tcW w:w="625" w:type="dxa"/>
            <w:vMerge w:val="restart"/>
            <w:vAlign w:val="top"/>
          </w:tcPr>
          <w:p w14:paraId="23241B28">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420C943D">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439B96EA">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654FECBB">
            <w:pPr>
              <w:widowControl/>
              <w:kinsoku w:val="0"/>
              <w:autoSpaceDE w:val="0"/>
              <w:autoSpaceDN w:val="0"/>
              <w:adjustRightInd w:val="0"/>
              <w:snapToGrid w:val="0"/>
              <w:spacing w:line="253" w:lineRule="auto"/>
              <w:jc w:val="left"/>
              <w:textAlignment w:val="baseline"/>
              <w:rPr>
                <w:rFonts w:ascii="Arial" w:hAnsi="Arial" w:eastAsia="Arial" w:cs="Arial"/>
                <w:snapToGrid w:val="0"/>
                <w:color w:val="000000"/>
                <w:kern w:val="0"/>
                <w:sz w:val="21"/>
                <w:lang w:eastAsia="en-US"/>
              </w:rPr>
            </w:pPr>
          </w:p>
          <w:p w14:paraId="24AB6BAE">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324FAE2C">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07F812F4">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681BC567">
            <w:pPr>
              <w:widowControl/>
              <w:kinsoku w:val="0"/>
              <w:autoSpaceDE w:val="0"/>
              <w:autoSpaceDN w:val="0"/>
              <w:adjustRightInd w:val="0"/>
              <w:snapToGrid w:val="0"/>
              <w:spacing w:line="254" w:lineRule="auto"/>
              <w:jc w:val="left"/>
              <w:textAlignment w:val="baseline"/>
              <w:rPr>
                <w:rFonts w:ascii="Arial" w:hAnsi="Arial" w:eastAsia="Arial" w:cs="Arial"/>
                <w:snapToGrid w:val="0"/>
                <w:color w:val="000000"/>
                <w:kern w:val="0"/>
                <w:sz w:val="21"/>
                <w:lang w:eastAsia="en-US"/>
              </w:rPr>
            </w:pPr>
          </w:p>
          <w:p w14:paraId="0A03F2FC">
            <w:pPr>
              <w:kinsoku w:val="0"/>
              <w:autoSpaceDE w:val="0"/>
              <w:autoSpaceDN w:val="0"/>
              <w:adjustRightInd w:val="0"/>
              <w:snapToGrid w:val="0"/>
              <w:spacing w:before="65" w:line="249" w:lineRule="auto"/>
              <w:ind w:right="176"/>
              <w:jc w:val="center"/>
              <w:textAlignment w:val="baseline"/>
              <w:rPr>
                <w:rFonts w:ascii="宋体" w:hAnsi="宋体" w:eastAsia="宋体" w:cs="宋体"/>
                <w:snapToGrid w:val="0"/>
                <w:color w:val="000000"/>
                <w:spacing w:val="3"/>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建</w:t>
            </w:r>
          </w:p>
          <w:p w14:paraId="6A6432C5">
            <w:pPr>
              <w:kinsoku w:val="0"/>
              <w:autoSpaceDE w:val="0"/>
              <w:autoSpaceDN w:val="0"/>
              <w:adjustRightInd w:val="0"/>
              <w:snapToGrid w:val="0"/>
              <w:spacing w:before="65" w:line="249" w:lineRule="auto"/>
              <w:ind w:right="176"/>
              <w:jc w:val="center"/>
              <w:textAlignment w:val="baseline"/>
              <w:rPr>
                <w:rFonts w:ascii="宋体" w:hAnsi="宋体" w:eastAsia="宋体" w:cs="宋体"/>
                <w:snapToGrid w:val="0"/>
                <w:color w:val="000000"/>
                <w:spacing w:val="3"/>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筑</w:t>
            </w:r>
          </w:p>
          <w:p w14:paraId="16E79A20">
            <w:pPr>
              <w:kinsoku w:val="0"/>
              <w:autoSpaceDE w:val="0"/>
              <w:autoSpaceDN w:val="0"/>
              <w:adjustRightInd w:val="0"/>
              <w:snapToGrid w:val="0"/>
              <w:spacing w:before="65" w:line="249" w:lineRule="auto"/>
              <w:ind w:right="176"/>
              <w:jc w:val="center"/>
              <w:textAlignment w:val="baseline"/>
              <w:rPr>
                <w:rFonts w:ascii="宋体" w:hAnsi="宋体" w:eastAsia="宋体" w:cs="宋体"/>
                <w:snapToGrid w:val="0"/>
                <w:color w:val="000000"/>
                <w:spacing w:val="3"/>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与</w:t>
            </w:r>
          </w:p>
          <w:p w14:paraId="6C5C77CC">
            <w:pPr>
              <w:kinsoku w:val="0"/>
              <w:autoSpaceDE w:val="0"/>
              <w:autoSpaceDN w:val="0"/>
              <w:adjustRightInd w:val="0"/>
              <w:snapToGrid w:val="0"/>
              <w:spacing w:before="65" w:line="249" w:lineRule="auto"/>
              <w:ind w:right="176"/>
              <w:jc w:val="center"/>
              <w:textAlignment w:val="baseline"/>
              <w:rPr>
                <w:rFonts w:ascii="宋体" w:hAnsi="宋体" w:eastAsia="宋体" w:cs="宋体"/>
                <w:snapToGrid w:val="0"/>
                <w:color w:val="000000"/>
                <w:spacing w:val="3"/>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设</w:t>
            </w:r>
          </w:p>
          <w:p w14:paraId="10ABA071">
            <w:pPr>
              <w:kinsoku w:val="0"/>
              <w:autoSpaceDE w:val="0"/>
              <w:autoSpaceDN w:val="0"/>
              <w:adjustRightInd w:val="0"/>
              <w:snapToGrid w:val="0"/>
              <w:spacing w:before="65" w:line="249" w:lineRule="auto"/>
              <w:ind w:right="176"/>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施</w:t>
            </w:r>
          </w:p>
        </w:tc>
        <w:tc>
          <w:tcPr>
            <w:tcW w:w="4745" w:type="dxa"/>
            <w:gridSpan w:val="2"/>
            <w:vAlign w:val="top"/>
          </w:tcPr>
          <w:p w14:paraId="465080A1">
            <w:pPr>
              <w:kinsoku w:val="0"/>
              <w:autoSpaceDE w:val="0"/>
              <w:autoSpaceDN w:val="0"/>
              <w:adjustRightInd w:val="0"/>
              <w:snapToGrid w:val="0"/>
              <w:spacing w:before="35" w:line="238" w:lineRule="auto"/>
              <w:ind w:left="108" w:right="100" w:firstLine="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6"/>
                <w:kern w:val="0"/>
                <w:sz w:val="20"/>
                <w:szCs w:val="20"/>
                <w:lang w:val="en-US" w:eastAsia="en-US" w:bidi="ar-SA"/>
              </w:rPr>
              <w:t>（</w:t>
            </w:r>
            <w:r>
              <w:rPr>
                <w:rFonts w:ascii="Times New Roman" w:hAnsi="Times New Roman" w:eastAsia="Times New Roman" w:cs="Times New Roman"/>
                <w:snapToGrid w:val="0"/>
                <w:color w:val="000000"/>
                <w:spacing w:val="16"/>
                <w:kern w:val="0"/>
                <w:sz w:val="20"/>
                <w:szCs w:val="20"/>
                <w:lang w:val="en-US" w:eastAsia="en-US" w:bidi="ar-SA"/>
              </w:rPr>
              <w:t>1)</w:t>
            </w:r>
            <w:r>
              <w:rPr>
                <w:rFonts w:ascii="宋体" w:hAnsi="宋体" w:eastAsia="宋体" w:cs="宋体"/>
                <w:snapToGrid w:val="0"/>
                <w:color w:val="000000"/>
                <w:spacing w:val="16"/>
                <w:kern w:val="0"/>
                <w:sz w:val="20"/>
                <w:szCs w:val="20"/>
                <w:lang w:val="en-US" w:eastAsia="en-US" w:bidi="ar-SA"/>
              </w:rPr>
              <w:t>加油作业区内的站房及其它附属建筑物的耐火等</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级不应低于二级。</w:t>
            </w:r>
          </w:p>
        </w:tc>
        <w:tc>
          <w:tcPr>
            <w:tcW w:w="1710" w:type="dxa"/>
            <w:vAlign w:val="top"/>
          </w:tcPr>
          <w:p w14:paraId="74247ED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站房为二级耐火</w:t>
            </w:r>
            <w:r>
              <w:rPr>
                <w:rFonts w:ascii="宋体" w:hAnsi="宋体" w:eastAsia="宋体" w:cs="宋体"/>
                <w:snapToGrid w:val="0"/>
                <w:color w:val="000000"/>
                <w:spacing w:val="3"/>
                <w:kern w:val="0"/>
                <w:sz w:val="20"/>
                <w:szCs w:val="20"/>
                <w:lang w:val="en-US" w:eastAsia="en-US" w:bidi="ar-SA"/>
              </w:rPr>
              <w:t>等级</w:t>
            </w:r>
          </w:p>
        </w:tc>
        <w:tc>
          <w:tcPr>
            <w:tcW w:w="1710" w:type="dxa"/>
            <w:vAlign w:val="top"/>
          </w:tcPr>
          <w:p w14:paraId="5E893A51">
            <w:pPr>
              <w:kinsoku w:val="0"/>
              <w:autoSpaceDE w:val="0"/>
              <w:autoSpaceDN w:val="0"/>
              <w:adjustRightInd w:val="0"/>
              <w:snapToGrid w:val="0"/>
              <w:spacing w:before="67" w:line="22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1DE4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4ABE4F9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864E83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3E37E99">
            <w:pPr>
              <w:kinsoku w:val="0"/>
              <w:autoSpaceDE w:val="0"/>
              <w:autoSpaceDN w:val="0"/>
              <w:adjustRightInd w:val="0"/>
              <w:snapToGrid w:val="0"/>
              <w:spacing w:before="210" w:line="244" w:lineRule="auto"/>
              <w:ind w:left="106" w:right="98"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2</w:t>
            </w:r>
            <w:r>
              <w:rPr>
                <w:rFonts w:ascii="宋体" w:hAnsi="宋体" w:eastAsia="宋体" w:cs="宋体"/>
                <w:snapToGrid w:val="0"/>
                <w:color w:val="000000"/>
                <w:spacing w:val="10"/>
                <w:kern w:val="0"/>
                <w:sz w:val="20"/>
                <w:szCs w:val="20"/>
                <w:lang w:val="en-US" w:eastAsia="en-US" w:bidi="ar-SA"/>
              </w:rPr>
              <w:t>）站内建筑防雷防静电设施是否按要求设置，是否</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经过定期防雷检测，并出具了检测合格报告。</w:t>
            </w:r>
          </w:p>
        </w:tc>
        <w:tc>
          <w:tcPr>
            <w:tcW w:w="1710" w:type="dxa"/>
            <w:vAlign w:val="top"/>
          </w:tcPr>
          <w:p w14:paraId="0EDE66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经过防雷检测，</w:t>
            </w:r>
            <w:r>
              <w:rPr>
                <w:rFonts w:ascii="宋体" w:hAnsi="宋体" w:eastAsia="宋体" w:cs="宋体"/>
                <w:snapToGrid w:val="0"/>
                <w:color w:val="000000"/>
                <w:spacing w:val="8"/>
                <w:kern w:val="0"/>
                <w:sz w:val="20"/>
                <w:szCs w:val="20"/>
                <w:lang w:val="en-US" w:eastAsia="en-US" w:bidi="ar-SA"/>
              </w:rPr>
              <w:t>有检测报告，见</w:t>
            </w:r>
            <w:r>
              <w:rPr>
                <w:rFonts w:ascii="宋体" w:hAnsi="宋体" w:eastAsia="宋体" w:cs="宋体"/>
                <w:snapToGrid w:val="0"/>
                <w:color w:val="000000"/>
                <w:spacing w:val="-3"/>
                <w:kern w:val="0"/>
                <w:sz w:val="20"/>
                <w:szCs w:val="20"/>
                <w:lang w:val="en-US" w:eastAsia="en-US" w:bidi="ar-SA"/>
              </w:rPr>
              <w:t>附件</w:t>
            </w:r>
          </w:p>
        </w:tc>
        <w:tc>
          <w:tcPr>
            <w:tcW w:w="1710" w:type="dxa"/>
            <w:vAlign w:val="top"/>
          </w:tcPr>
          <w:p w14:paraId="2600BC80">
            <w:pPr>
              <w:kinsoku w:val="0"/>
              <w:autoSpaceDE w:val="0"/>
              <w:autoSpaceDN w:val="0"/>
              <w:adjustRightInd w:val="0"/>
              <w:snapToGrid w:val="0"/>
              <w:spacing w:before="210"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3B6A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5073E9B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312F56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EDF1806">
            <w:pPr>
              <w:kinsoku w:val="0"/>
              <w:autoSpaceDE w:val="0"/>
              <w:autoSpaceDN w:val="0"/>
              <w:adjustRightInd w:val="0"/>
              <w:snapToGrid w:val="0"/>
              <w:spacing w:before="184" w:line="258" w:lineRule="auto"/>
              <w:ind w:left="106" w:right="100"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3)</w:t>
            </w:r>
            <w:r>
              <w:rPr>
                <w:rFonts w:ascii="宋体" w:hAnsi="宋体" w:eastAsia="宋体" w:cs="宋体"/>
                <w:snapToGrid w:val="0"/>
                <w:color w:val="000000"/>
                <w:spacing w:val="7"/>
                <w:kern w:val="0"/>
                <w:sz w:val="20"/>
                <w:szCs w:val="20"/>
                <w:lang w:val="en-US" w:eastAsia="en-US" w:bidi="ar-SA"/>
              </w:rPr>
              <w:t>加油站内设置的经营性餐饮、汽车服务等非站房所</w:t>
            </w:r>
            <w:r>
              <w:rPr>
                <w:rFonts w:ascii="宋体" w:hAnsi="宋体" w:eastAsia="宋体" w:cs="宋体"/>
                <w:snapToGrid w:val="0"/>
                <w:color w:val="000000"/>
                <w:spacing w:val="9"/>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属建筑物和设施不应布置在加油作业区内。</w:t>
            </w:r>
          </w:p>
        </w:tc>
        <w:tc>
          <w:tcPr>
            <w:tcW w:w="1710" w:type="dxa"/>
            <w:vAlign w:val="top"/>
          </w:tcPr>
          <w:p w14:paraId="21A63B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站内无经营性餐</w:t>
            </w:r>
          </w:p>
          <w:p w14:paraId="67F92A0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left"/>
              <w:textAlignment w:val="baseline"/>
              <w:rPr>
                <w:rFonts w:hint="eastAsia" w:ascii="宋体" w:hAnsi="宋体" w:eastAsia="宋体" w:cs="宋体"/>
                <w:snapToGrid w:val="0"/>
                <w:color w:val="000000"/>
                <w:spacing w:val="3"/>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饮、汽车服务等</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设施</w:t>
            </w:r>
          </w:p>
        </w:tc>
        <w:tc>
          <w:tcPr>
            <w:tcW w:w="1710" w:type="dxa"/>
            <w:vAlign w:val="top"/>
          </w:tcPr>
          <w:p w14:paraId="0D0CE838">
            <w:pPr>
              <w:kinsoku w:val="0"/>
              <w:autoSpaceDE w:val="0"/>
              <w:autoSpaceDN w:val="0"/>
              <w:adjustRightInd w:val="0"/>
              <w:snapToGrid w:val="0"/>
              <w:spacing w:before="215"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0530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8" w:hRule="atLeast"/>
        </w:trPr>
        <w:tc>
          <w:tcPr>
            <w:tcW w:w="699" w:type="dxa"/>
            <w:vMerge w:val="continue"/>
            <w:vAlign w:val="top"/>
          </w:tcPr>
          <w:p w14:paraId="5253C0B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BB0892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43C6715">
            <w:pPr>
              <w:kinsoku w:val="0"/>
              <w:autoSpaceDE w:val="0"/>
              <w:autoSpaceDN w:val="0"/>
              <w:adjustRightInd w:val="0"/>
              <w:snapToGrid w:val="0"/>
              <w:spacing w:before="80" w:line="237" w:lineRule="auto"/>
              <w:ind w:left="106" w:right="98" w:firstLine="8"/>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4</w:t>
            </w:r>
            <w:r>
              <w:rPr>
                <w:rFonts w:ascii="宋体" w:hAnsi="宋体" w:eastAsia="宋体" w:cs="宋体"/>
                <w:snapToGrid w:val="0"/>
                <w:color w:val="000000"/>
                <w:spacing w:val="10"/>
                <w:kern w:val="0"/>
                <w:sz w:val="20"/>
                <w:szCs w:val="20"/>
                <w:lang w:val="en-US" w:eastAsia="en-US" w:bidi="ar-SA"/>
              </w:rPr>
              <w:t>）加油站内厨房等有明火设备的房间与工艺设备之</w:t>
            </w:r>
            <w:r>
              <w:rPr>
                <w:rFonts w:ascii="宋体" w:hAnsi="宋体" w:eastAsia="宋体" w:cs="宋体"/>
                <w:snapToGrid w:val="0"/>
                <w:color w:val="000000"/>
                <w:spacing w:val="15"/>
                <w:kern w:val="0"/>
                <w:sz w:val="20"/>
                <w:szCs w:val="20"/>
                <w:lang w:val="en-US" w:eastAsia="en-US" w:bidi="ar-SA"/>
              </w:rPr>
              <w:t>间的距离符合《汽车加油加气站设计与施工规范》表</w:t>
            </w:r>
            <w:r>
              <w:rPr>
                <w:rFonts w:ascii="Times New Roman" w:hAnsi="Times New Roman" w:eastAsia="Times New Roman" w:cs="Times New Roman"/>
                <w:snapToGrid w:val="0"/>
                <w:color w:val="000000"/>
                <w:spacing w:val="8"/>
                <w:kern w:val="0"/>
                <w:sz w:val="20"/>
                <w:szCs w:val="20"/>
                <w:lang w:val="en-US" w:eastAsia="en-US" w:bidi="ar-SA"/>
              </w:rPr>
              <w:t>5.0.13</w:t>
            </w:r>
            <w:r>
              <w:rPr>
                <w:rFonts w:ascii="宋体" w:hAnsi="宋体" w:eastAsia="宋体" w:cs="宋体"/>
                <w:snapToGrid w:val="0"/>
                <w:color w:val="000000"/>
                <w:spacing w:val="8"/>
                <w:kern w:val="0"/>
                <w:sz w:val="20"/>
                <w:szCs w:val="20"/>
                <w:lang w:val="en-US" w:eastAsia="en-US" w:bidi="ar-SA"/>
              </w:rPr>
              <w:t>的规定但小于或等于</w:t>
            </w:r>
            <w:r>
              <w:rPr>
                <w:rFonts w:ascii="Times New Roman" w:hAnsi="Times New Roman" w:eastAsia="Times New Roman" w:cs="Times New Roman"/>
                <w:snapToGrid w:val="0"/>
                <w:color w:val="000000"/>
                <w:spacing w:val="8"/>
                <w:kern w:val="0"/>
                <w:sz w:val="20"/>
                <w:szCs w:val="20"/>
                <w:lang w:val="en-US" w:eastAsia="en-US" w:bidi="ar-SA"/>
              </w:rPr>
              <w:t>25m</w:t>
            </w:r>
            <w:r>
              <w:rPr>
                <w:rFonts w:ascii="宋体" w:hAnsi="宋体" w:eastAsia="宋体" w:cs="宋体"/>
                <w:snapToGrid w:val="0"/>
                <w:color w:val="000000"/>
                <w:spacing w:val="8"/>
                <w:kern w:val="0"/>
                <w:sz w:val="20"/>
                <w:szCs w:val="20"/>
                <w:lang w:val="en-US" w:eastAsia="en-US" w:bidi="ar-SA"/>
              </w:rPr>
              <w:t>时</w:t>
            </w:r>
            <w:r>
              <w:rPr>
                <w:rFonts w:ascii="Times New Roman" w:hAnsi="Times New Roman" w:eastAsia="Times New Roman" w:cs="Times New Roman"/>
                <w:snapToGrid w:val="0"/>
                <w:color w:val="000000"/>
                <w:spacing w:val="8"/>
                <w:kern w:val="0"/>
                <w:sz w:val="20"/>
                <w:szCs w:val="20"/>
                <w:lang w:val="en-US" w:eastAsia="en-US" w:bidi="ar-SA"/>
              </w:rPr>
              <w:t>,</w:t>
            </w:r>
            <w:r>
              <w:rPr>
                <w:rFonts w:ascii="宋体" w:hAnsi="宋体" w:eastAsia="宋体" w:cs="宋体"/>
                <w:snapToGrid w:val="0"/>
                <w:color w:val="000000"/>
                <w:spacing w:val="8"/>
                <w:kern w:val="0"/>
                <w:sz w:val="20"/>
                <w:szCs w:val="20"/>
                <w:lang w:val="en-US" w:eastAsia="en-US" w:bidi="ar-SA"/>
              </w:rPr>
              <w:t>其朝向加油</w:t>
            </w:r>
            <w:r>
              <w:rPr>
                <w:rFonts w:ascii="宋体" w:hAnsi="宋体" w:eastAsia="宋体" w:cs="宋体"/>
                <w:snapToGrid w:val="0"/>
                <w:color w:val="000000"/>
                <w:spacing w:val="7"/>
                <w:kern w:val="0"/>
                <w:sz w:val="20"/>
                <w:szCs w:val="20"/>
                <w:lang w:val="en-US" w:eastAsia="en-US" w:bidi="ar-SA"/>
              </w:rPr>
              <w:t>作业区的</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外墙应为无门窗洞口且耐火极限不低于</w:t>
            </w:r>
            <w:r>
              <w:rPr>
                <w:rFonts w:ascii="Times New Roman" w:hAnsi="Times New Roman" w:eastAsia="Times New Roman" w:cs="Times New Roman"/>
                <w:snapToGrid w:val="0"/>
                <w:color w:val="000000"/>
                <w:spacing w:val="7"/>
                <w:kern w:val="0"/>
                <w:sz w:val="20"/>
                <w:szCs w:val="20"/>
                <w:lang w:val="en-US" w:eastAsia="en-US" w:bidi="ar-SA"/>
              </w:rPr>
              <w:t>3h</w:t>
            </w:r>
            <w:r>
              <w:rPr>
                <w:rFonts w:ascii="宋体" w:hAnsi="宋体" w:eastAsia="宋体" w:cs="宋体"/>
                <w:snapToGrid w:val="0"/>
                <w:color w:val="000000"/>
                <w:spacing w:val="7"/>
                <w:kern w:val="0"/>
                <w:sz w:val="20"/>
                <w:szCs w:val="20"/>
                <w:lang w:val="en-US" w:eastAsia="en-US" w:bidi="ar-SA"/>
              </w:rPr>
              <w:t>的实体墙。</w:t>
            </w:r>
          </w:p>
        </w:tc>
        <w:tc>
          <w:tcPr>
            <w:tcW w:w="1710" w:type="dxa"/>
            <w:vAlign w:val="top"/>
          </w:tcPr>
          <w:p w14:paraId="13AB9061">
            <w:pPr>
              <w:widowControl/>
              <w:kinsoku w:val="0"/>
              <w:autoSpaceDE w:val="0"/>
              <w:autoSpaceDN w:val="0"/>
              <w:adjustRightInd w:val="0"/>
              <w:snapToGrid w:val="0"/>
              <w:spacing w:line="434" w:lineRule="auto"/>
              <w:jc w:val="left"/>
              <w:textAlignment w:val="baseline"/>
              <w:rPr>
                <w:rFonts w:ascii="Arial" w:hAnsi="Arial" w:eastAsia="Arial" w:cs="Arial"/>
                <w:snapToGrid w:val="0"/>
                <w:color w:val="000000"/>
                <w:kern w:val="0"/>
                <w:sz w:val="21"/>
                <w:lang w:eastAsia="en-US"/>
              </w:rPr>
            </w:pPr>
          </w:p>
          <w:p w14:paraId="03FA5A48">
            <w:pPr>
              <w:kinsoku w:val="0"/>
              <w:autoSpaceDE w:val="0"/>
              <w:autoSpaceDN w:val="0"/>
              <w:adjustRightInd w:val="0"/>
              <w:snapToGrid w:val="0"/>
              <w:spacing w:before="65" w:line="228" w:lineRule="auto"/>
              <w:ind w:left="343"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无明火设施</w:t>
            </w:r>
          </w:p>
        </w:tc>
        <w:tc>
          <w:tcPr>
            <w:tcW w:w="1710" w:type="dxa"/>
            <w:vAlign w:val="top"/>
          </w:tcPr>
          <w:p w14:paraId="045AD6B0">
            <w:pPr>
              <w:widowControl/>
              <w:kinsoku w:val="0"/>
              <w:autoSpaceDE w:val="0"/>
              <w:autoSpaceDN w:val="0"/>
              <w:adjustRightInd w:val="0"/>
              <w:snapToGrid w:val="0"/>
              <w:spacing w:line="295" w:lineRule="auto"/>
              <w:jc w:val="left"/>
              <w:textAlignment w:val="baseline"/>
              <w:rPr>
                <w:rFonts w:ascii="Arial" w:hAnsi="Arial" w:eastAsia="Arial" w:cs="Arial"/>
                <w:snapToGrid w:val="0"/>
                <w:color w:val="000000"/>
                <w:kern w:val="0"/>
                <w:sz w:val="21"/>
                <w:lang w:eastAsia="en-US"/>
              </w:rPr>
            </w:pPr>
          </w:p>
          <w:p w14:paraId="7D3FC007">
            <w:pPr>
              <w:kinsoku w:val="0"/>
              <w:autoSpaceDE w:val="0"/>
              <w:autoSpaceDN w:val="0"/>
              <w:adjustRightInd w:val="0"/>
              <w:snapToGrid w:val="0"/>
              <w:spacing w:before="65"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9C3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73DDEDA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6A1D59F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5083627">
            <w:pPr>
              <w:kinsoku w:val="0"/>
              <w:autoSpaceDE w:val="0"/>
              <w:autoSpaceDN w:val="0"/>
              <w:adjustRightInd w:val="0"/>
              <w:snapToGrid w:val="0"/>
              <w:spacing w:before="228"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5</w:t>
            </w:r>
            <w:r>
              <w:rPr>
                <w:rFonts w:ascii="宋体" w:hAnsi="宋体" w:eastAsia="宋体" w:cs="宋体"/>
                <w:snapToGrid w:val="0"/>
                <w:color w:val="000000"/>
                <w:spacing w:val="8"/>
                <w:kern w:val="0"/>
                <w:sz w:val="20"/>
                <w:szCs w:val="20"/>
                <w:lang w:val="en-US" w:eastAsia="en-US" w:bidi="ar-SA"/>
              </w:rPr>
              <w:t>）加油站内不应建地下室和半地下室。</w:t>
            </w:r>
          </w:p>
        </w:tc>
        <w:tc>
          <w:tcPr>
            <w:tcW w:w="1710" w:type="dxa"/>
            <w:vAlign w:val="top"/>
          </w:tcPr>
          <w:p w14:paraId="594FE31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center"/>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位于地上</w:t>
            </w:r>
          </w:p>
        </w:tc>
        <w:tc>
          <w:tcPr>
            <w:tcW w:w="1710" w:type="dxa"/>
            <w:vAlign w:val="top"/>
          </w:tcPr>
          <w:p w14:paraId="7ABEE8E5">
            <w:pPr>
              <w:kinsoku w:val="0"/>
              <w:autoSpaceDE w:val="0"/>
              <w:autoSpaceDN w:val="0"/>
              <w:adjustRightInd w:val="0"/>
              <w:snapToGrid w:val="0"/>
              <w:spacing w:before="89" w:line="21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85AA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0747708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0443496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7C0B23A">
            <w:pPr>
              <w:kinsoku w:val="0"/>
              <w:autoSpaceDE w:val="0"/>
              <w:autoSpaceDN w:val="0"/>
              <w:adjustRightInd w:val="0"/>
              <w:snapToGrid w:val="0"/>
              <w:spacing w:before="233"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6</w:t>
            </w:r>
            <w:r>
              <w:rPr>
                <w:rFonts w:ascii="宋体" w:hAnsi="宋体" w:eastAsia="宋体" w:cs="宋体"/>
                <w:snapToGrid w:val="0"/>
                <w:color w:val="000000"/>
                <w:spacing w:val="8"/>
                <w:kern w:val="0"/>
                <w:sz w:val="20"/>
                <w:szCs w:val="20"/>
                <w:lang w:val="en-US" w:eastAsia="en-US" w:bidi="ar-SA"/>
              </w:rPr>
              <w:t>）加油站作业区内不得种植油性植物。</w:t>
            </w:r>
          </w:p>
        </w:tc>
        <w:tc>
          <w:tcPr>
            <w:tcW w:w="1710" w:type="dxa"/>
            <w:vAlign w:val="top"/>
          </w:tcPr>
          <w:p w14:paraId="2E0CB70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作业区无油性植</w:t>
            </w:r>
            <w:r>
              <w:rPr>
                <w:rFonts w:ascii="宋体" w:hAnsi="宋体" w:eastAsia="宋体" w:cs="宋体"/>
                <w:snapToGrid w:val="0"/>
                <w:color w:val="000000"/>
                <w:spacing w:val="2"/>
                <w:kern w:val="0"/>
                <w:sz w:val="20"/>
                <w:szCs w:val="20"/>
                <w:lang w:val="en-US" w:eastAsia="en-US" w:bidi="ar-SA"/>
              </w:rPr>
              <w:t xml:space="preserve"> </w:t>
            </w:r>
            <w:r>
              <w:rPr>
                <w:rFonts w:hint="eastAsia" w:ascii="宋体" w:hAnsi="宋体" w:cs="宋体"/>
                <w:snapToGrid w:val="0"/>
                <w:color w:val="000000"/>
                <w:spacing w:val="2"/>
                <w:kern w:val="0"/>
                <w:sz w:val="20"/>
                <w:szCs w:val="20"/>
                <w:lang w:val="en-US" w:eastAsia="zh-CN" w:bidi="ar-SA"/>
              </w:rPr>
              <w:t>0</w:t>
            </w:r>
            <w:r>
              <w:rPr>
                <w:rFonts w:ascii="宋体" w:hAnsi="宋体" w:eastAsia="宋体" w:cs="宋体"/>
                <w:snapToGrid w:val="0"/>
                <w:color w:val="000000"/>
                <w:kern w:val="0"/>
                <w:sz w:val="20"/>
                <w:szCs w:val="20"/>
                <w:lang w:val="en-US" w:eastAsia="en-US" w:bidi="ar-SA"/>
              </w:rPr>
              <w:t>物</w:t>
            </w:r>
          </w:p>
        </w:tc>
        <w:tc>
          <w:tcPr>
            <w:tcW w:w="1710" w:type="dxa"/>
            <w:vAlign w:val="top"/>
          </w:tcPr>
          <w:p w14:paraId="3685845C">
            <w:pPr>
              <w:kinsoku w:val="0"/>
              <w:autoSpaceDE w:val="0"/>
              <w:autoSpaceDN w:val="0"/>
              <w:adjustRightInd w:val="0"/>
              <w:snapToGrid w:val="0"/>
              <w:spacing w:before="90" w:line="21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FECC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6" w:hRule="atLeast"/>
        </w:trPr>
        <w:tc>
          <w:tcPr>
            <w:tcW w:w="699" w:type="dxa"/>
            <w:vMerge w:val="continue"/>
            <w:vAlign w:val="top"/>
          </w:tcPr>
          <w:p w14:paraId="6A9419A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5A5F8F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423B8A3">
            <w:pPr>
              <w:widowControl/>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lang w:eastAsia="en-US"/>
              </w:rPr>
            </w:pPr>
          </w:p>
          <w:p w14:paraId="169CC7D2">
            <w:pPr>
              <w:kinsoku w:val="0"/>
              <w:autoSpaceDE w:val="0"/>
              <w:autoSpaceDN w:val="0"/>
              <w:adjustRightInd w:val="0"/>
              <w:snapToGrid w:val="0"/>
              <w:spacing w:before="65" w:line="258" w:lineRule="auto"/>
              <w:ind w:left="105" w:right="100" w:firstLine="9"/>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1"/>
                <w:kern w:val="0"/>
                <w:sz w:val="20"/>
                <w:szCs w:val="20"/>
                <w:lang w:val="en-US" w:eastAsia="en-US" w:bidi="ar-SA"/>
              </w:rPr>
              <w:t>（</w:t>
            </w:r>
            <w:r>
              <w:rPr>
                <w:rFonts w:ascii="Times New Roman" w:hAnsi="Times New Roman" w:eastAsia="Times New Roman" w:cs="Times New Roman"/>
                <w:snapToGrid w:val="0"/>
                <w:color w:val="000000"/>
                <w:spacing w:val="11"/>
                <w:kern w:val="0"/>
                <w:sz w:val="20"/>
                <w:szCs w:val="20"/>
                <w:lang w:val="en-US" w:eastAsia="en-US" w:bidi="ar-SA"/>
              </w:rPr>
              <w:t>7)</w:t>
            </w:r>
            <w:r>
              <w:rPr>
                <w:rFonts w:ascii="宋体" w:hAnsi="宋体" w:eastAsia="宋体" w:cs="宋体"/>
                <w:snapToGrid w:val="0"/>
                <w:color w:val="000000"/>
                <w:spacing w:val="11"/>
                <w:kern w:val="0"/>
                <w:sz w:val="20"/>
                <w:szCs w:val="20"/>
                <w:lang w:val="en-US" w:eastAsia="en-US" w:bidi="ar-SA"/>
              </w:rPr>
              <w:t>加油场地宜设罩棚</w:t>
            </w:r>
            <w:r>
              <w:rPr>
                <w:rFonts w:ascii="Times New Roman" w:hAnsi="Times New Roman" w:eastAsia="Times New Roman" w:cs="Times New Roman"/>
                <w:snapToGrid w:val="0"/>
                <w:color w:val="000000"/>
                <w:spacing w:val="11"/>
                <w:kern w:val="0"/>
                <w:sz w:val="20"/>
                <w:szCs w:val="20"/>
                <w:lang w:val="en-US" w:eastAsia="en-US" w:bidi="ar-SA"/>
              </w:rPr>
              <w:t>,</w:t>
            </w:r>
            <w:r>
              <w:rPr>
                <w:rFonts w:ascii="宋体" w:hAnsi="宋体" w:eastAsia="宋体" w:cs="宋体"/>
                <w:snapToGrid w:val="0"/>
                <w:color w:val="000000"/>
                <w:spacing w:val="11"/>
                <w:kern w:val="0"/>
                <w:sz w:val="20"/>
                <w:szCs w:val="20"/>
                <w:lang w:val="en-US" w:eastAsia="en-US" w:bidi="ar-SA"/>
              </w:rPr>
              <w:t>罩棚应采用非燃烧材料建造</w:t>
            </w:r>
            <w:r>
              <w:rPr>
                <w:rFonts w:ascii="Times New Roman" w:hAnsi="Times New Roman" w:eastAsia="Times New Roman" w:cs="Times New Roman"/>
                <w:snapToGrid w:val="0"/>
                <w:color w:val="000000"/>
                <w:spacing w:val="10"/>
                <w:kern w:val="0"/>
                <w:sz w:val="20"/>
                <w:szCs w:val="20"/>
                <w:lang w:val="en-US" w:eastAsia="en-US" w:bidi="ar-SA"/>
              </w:rPr>
              <w:t>,</w:t>
            </w:r>
            <w:r>
              <w:rPr>
                <w:rFonts w:ascii="宋体" w:hAnsi="宋体" w:eastAsia="宋体" w:cs="宋体"/>
                <w:snapToGrid w:val="0"/>
                <w:color w:val="000000"/>
                <w:spacing w:val="10"/>
                <w:kern w:val="0"/>
                <w:sz w:val="20"/>
                <w:szCs w:val="20"/>
                <w:lang w:val="en-US" w:eastAsia="en-US" w:bidi="ar-SA"/>
              </w:rPr>
              <w:t>其</w:t>
            </w:r>
            <w:r>
              <w:rPr>
                <w:rFonts w:ascii="宋体" w:hAnsi="宋体" w:eastAsia="宋体" w:cs="宋体"/>
                <w:snapToGrid w:val="0"/>
                <w:color w:val="000000"/>
                <w:spacing w:val="6"/>
                <w:kern w:val="0"/>
                <w:sz w:val="20"/>
                <w:szCs w:val="20"/>
                <w:lang w:val="en-US" w:eastAsia="en-US" w:bidi="ar-SA"/>
              </w:rPr>
              <w:t>有效高度不应小于</w:t>
            </w:r>
            <w:r>
              <w:rPr>
                <w:rFonts w:ascii="Times New Roman" w:hAnsi="Times New Roman" w:eastAsia="Times New Roman" w:cs="Times New Roman"/>
                <w:snapToGrid w:val="0"/>
                <w:color w:val="000000"/>
                <w:spacing w:val="6"/>
                <w:kern w:val="0"/>
                <w:sz w:val="20"/>
                <w:szCs w:val="20"/>
                <w:lang w:val="en-US" w:eastAsia="en-US" w:bidi="ar-SA"/>
              </w:rPr>
              <w:t>4.5m</w:t>
            </w:r>
            <w:r>
              <w:rPr>
                <w:rFonts w:ascii="宋体" w:hAnsi="宋体" w:eastAsia="宋体" w:cs="宋体"/>
                <w:snapToGrid w:val="0"/>
                <w:color w:val="000000"/>
                <w:spacing w:val="6"/>
                <w:kern w:val="0"/>
                <w:sz w:val="20"/>
                <w:szCs w:val="20"/>
                <w:lang w:val="en-US" w:eastAsia="en-US" w:bidi="ar-SA"/>
              </w:rPr>
              <w:t>，罩棚遮盖加油机的平面投</w:t>
            </w:r>
            <w:r>
              <w:rPr>
                <w:rFonts w:ascii="宋体" w:hAnsi="宋体" w:eastAsia="宋体" w:cs="宋体"/>
                <w:snapToGrid w:val="0"/>
                <w:color w:val="000000"/>
                <w:spacing w:val="5"/>
                <w:kern w:val="0"/>
                <w:sz w:val="20"/>
                <w:szCs w:val="20"/>
                <w:lang w:val="en-US" w:eastAsia="en-US" w:bidi="ar-SA"/>
              </w:rPr>
              <w:t>影距</w:t>
            </w:r>
            <w:r>
              <w:rPr>
                <w:rFonts w:ascii="宋体" w:hAnsi="宋体" w:eastAsia="宋体" w:cs="宋体"/>
                <w:snapToGrid w:val="0"/>
                <w:color w:val="000000"/>
                <w:spacing w:val="6"/>
                <w:kern w:val="0"/>
                <w:sz w:val="20"/>
                <w:szCs w:val="20"/>
                <w:lang w:val="en-US" w:eastAsia="en-US" w:bidi="ar-SA"/>
              </w:rPr>
              <w:t>离不宜小于</w:t>
            </w:r>
            <w:r>
              <w:rPr>
                <w:rFonts w:ascii="Times New Roman" w:hAnsi="Times New Roman" w:eastAsia="Times New Roman" w:cs="Times New Roman"/>
                <w:snapToGrid w:val="0"/>
                <w:color w:val="000000"/>
                <w:spacing w:val="6"/>
                <w:kern w:val="0"/>
                <w:sz w:val="20"/>
                <w:szCs w:val="20"/>
                <w:lang w:val="en-US" w:eastAsia="en-US" w:bidi="ar-SA"/>
              </w:rPr>
              <w:t>2m</w:t>
            </w:r>
            <w:r>
              <w:rPr>
                <w:rFonts w:ascii="宋体" w:hAnsi="宋体" w:eastAsia="宋体" w:cs="宋体"/>
                <w:snapToGrid w:val="0"/>
                <w:color w:val="000000"/>
                <w:spacing w:val="6"/>
                <w:kern w:val="0"/>
                <w:sz w:val="20"/>
                <w:szCs w:val="20"/>
                <w:lang w:val="en-US" w:eastAsia="en-US" w:bidi="ar-SA"/>
              </w:rPr>
              <w:t>。</w:t>
            </w:r>
          </w:p>
        </w:tc>
        <w:tc>
          <w:tcPr>
            <w:tcW w:w="1710" w:type="dxa"/>
            <w:vAlign w:val="top"/>
          </w:tcPr>
          <w:p w14:paraId="719A1CF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Times New Roman" w:hAnsi="Times New Roman" w:eastAsia="Times New Roman" w:cs="Times New Roman"/>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加油站罩棚净空</w:t>
            </w:r>
            <w:r>
              <w:rPr>
                <w:rFonts w:ascii="宋体" w:hAnsi="宋体" w:eastAsia="宋体" w:cs="宋体"/>
                <w:snapToGrid w:val="0"/>
                <w:color w:val="000000"/>
                <w:spacing w:val="7"/>
                <w:kern w:val="0"/>
                <w:sz w:val="20"/>
                <w:szCs w:val="20"/>
                <w:lang w:val="en-US" w:eastAsia="en-US" w:bidi="ar-SA"/>
              </w:rPr>
              <w:t>高度不小于</w:t>
            </w:r>
            <w:r>
              <w:rPr>
                <w:rFonts w:ascii="Times New Roman" w:hAnsi="Times New Roman" w:eastAsia="Times New Roman" w:cs="Times New Roman"/>
                <w:snapToGrid w:val="0"/>
                <w:color w:val="000000"/>
                <w:spacing w:val="4"/>
                <w:kern w:val="0"/>
                <w:sz w:val="20"/>
                <w:szCs w:val="20"/>
                <w:lang w:val="en-US" w:eastAsia="en-US" w:bidi="ar-SA"/>
              </w:rPr>
              <w:t>4.5m</w:t>
            </w:r>
            <w:r>
              <w:rPr>
                <w:rFonts w:ascii="Times New Roman" w:hAnsi="Times New Roman" w:eastAsia="Times New Roman" w:cs="Times New Roman"/>
                <w:snapToGrid w:val="0"/>
                <w:color w:val="000000"/>
                <w:spacing w:val="-23"/>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，遮盖加油</w:t>
            </w:r>
            <w:r>
              <w:rPr>
                <w:rFonts w:ascii="宋体" w:hAnsi="宋体" w:eastAsia="宋体" w:cs="宋体"/>
                <w:snapToGrid w:val="0"/>
                <w:color w:val="000000"/>
                <w:spacing w:val="8"/>
                <w:kern w:val="0"/>
                <w:sz w:val="20"/>
                <w:szCs w:val="20"/>
                <w:lang w:val="en-US" w:eastAsia="en-US" w:bidi="ar-SA"/>
              </w:rPr>
              <w:t>机平面投影距离</w:t>
            </w:r>
            <w:r>
              <w:rPr>
                <w:rFonts w:ascii="Times New Roman" w:hAnsi="Times New Roman" w:eastAsia="Times New Roman" w:cs="Times New Roman"/>
                <w:snapToGrid w:val="0"/>
                <w:color w:val="000000"/>
                <w:spacing w:val="4"/>
                <w:kern w:val="0"/>
                <w:position w:val="-3"/>
                <w:sz w:val="20"/>
                <w:szCs w:val="20"/>
                <w:lang w:eastAsia="en-US"/>
              </w:rPr>
              <w:t>4m</w:t>
            </w:r>
          </w:p>
        </w:tc>
        <w:tc>
          <w:tcPr>
            <w:tcW w:w="1710" w:type="dxa"/>
            <w:vAlign w:val="top"/>
          </w:tcPr>
          <w:p w14:paraId="1E13573A">
            <w:pPr>
              <w:widowControl/>
              <w:kinsoku w:val="0"/>
              <w:autoSpaceDE w:val="0"/>
              <w:autoSpaceDN w:val="0"/>
              <w:adjustRightInd w:val="0"/>
              <w:snapToGrid w:val="0"/>
              <w:spacing w:line="447" w:lineRule="auto"/>
              <w:jc w:val="left"/>
              <w:textAlignment w:val="baseline"/>
              <w:rPr>
                <w:rFonts w:ascii="Arial" w:hAnsi="Arial" w:eastAsia="Arial" w:cs="Arial"/>
                <w:snapToGrid w:val="0"/>
                <w:color w:val="000000"/>
                <w:kern w:val="0"/>
                <w:sz w:val="21"/>
                <w:lang w:eastAsia="en-US"/>
              </w:rPr>
            </w:pPr>
          </w:p>
          <w:p w14:paraId="7FEA6241">
            <w:pPr>
              <w:kinsoku w:val="0"/>
              <w:autoSpaceDE w:val="0"/>
              <w:autoSpaceDN w:val="0"/>
              <w:adjustRightInd w:val="0"/>
              <w:snapToGrid w:val="0"/>
              <w:spacing w:before="65"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729E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restart"/>
            <w:vAlign w:val="top"/>
          </w:tcPr>
          <w:p w14:paraId="3F5284AA">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28AAAB5C">
            <w:pPr>
              <w:widowControl/>
              <w:kinsoku w:val="0"/>
              <w:autoSpaceDE w:val="0"/>
              <w:autoSpaceDN w:val="0"/>
              <w:adjustRightInd w:val="0"/>
              <w:snapToGrid w:val="0"/>
              <w:spacing w:line="256" w:lineRule="auto"/>
              <w:jc w:val="left"/>
              <w:textAlignment w:val="baseline"/>
              <w:rPr>
                <w:rFonts w:ascii="Arial" w:hAnsi="Arial" w:eastAsia="Arial" w:cs="Arial"/>
                <w:snapToGrid w:val="0"/>
                <w:color w:val="000000"/>
                <w:kern w:val="0"/>
                <w:sz w:val="21"/>
                <w:lang w:eastAsia="en-US"/>
              </w:rPr>
            </w:pPr>
          </w:p>
          <w:p w14:paraId="38E76E0E">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6816CBA7">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1F8E22F8">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1C706588">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48573A5E">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3BB9482F">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711A6B88">
            <w:pPr>
              <w:widowControl/>
              <w:kinsoku w:val="0"/>
              <w:autoSpaceDE w:val="0"/>
              <w:autoSpaceDN w:val="0"/>
              <w:adjustRightInd w:val="0"/>
              <w:snapToGrid w:val="0"/>
              <w:spacing w:before="57" w:line="195" w:lineRule="auto"/>
              <w:ind w:left="22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3</w:t>
            </w:r>
          </w:p>
        </w:tc>
        <w:tc>
          <w:tcPr>
            <w:tcW w:w="625" w:type="dxa"/>
            <w:vMerge w:val="restart"/>
            <w:vAlign w:val="top"/>
          </w:tcPr>
          <w:p w14:paraId="0A3A9722">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27ABFFE0">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1A9813AE">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6EB90891">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6B7581E0">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1717999A">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193AFBC5">
            <w:pPr>
              <w:kinsoku w:val="0"/>
              <w:autoSpaceDE w:val="0"/>
              <w:autoSpaceDN w:val="0"/>
              <w:adjustRightInd w:val="0"/>
              <w:snapToGrid w:val="0"/>
              <w:spacing w:before="65" w:line="252" w:lineRule="auto"/>
              <w:ind w:left="164" w:right="176" w:hanging="2"/>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加油</w:t>
            </w:r>
            <w:r>
              <w:rPr>
                <w:rFonts w:ascii="宋体" w:hAnsi="宋体" w:eastAsia="宋体" w:cs="宋体"/>
                <w:snapToGrid w:val="0"/>
                <w:color w:val="000000"/>
                <w:spacing w:val="3"/>
                <w:kern w:val="0"/>
                <w:sz w:val="20"/>
                <w:szCs w:val="20"/>
                <w:lang w:val="en-US" w:eastAsia="en-US" w:bidi="ar-SA"/>
              </w:rPr>
              <w:t>工艺与设施</w:t>
            </w:r>
          </w:p>
        </w:tc>
        <w:tc>
          <w:tcPr>
            <w:tcW w:w="4745" w:type="dxa"/>
            <w:gridSpan w:val="2"/>
            <w:vAlign w:val="top"/>
          </w:tcPr>
          <w:p w14:paraId="77D18194">
            <w:pPr>
              <w:kinsoku w:val="0"/>
              <w:autoSpaceDE w:val="0"/>
              <w:autoSpaceDN w:val="0"/>
              <w:adjustRightInd w:val="0"/>
              <w:snapToGrid w:val="0"/>
              <w:spacing w:before="101" w:line="224" w:lineRule="auto"/>
              <w:ind w:left="108" w:right="98" w:firstLine="6"/>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1</w:t>
            </w:r>
            <w:r>
              <w:rPr>
                <w:rFonts w:ascii="宋体" w:hAnsi="宋体" w:eastAsia="宋体" w:cs="宋体"/>
                <w:snapToGrid w:val="0"/>
                <w:color w:val="000000"/>
                <w:spacing w:val="10"/>
                <w:kern w:val="0"/>
                <w:sz w:val="20"/>
                <w:szCs w:val="20"/>
                <w:lang w:val="en-US" w:eastAsia="en-US" w:bidi="ar-SA"/>
              </w:rPr>
              <w:t>）除橇装式加油装置所配置的防火防爆油罐外，加</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油站的汽油罐和柴油罐应埋地设置，严禁设在室内或地</w:t>
            </w:r>
            <w:r>
              <w:rPr>
                <w:rFonts w:ascii="宋体" w:hAnsi="宋体" w:eastAsia="宋体" w:cs="宋体"/>
                <w:snapToGrid w:val="0"/>
                <w:color w:val="000000"/>
                <w:spacing w:val="14"/>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下室内。</w:t>
            </w:r>
          </w:p>
        </w:tc>
        <w:tc>
          <w:tcPr>
            <w:tcW w:w="1710" w:type="dxa"/>
            <w:vAlign w:val="top"/>
          </w:tcPr>
          <w:p w14:paraId="3D2DF839">
            <w:pPr>
              <w:widowControl/>
              <w:kinsoku w:val="0"/>
              <w:autoSpaceDE w:val="0"/>
              <w:autoSpaceDN w:val="0"/>
              <w:adjustRightInd w:val="0"/>
              <w:snapToGrid w:val="0"/>
              <w:spacing w:line="316" w:lineRule="auto"/>
              <w:jc w:val="left"/>
              <w:textAlignment w:val="baseline"/>
              <w:rPr>
                <w:rFonts w:ascii="Arial" w:hAnsi="Arial" w:eastAsia="Arial" w:cs="Arial"/>
                <w:snapToGrid w:val="0"/>
                <w:color w:val="000000"/>
                <w:kern w:val="0"/>
                <w:sz w:val="21"/>
                <w:lang w:eastAsia="en-US"/>
              </w:rPr>
            </w:pPr>
          </w:p>
          <w:p w14:paraId="21035C48">
            <w:pPr>
              <w:kinsoku w:val="0"/>
              <w:autoSpaceDE w:val="0"/>
              <w:autoSpaceDN w:val="0"/>
              <w:adjustRightInd w:val="0"/>
              <w:snapToGrid w:val="0"/>
              <w:spacing w:before="65" w:line="228" w:lineRule="auto"/>
              <w:ind w:left="239"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油罐采用埋地</w:t>
            </w:r>
          </w:p>
        </w:tc>
        <w:tc>
          <w:tcPr>
            <w:tcW w:w="1710" w:type="dxa"/>
            <w:vAlign w:val="top"/>
          </w:tcPr>
          <w:p w14:paraId="15ECC1D7">
            <w:pPr>
              <w:kinsoku w:val="0"/>
              <w:autoSpaceDE w:val="0"/>
              <w:autoSpaceDN w:val="0"/>
              <w:adjustRightInd w:val="0"/>
              <w:snapToGrid w:val="0"/>
              <w:spacing w:before="245"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B21E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65DD2B5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6F174B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A4319A1">
            <w:pPr>
              <w:kinsoku w:val="0"/>
              <w:autoSpaceDE w:val="0"/>
              <w:autoSpaceDN w:val="0"/>
              <w:adjustRightInd w:val="0"/>
              <w:snapToGrid w:val="0"/>
              <w:spacing w:before="110" w:line="204" w:lineRule="auto"/>
              <w:ind w:left="104" w:right="98"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2</w:t>
            </w:r>
            <w:r>
              <w:rPr>
                <w:rFonts w:ascii="宋体" w:hAnsi="宋体" w:eastAsia="宋体" w:cs="宋体"/>
                <w:snapToGrid w:val="0"/>
                <w:color w:val="000000"/>
                <w:spacing w:val="10"/>
                <w:kern w:val="0"/>
                <w:sz w:val="20"/>
                <w:szCs w:val="20"/>
                <w:lang w:val="en-US" w:eastAsia="en-US" w:bidi="ar-SA"/>
              </w:rPr>
              <w:t>）埋地油罐是否采用双层罐，埋地油罐是否为合格</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产品，是否有生产厂商出具的合格证书或技术说明书等</w:t>
            </w:r>
          </w:p>
        </w:tc>
        <w:tc>
          <w:tcPr>
            <w:tcW w:w="1710" w:type="dxa"/>
            <w:vAlign w:val="top"/>
          </w:tcPr>
          <w:p w14:paraId="192A27CF">
            <w:pPr>
              <w:kinsoku w:val="0"/>
              <w:autoSpaceDE w:val="0"/>
              <w:autoSpaceDN w:val="0"/>
              <w:adjustRightInd w:val="0"/>
              <w:snapToGrid w:val="0"/>
              <w:spacing w:before="249" w:line="228" w:lineRule="auto"/>
              <w:ind w:left="129"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采用双层油罐。</w:t>
            </w:r>
          </w:p>
        </w:tc>
        <w:tc>
          <w:tcPr>
            <w:tcW w:w="1710" w:type="dxa"/>
            <w:vAlign w:val="top"/>
          </w:tcPr>
          <w:p w14:paraId="57ADC1FB">
            <w:pPr>
              <w:kinsoku w:val="0"/>
              <w:autoSpaceDE w:val="0"/>
              <w:autoSpaceDN w:val="0"/>
              <w:adjustRightInd w:val="0"/>
              <w:snapToGrid w:val="0"/>
              <w:spacing w:before="110" w:line="204"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5F55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4101332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770DDE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1CE6EB90">
            <w:pPr>
              <w:kinsoku w:val="0"/>
              <w:autoSpaceDE w:val="0"/>
              <w:autoSpaceDN w:val="0"/>
              <w:adjustRightInd w:val="0"/>
              <w:snapToGrid w:val="0"/>
              <w:spacing w:before="111" w:line="221" w:lineRule="auto"/>
              <w:ind w:left="104" w:right="98"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3</w:t>
            </w:r>
            <w:r>
              <w:rPr>
                <w:rFonts w:ascii="宋体" w:hAnsi="宋体" w:eastAsia="宋体" w:cs="宋体"/>
                <w:snapToGrid w:val="0"/>
                <w:color w:val="000000"/>
                <w:spacing w:val="10"/>
                <w:kern w:val="0"/>
                <w:sz w:val="20"/>
                <w:szCs w:val="20"/>
                <w:lang w:val="en-US" w:eastAsia="en-US" w:bidi="ar-SA"/>
              </w:rPr>
              <w:t>）安装在罐内的静电消除物体是否有接地，接地电</w:t>
            </w:r>
            <w:r>
              <w:rPr>
                <w:rFonts w:ascii="宋体" w:hAnsi="宋体" w:eastAsia="宋体" w:cs="宋体"/>
                <w:snapToGrid w:val="0"/>
                <w:color w:val="000000"/>
                <w:spacing w:val="13"/>
                <w:kern w:val="0"/>
                <w:sz w:val="20"/>
                <w:szCs w:val="20"/>
                <w:lang w:val="en-US" w:eastAsia="en-US" w:bidi="ar-SA"/>
              </w:rPr>
              <w:t>阻应符合《汽车加油加气站设计与施工规范》第</w:t>
            </w:r>
            <w:r>
              <w:rPr>
                <w:rFonts w:ascii="Times New Roman" w:hAnsi="Times New Roman" w:eastAsia="Times New Roman" w:cs="Times New Roman"/>
                <w:snapToGrid w:val="0"/>
                <w:color w:val="000000"/>
                <w:spacing w:val="13"/>
                <w:kern w:val="0"/>
                <w:sz w:val="20"/>
                <w:szCs w:val="20"/>
                <w:lang w:val="en-US" w:eastAsia="en-US" w:bidi="ar-SA"/>
              </w:rPr>
              <w:t>11.2</w:t>
            </w:r>
            <w:r>
              <w:rPr>
                <w:rFonts w:ascii="宋体" w:hAnsi="宋体" w:eastAsia="宋体" w:cs="宋体"/>
                <w:snapToGrid w:val="0"/>
                <w:color w:val="000000"/>
                <w:spacing w:val="7"/>
                <w:kern w:val="0"/>
                <w:sz w:val="20"/>
                <w:szCs w:val="20"/>
                <w:lang w:val="en-US" w:eastAsia="en-US" w:bidi="ar-SA"/>
              </w:rPr>
              <w:t>节的有关规定。</w:t>
            </w:r>
          </w:p>
        </w:tc>
        <w:tc>
          <w:tcPr>
            <w:tcW w:w="1710" w:type="dxa"/>
            <w:vAlign w:val="top"/>
          </w:tcPr>
          <w:p w14:paraId="1ACEB21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静电消除物体已</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接地</w:t>
            </w:r>
          </w:p>
        </w:tc>
        <w:tc>
          <w:tcPr>
            <w:tcW w:w="1710" w:type="dxa"/>
            <w:vAlign w:val="top"/>
          </w:tcPr>
          <w:p w14:paraId="5631F2B9">
            <w:pPr>
              <w:kinsoku w:val="0"/>
              <w:autoSpaceDE w:val="0"/>
              <w:autoSpaceDN w:val="0"/>
              <w:adjustRightInd w:val="0"/>
              <w:snapToGrid w:val="0"/>
              <w:spacing w:before="250"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1CF0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8" w:hRule="atLeast"/>
        </w:trPr>
        <w:tc>
          <w:tcPr>
            <w:tcW w:w="699" w:type="dxa"/>
            <w:vMerge w:val="continue"/>
            <w:vAlign w:val="top"/>
          </w:tcPr>
          <w:p w14:paraId="709E671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7EA619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AAF1FF6">
            <w:pPr>
              <w:widowControl/>
              <w:kinsoku w:val="0"/>
              <w:autoSpaceDE w:val="0"/>
              <w:autoSpaceDN w:val="0"/>
              <w:adjustRightInd w:val="0"/>
              <w:snapToGrid w:val="0"/>
              <w:spacing w:line="331" w:lineRule="auto"/>
              <w:jc w:val="left"/>
              <w:textAlignment w:val="baseline"/>
              <w:rPr>
                <w:rFonts w:ascii="Arial" w:hAnsi="Arial" w:eastAsia="Arial" w:cs="Arial"/>
                <w:snapToGrid w:val="0"/>
                <w:color w:val="000000"/>
                <w:kern w:val="0"/>
                <w:sz w:val="21"/>
                <w:lang w:eastAsia="en-US"/>
              </w:rPr>
            </w:pPr>
          </w:p>
          <w:p w14:paraId="54E52DEC">
            <w:pPr>
              <w:kinsoku w:val="0"/>
              <w:autoSpaceDE w:val="0"/>
              <w:autoSpaceDN w:val="0"/>
              <w:adjustRightInd w:val="0"/>
              <w:snapToGrid w:val="0"/>
              <w:spacing w:before="65" w:line="244" w:lineRule="auto"/>
              <w:ind w:left="106" w:right="98" w:firstLine="8"/>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4</w:t>
            </w:r>
            <w:r>
              <w:rPr>
                <w:rFonts w:ascii="宋体" w:hAnsi="宋体" w:eastAsia="宋体" w:cs="宋体"/>
                <w:snapToGrid w:val="0"/>
                <w:color w:val="000000"/>
                <w:spacing w:val="10"/>
                <w:kern w:val="0"/>
                <w:sz w:val="20"/>
                <w:szCs w:val="20"/>
                <w:lang w:val="en-US" w:eastAsia="en-US" w:bidi="ar-SA"/>
              </w:rPr>
              <w:t>）双层油罐内壁与外壁之间是否有满足渗漏检测要</w:t>
            </w:r>
            <w:r>
              <w:rPr>
                <w:rFonts w:ascii="宋体" w:hAnsi="宋体" w:eastAsia="宋体" w:cs="宋体"/>
                <w:snapToGrid w:val="0"/>
                <w:color w:val="000000"/>
                <w:spacing w:val="8"/>
                <w:kern w:val="0"/>
                <w:sz w:val="20"/>
                <w:szCs w:val="20"/>
                <w:lang w:val="en-US" w:eastAsia="en-US" w:bidi="ar-SA"/>
              </w:rPr>
              <w:t>求的贯通间隙。是否设渗漏检测装置。</w:t>
            </w:r>
          </w:p>
        </w:tc>
        <w:tc>
          <w:tcPr>
            <w:tcW w:w="1710" w:type="dxa"/>
            <w:vAlign w:val="top"/>
          </w:tcPr>
          <w:p w14:paraId="7DB74409">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双层油罐内壁与</w:t>
            </w:r>
          </w:p>
          <w:p w14:paraId="4E39C1C1">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外壁之间有贯通</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间隙，设置有渗</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21"/>
                <w:kern w:val="0"/>
                <w:sz w:val="20"/>
                <w:szCs w:val="20"/>
                <w:lang w:val="en-US" w:eastAsia="en-US" w:bidi="ar-SA"/>
              </w:rPr>
              <w:t>漏检测装置。</w:t>
            </w:r>
          </w:p>
        </w:tc>
        <w:tc>
          <w:tcPr>
            <w:tcW w:w="1710" w:type="dxa"/>
            <w:vAlign w:val="top"/>
          </w:tcPr>
          <w:p w14:paraId="3578EEBC">
            <w:pPr>
              <w:widowControl/>
              <w:kinsoku w:val="0"/>
              <w:autoSpaceDE w:val="0"/>
              <w:autoSpaceDN w:val="0"/>
              <w:adjustRightInd w:val="0"/>
              <w:snapToGrid w:val="0"/>
              <w:spacing w:line="330" w:lineRule="auto"/>
              <w:jc w:val="left"/>
              <w:textAlignment w:val="baseline"/>
              <w:rPr>
                <w:rFonts w:ascii="Arial" w:hAnsi="Arial" w:eastAsia="Arial" w:cs="Arial"/>
                <w:snapToGrid w:val="0"/>
                <w:color w:val="000000"/>
                <w:kern w:val="0"/>
                <w:sz w:val="21"/>
                <w:lang w:eastAsia="en-US"/>
              </w:rPr>
            </w:pPr>
          </w:p>
          <w:p w14:paraId="031F8EB8">
            <w:pPr>
              <w:kinsoku w:val="0"/>
              <w:autoSpaceDE w:val="0"/>
              <w:autoSpaceDN w:val="0"/>
              <w:adjustRightInd w:val="0"/>
              <w:snapToGrid w:val="0"/>
              <w:spacing w:before="65"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ED3E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2625A25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246755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404F095">
            <w:pPr>
              <w:kinsoku w:val="0"/>
              <w:autoSpaceDE w:val="0"/>
              <w:autoSpaceDN w:val="0"/>
              <w:adjustRightInd w:val="0"/>
              <w:snapToGrid w:val="0"/>
              <w:spacing w:before="263"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5</w:t>
            </w:r>
            <w:r>
              <w:rPr>
                <w:rFonts w:ascii="宋体" w:hAnsi="宋体" w:eastAsia="宋体" w:cs="宋体"/>
                <w:snapToGrid w:val="0"/>
                <w:color w:val="000000"/>
                <w:spacing w:val="8"/>
                <w:kern w:val="0"/>
                <w:sz w:val="20"/>
                <w:szCs w:val="20"/>
                <w:lang w:val="en-US" w:eastAsia="en-US" w:bidi="ar-SA"/>
              </w:rPr>
              <w:t>）油罐底部应配置积水排除设备。</w:t>
            </w:r>
          </w:p>
        </w:tc>
        <w:tc>
          <w:tcPr>
            <w:tcW w:w="1710" w:type="dxa"/>
            <w:vAlign w:val="top"/>
          </w:tcPr>
          <w:p w14:paraId="2F4AA469">
            <w:pPr>
              <w:kinsoku w:val="0"/>
              <w:autoSpaceDE w:val="0"/>
              <w:autoSpaceDN w:val="0"/>
              <w:adjustRightInd w:val="0"/>
              <w:snapToGrid w:val="0"/>
              <w:spacing w:before="263" w:line="228" w:lineRule="auto"/>
              <w:ind w:left="13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有积水排出设施</w:t>
            </w:r>
          </w:p>
        </w:tc>
        <w:tc>
          <w:tcPr>
            <w:tcW w:w="1710" w:type="dxa"/>
            <w:vAlign w:val="top"/>
          </w:tcPr>
          <w:p w14:paraId="5EF763CF">
            <w:pPr>
              <w:kinsoku w:val="0"/>
              <w:autoSpaceDE w:val="0"/>
              <w:autoSpaceDN w:val="0"/>
              <w:adjustRightInd w:val="0"/>
              <w:snapToGrid w:val="0"/>
              <w:spacing w:before="125" w:line="197"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B80E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8" w:hRule="atLeast"/>
        </w:trPr>
        <w:tc>
          <w:tcPr>
            <w:tcW w:w="699" w:type="dxa"/>
            <w:vMerge w:val="continue"/>
            <w:vAlign w:val="top"/>
          </w:tcPr>
          <w:p w14:paraId="42917C7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18F6E9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3753773">
            <w:pPr>
              <w:kinsoku w:val="0"/>
              <w:autoSpaceDE w:val="0"/>
              <w:autoSpaceDN w:val="0"/>
              <w:adjustRightInd w:val="0"/>
              <w:snapToGrid w:val="0"/>
              <w:spacing w:before="128" w:line="18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（6） 油罐的人孔，应设操作井.油罐操作井口应有防雨</w:t>
            </w:r>
            <w:r>
              <w:rPr>
                <w:rFonts w:ascii="宋体" w:hAnsi="宋体" w:eastAsia="宋体" w:cs="宋体"/>
                <w:snapToGrid w:val="0"/>
                <w:color w:val="000000"/>
                <w:spacing w:val="12"/>
                <w:kern w:val="0"/>
                <w:sz w:val="20"/>
                <w:szCs w:val="20"/>
                <w:lang w:val="en-US" w:eastAsia="en-US" w:bidi="ar-SA"/>
              </w:rPr>
              <w:t>盖板</w:t>
            </w:r>
            <w:r>
              <w:rPr>
                <w:rFonts w:ascii="Times New Roman" w:hAnsi="Times New Roman" w:eastAsia="Times New Roman" w:cs="Times New Roman"/>
                <w:snapToGrid w:val="0"/>
                <w:color w:val="000000"/>
                <w:spacing w:val="12"/>
                <w:kern w:val="0"/>
                <w:sz w:val="20"/>
                <w:szCs w:val="20"/>
                <w:lang w:val="en-US" w:eastAsia="en-US" w:bidi="ar-SA"/>
              </w:rPr>
              <w:t>;</w:t>
            </w:r>
            <w:r>
              <w:rPr>
                <w:rFonts w:ascii="宋体" w:hAnsi="宋体" w:eastAsia="宋体" w:cs="宋体"/>
                <w:snapToGrid w:val="0"/>
                <w:color w:val="000000"/>
                <w:spacing w:val="12"/>
                <w:kern w:val="0"/>
                <w:sz w:val="20"/>
                <w:szCs w:val="20"/>
                <w:lang w:val="en-US" w:eastAsia="en-US" w:bidi="ar-SA"/>
              </w:rPr>
              <w:t>储罐人孔、量油孔、卸油快速接头、管线法兰等</w:t>
            </w:r>
            <w:r>
              <w:rPr>
                <w:rFonts w:ascii="宋体" w:hAnsi="宋体" w:eastAsia="宋体" w:cs="宋体"/>
                <w:snapToGrid w:val="0"/>
                <w:color w:val="000000"/>
                <w:spacing w:val="16"/>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处应密封良好，不得造成水汽侵入。</w:t>
            </w:r>
          </w:p>
        </w:tc>
        <w:tc>
          <w:tcPr>
            <w:tcW w:w="1710" w:type="dxa"/>
            <w:vAlign w:val="top"/>
          </w:tcPr>
          <w:p w14:paraId="4161325B">
            <w:pPr>
              <w:kinsoku w:val="0"/>
              <w:autoSpaceDE w:val="0"/>
              <w:autoSpaceDN w:val="0"/>
              <w:adjustRightInd w:val="0"/>
              <w:snapToGrid w:val="0"/>
              <w:spacing w:before="128" w:line="188" w:lineRule="auto"/>
              <w:ind w:left="239" w:leftChars="0"/>
              <w:jc w:val="left"/>
              <w:textAlignment w:val="baseline"/>
              <w:rPr>
                <w:rFonts w:hint="eastAsia" w:ascii="宋体" w:hAnsi="宋体" w:eastAsia="宋体" w:cs="宋体"/>
                <w:snapToGrid w:val="0"/>
                <w:color w:val="000000"/>
                <w:spacing w:val="1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油罐有操作井</w:t>
            </w:r>
          </w:p>
        </w:tc>
        <w:tc>
          <w:tcPr>
            <w:tcW w:w="1710" w:type="dxa"/>
            <w:vAlign w:val="top"/>
          </w:tcPr>
          <w:p w14:paraId="3B0570A1">
            <w:pPr>
              <w:kinsoku w:val="0"/>
              <w:autoSpaceDE w:val="0"/>
              <w:autoSpaceDN w:val="0"/>
              <w:adjustRightInd w:val="0"/>
              <w:snapToGrid w:val="0"/>
              <w:spacing w:before="29" w:line="229" w:lineRule="auto"/>
              <w:ind w:left="230"/>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10"/>
                <w:kern w:val="0"/>
                <w:sz w:val="20"/>
                <w:szCs w:val="20"/>
                <w:lang w:val="en-US" w:eastAsia="en-US" w:bidi="ar-SA"/>
              </w:rPr>
              <w:t>符合要求</w:t>
            </w:r>
          </w:p>
        </w:tc>
      </w:tr>
      <w:tr w14:paraId="1841F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4F1DD74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8F00E1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6B5F150">
            <w:pPr>
              <w:kinsoku w:val="0"/>
              <w:autoSpaceDE w:val="0"/>
              <w:autoSpaceDN w:val="0"/>
              <w:adjustRightInd w:val="0"/>
              <w:snapToGrid w:val="0"/>
              <w:spacing w:before="188"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7</w:t>
            </w:r>
            <w:r>
              <w:rPr>
                <w:rFonts w:ascii="宋体" w:hAnsi="宋体" w:eastAsia="宋体" w:cs="宋体"/>
                <w:snapToGrid w:val="0"/>
                <w:color w:val="000000"/>
                <w:spacing w:val="7"/>
                <w:kern w:val="0"/>
                <w:sz w:val="20"/>
                <w:szCs w:val="20"/>
                <w:lang w:val="en-US" w:eastAsia="en-US" w:bidi="ar-SA"/>
              </w:rPr>
              <w:t>）加油机不得设置在室内。</w:t>
            </w:r>
          </w:p>
        </w:tc>
        <w:tc>
          <w:tcPr>
            <w:tcW w:w="1710" w:type="dxa"/>
            <w:vAlign w:val="top"/>
          </w:tcPr>
          <w:p w14:paraId="69440F8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加油机位于站房</w:t>
            </w:r>
            <w:r>
              <w:rPr>
                <w:rFonts w:ascii="宋体" w:hAnsi="宋体" w:eastAsia="宋体" w:cs="宋体"/>
                <w:snapToGrid w:val="0"/>
                <w:color w:val="000000"/>
                <w:kern w:val="0"/>
                <w:sz w:val="20"/>
                <w:szCs w:val="20"/>
                <w:lang w:val="en-US" w:eastAsia="en-US" w:bidi="ar-SA"/>
              </w:rPr>
              <w:t>外</w:t>
            </w:r>
          </w:p>
        </w:tc>
        <w:tc>
          <w:tcPr>
            <w:tcW w:w="1710" w:type="dxa"/>
            <w:vAlign w:val="top"/>
          </w:tcPr>
          <w:p w14:paraId="72753D60">
            <w:pPr>
              <w:kinsoku w:val="0"/>
              <w:autoSpaceDE w:val="0"/>
              <w:autoSpaceDN w:val="0"/>
              <w:adjustRightInd w:val="0"/>
              <w:snapToGrid w:val="0"/>
              <w:spacing w:before="48" w:line="232"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213A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28F8451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AFC87F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4884382">
            <w:pPr>
              <w:kinsoku w:val="0"/>
              <w:autoSpaceDE w:val="0"/>
              <w:autoSpaceDN w:val="0"/>
              <w:adjustRightInd w:val="0"/>
              <w:snapToGrid w:val="0"/>
              <w:spacing w:before="52" w:line="230" w:lineRule="auto"/>
              <w:ind w:left="105" w:right="100" w:firstLine="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8</w:t>
            </w:r>
            <w:r>
              <w:rPr>
                <w:rFonts w:ascii="宋体" w:hAnsi="宋体" w:eastAsia="宋体" w:cs="宋体"/>
                <w:snapToGrid w:val="0"/>
                <w:color w:val="000000"/>
                <w:spacing w:val="8"/>
                <w:kern w:val="0"/>
                <w:sz w:val="20"/>
                <w:szCs w:val="20"/>
                <w:lang w:val="en-US" w:eastAsia="en-US" w:bidi="ar-SA"/>
              </w:rPr>
              <w:t>）以潜油泵供油的加油机</w:t>
            </w:r>
            <w:r>
              <w:rPr>
                <w:rFonts w:ascii="Times New Roman" w:hAnsi="Times New Roman" w:eastAsia="Times New Roman" w:cs="Times New Roman"/>
                <w:snapToGrid w:val="0"/>
                <w:color w:val="000000"/>
                <w:spacing w:val="8"/>
                <w:kern w:val="0"/>
                <w:sz w:val="20"/>
                <w:szCs w:val="20"/>
                <w:lang w:val="en-US" w:eastAsia="en-US" w:bidi="ar-SA"/>
              </w:rPr>
              <w:t>,</w:t>
            </w:r>
            <w:r>
              <w:rPr>
                <w:rFonts w:ascii="宋体" w:hAnsi="宋体" w:eastAsia="宋体" w:cs="宋体"/>
                <w:snapToGrid w:val="0"/>
                <w:color w:val="000000"/>
                <w:spacing w:val="8"/>
                <w:kern w:val="0"/>
                <w:sz w:val="20"/>
                <w:szCs w:val="20"/>
                <w:lang w:val="en-US" w:eastAsia="en-US" w:bidi="ar-SA"/>
              </w:rPr>
              <w:t>其底部的供油管道上应设</w:t>
            </w:r>
            <w:r>
              <w:rPr>
                <w:rFonts w:ascii="宋体" w:hAnsi="宋体" w:eastAsia="宋体" w:cs="宋体"/>
                <w:snapToGrid w:val="0"/>
                <w:color w:val="000000"/>
                <w:spacing w:val="4"/>
                <w:kern w:val="0"/>
                <w:sz w:val="20"/>
                <w:szCs w:val="20"/>
                <w:lang w:val="en-US" w:eastAsia="en-US" w:bidi="ar-SA"/>
              </w:rPr>
              <w:t>剪切阀。</w:t>
            </w:r>
          </w:p>
        </w:tc>
        <w:tc>
          <w:tcPr>
            <w:tcW w:w="1710" w:type="dxa"/>
            <w:vAlign w:val="top"/>
          </w:tcPr>
          <w:p w14:paraId="2EAB237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供油管道上有剪</w:t>
            </w:r>
            <w:r>
              <w:rPr>
                <w:rFonts w:ascii="宋体" w:hAnsi="宋体" w:eastAsia="宋体" w:cs="宋体"/>
                <w:snapToGrid w:val="0"/>
                <w:color w:val="000000"/>
                <w:spacing w:val="5"/>
                <w:kern w:val="0"/>
                <w:sz w:val="20"/>
                <w:szCs w:val="20"/>
                <w:lang w:val="en-US" w:eastAsia="en-US" w:bidi="ar-SA"/>
              </w:rPr>
              <w:t>切阀</w:t>
            </w:r>
          </w:p>
        </w:tc>
        <w:tc>
          <w:tcPr>
            <w:tcW w:w="1710" w:type="dxa"/>
            <w:vAlign w:val="top"/>
          </w:tcPr>
          <w:p w14:paraId="3CAEDBD4">
            <w:pPr>
              <w:kinsoku w:val="0"/>
              <w:autoSpaceDE w:val="0"/>
              <w:autoSpaceDN w:val="0"/>
              <w:adjustRightInd w:val="0"/>
              <w:snapToGrid w:val="0"/>
              <w:spacing w:before="52" w:line="230"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D615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4E72E55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7326F1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1AFC4EF6">
            <w:pPr>
              <w:kinsoku w:val="0"/>
              <w:autoSpaceDE w:val="0"/>
              <w:autoSpaceDN w:val="0"/>
              <w:adjustRightInd w:val="0"/>
              <w:snapToGrid w:val="0"/>
              <w:spacing w:before="54" w:line="229" w:lineRule="auto"/>
              <w:ind w:left="108" w:right="98" w:firstLine="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9</w:t>
            </w:r>
            <w:r>
              <w:rPr>
                <w:rFonts w:ascii="宋体" w:hAnsi="宋体" w:eastAsia="宋体" w:cs="宋体"/>
                <w:snapToGrid w:val="0"/>
                <w:color w:val="000000"/>
                <w:spacing w:val="10"/>
                <w:kern w:val="0"/>
                <w:sz w:val="20"/>
                <w:szCs w:val="20"/>
                <w:lang w:val="en-US" w:eastAsia="en-US" w:bidi="ar-SA"/>
              </w:rPr>
              <w:t>）加油枪应采用自封式加油枪，汽油加油枪的流量</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不应大于</w:t>
            </w:r>
            <w:r>
              <w:rPr>
                <w:rFonts w:ascii="宋体" w:hAnsi="宋体" w:eastAsia="宋体" w:cs="宋体"/>
                <w:snapToGrid w:val="0"/>
                <w:color w:val="000000"/>
                <w:spacing w:val="-33"/>
                <w:kern w:val="0"/>
                <w:sz w:val="20"/>
                <w:szCs w:val="20"/>
                <w:lang w:val="en-US" w:eastAsia="en-US" w:bidi="ar-SA"/>
              </w:rPr>
              <w:t xml:space="preserve"> </w:t>
            </w:r>
            <w:r>
              <w:rPr>
                <w:rFonts w:ascii="Times New Roman" w:hAnsi="Times New Roman" w:eastAsia="Times New Roman" w:cs="Times New Roman"/>
                <w:snapToGrid w:val="0"/>
                <w:color w:val="000000"/>
                <w:spacing w:val="5"/>
                <w:kern w:val="0"/>
                <w:sz w:val="20"/>
                <w:szCs w:val="20"/>
                <w:lang w:val="en-US" w:eastAsia="en-US" w:bidi="ar-SA"/>
              </w:rPr>
              <w:t>50L/</w:t>
            </w:r>
            <w:r>
              <w:rPr>
                <w:rFonts w:ascii="Times New Roman" w:hAnsi="Times New Roman" w:eastAsia="Times New Roman" w:cs="Times New Roman"/>
                <w:snapToGrid w:val="0"/>
                <w:color w:val="000000"/>
                <w:kern w:val="0"/>
                <w:sz w:val="20"/>
                <w:szCs w:val="20"/>
                <w:lang w:val="en-US" w:eastAsia="en-US" w:bidi="ar-SA"/>
              </w:rPr>
              <w:t>min</w:t>
            </w:r>
            <w:r>
              <w:rPr>
                <w:rFonts w:ascii="宋体" w:hAnsi="宋体" w:eastAsia="宋体" w:cs="宋体"/>
                <w:snapToGrid w:val="0"/>
                <w:color w:val="000000"/>
                <w:spacing w:val="5"/>
                <w:kern w:val="0"/>
                <w:sz w:val="20"/>
                <w:szCs w:val="20"/>
                <w:lang w:val="en-US" w:eastAsia="en-US" w:bidi="ar-SA"/>
              </w:rPr>
              <w:t>。</w:t>
            </w:r>
          </w:p>
        </w:tc>
        <w:tc>
          <w:tcPr>
            <w:tcW w:w="1710" w:type="dxa"/>
            <w:vAlign w:val="top"/>
          </w:tcPr>
          <w:p w14:paraId="04B469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Times New Roman" w:hAnsi="Times New Roman" w:eastAsia="Times New Roman" w:cs="Times New Roman"/>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加油枪流量</w:t>
            </w:r>
            <w:r>
              <w:rPr>
                <w:rFonts w:ascii="Times New Roman" w:hAnsi="Times New Roman" w:eastAsia="Times New Roman" w:cs="Times New Roman"/>
                <w:snapToGrid w:val="0"/>
                <w:color w:val="000000"/>
                <w:spacing w:val="5"/>
                <w:kern w:val="0"/>
                <w:sz w:val="20"/>
                <w:szCs w:val="20"/>
                <w:lang w:val="en-US" w:eastAsia="en-US" w:bidi="ar-SA"/>
              </w:rPr>
              <w:t>5-50</w:t>
            </w:r>
            <w:r>
              <w:rPr>
                <w:rFonts w:ascii="Times New Roman" w:hAnsi="Times New Roman" w:eastAsia="Times New Roman" w:cs="Times New Roman"/>
                <w:snapToGrid w:val="0"/>
                <w:color w:val="000000"/>
                <w:spacing w:val="9"/>
                <w:kern w:val="0"/>
                <w:sz w:val="20"/>
                <w:szCs w:val="20"/>
                <w:lang w:val="en-US" w:eastAsia="en-US" w:bidi="ar-SA"/>
              </w:rPr>
              <w:t>L/</w:t>
            </w:r>
            <w:r>
              <w:rPr>
                <w:rFonts w:ascii="Times New Roman" w:hAnsi="Times New Roman" w:eastAsia="Times New Roman" w:cs="Times New Roman"/>
                <w:snapToGrid w:val="0"/>
                <w:color w:val="000000"/>
                <w:kern w:val="0"/>
                <w:sz w:val="20"/>
                <w:szCs w:val="20"/>
                <w:lang w:val="en-US" w:eastAsia="en-US" w:bidi="ar-SA"/>
              </w:rPr>
              <w:t>min</w:t>
            </w:r>
          </w:p>
        </w:tc>
        <w:tc>
          <w:tcPr>
            <w:tcW w:w="1710" w:type="dxa"/>
            <w:vAlign w:val="top"/>
          </w:tcPr>
          <w:p w14:paraId="627F5E12">
            <w:pPr>
              <w:kinsoku w:val="0"/>
              <w:autoSpaceDE w:val="0"/>
              <w:autoSpaceDN w:val="0"/>
              <w:adjustRightInd w:val="0"/>
              <w:snapToGrid w:val="0"/>
              <w:spacing w:before="54" w:line="229"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6F95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140A2B0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0F94428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C886B39">
            <w:pPr>
              <w:kinsoku w:val="0"/>
              <w:autoSpaceDE w:val="0"/>
              <w:autoSpaceDN w:val="0"/>
              <w:adjustRightInd w:val="0"/>
              <w:snapToGrid w:val="0"/>
              <w:spacing w:before="200"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10</w:t>
            </w:r>
            <w:r>
              <w:rPr>
                <w:rFonts w:ascii="宋体" w:hAnsi="宋体" w:eastAsia="宋体" w:cs="宋体"/>
                <w:snapToGrid w:val="0"/>
                <w:color w:val="000000"/>
                <w:spacing w:val="7"/>
                <w:kern w:val="0"/>
                <w:sz w:val="20"/>
                <w:szCs w:val="20"/>
                <w:lang w:val="en-US" w:eastAsia="en-US" w:bidi="ar-SA"/>
              </w:rPr>
              <w:t>）加油软管上宜设安全拉断阀。</w:t>
            </w:r>
          </w:p>
        </w:tc>
        <w:tc>
          <w:tcPr>
            <w:tcW w:w="1710" w:type="dxa"/>
            <w:vAlign w:val="top"/>
          </w:tcPr>
          <w:p w14:paraId="7FC724E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加油软管有拉断</w:t>
            </w:r>
            <w:r>
              <w:rPr>
                <w:rFonts w:ascii="宋体" w:hAnsi="宋体" w:eastAsia="宋体" w:cs="宋体"/>
                <w:snapToGrid w:val="0"/>
                <w:color w:val="000000"/>
                <w:kern w:val="0"/>
                <w:sz w:val="20"/>
                <w:szCs w:val="20"/>
                <w:lang w:val="en-US" w:eastAsia="en-US" w:bidi="ar-SA"/>
              </w:rPr>
              <w:t>阀</w:t>
            </w:r>
          </w:p>
        </w:tc>
        <w:tc>
          <w:tcPr>
            <w:tcW w:w="1710" w:type="dxa"/>
            <w:vAlign w:val="top"/>
          </w:tcPr>
          <w:p w14:paraId="344B63F4">
            <w:pPr>
              <w:kinsoku w:val="0"/>
              <w:autoSpaceDE w:val="0"/>
              <w:autoSpaceDN w:val="0"/>
              <w:adjustRightInd w:val="0"/>
              <w:snapToGrid w:val="0"/>
              <w:spacing w:before="61" w:line="226"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87F6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2BDD49D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3BD46A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E50E5EE">
            <w:pPr>
              <w:kinsoku w:val="0"/>
              <w:autoSpaceDE w:val="0"/>
              <w:autoSpaceDN w:val="0"/>
              <w:adjustRightInd w:val="0"/>
              <w:snapToGrid w:val="0"/>
              <w:spacing w:before="204" w:line="243" w:lineRule="auto"/>
              <w:ind w:left="108" w:right="100" w:firstLine="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11</w:t>
            </w:r>
            <w:r>
              <w:rPr>
                <w:rFonts w:ascii="宋体" w:hAnsi="宋体" w:eastAsia="宋体" w:cs="宋体"/>
                <w:snapToGrid w:val="0"/>
                <w:color w:val="000000"/>
                <w:spacing w:val="6"/>
                <w:kern w:val="0"/>
                <w:sz w:val="20"/>
                <w:szCs w:val="20"/>
                <w:lang w:val="en-US" w:eastAsia="en-US" w:bidi="ar-SA"/>
              </w:rPr>
              <w:t>）油罐车卸油须采用密闭卸油方式。各油罐应各自</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设置卸油管道和卸油口。各卸油口应有明显标</w:t>
            </w:r>
            <w:r>
              <w:rPr>
                <w:rFonts w:ascii="宋体" w:hAnsi="宋体" w:eastAsia="宋体" w:cs="宋体"/>
                <w:snapToGrid w:val="0"/>
                <w:color w:val="000000"/>
                <w:spacing w:val="8"/>
                <w:kern w:val="0"/>
                <w:sz w:val="20"/>
                <w:szCs w:val="20"/>
                <w:lang w:val="en-US" w:eastAsia="en-US" w:bidi="ar-SA"/>
              </w:rPr>
              <w:t>识。</w:t>
            </w:r>
          </w:p>
        </w:tc>
        <w:tc>
          <w:tcPr>
            <w:tcW w:w="1710" w:type="dxa"/>
            <w:vAlign w:val="top"/>
          </w:tcPr>
          <w:p w14:paraId="75CA185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采用密闭卸油，</w:t>
            </w:r>
            <w:r>
              <w:rPr>
                <w:rFonts w:ascii="宋体" w:hAnsi="宋体" w:eastAsia="宋体" w:cs="宋体"/>
                <w:snapToGrid w:val="0"/>
                <w:color w:val="000000"/>
                <w:spacing w:val="8"/>
                <w:kern w:val="0"/>
                <w:sz w:val="20"/>
                <w:szCs w:val="20"/>
                <w:lang w:val="en-US" w:eastAsia="en-US" w:bidi="ar-SA"/>
              </w:rPr>
              <w:t>卸油口设有油品</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标识。</w:t>
            </w:r>
          </w:p>
        </w:tc>
        <w:tc>
          <w:tcPr>
            <w:tcW w:w="1710" w:type="dxa"/>
            <w:vAlign w:val="top"/>
          </w:tcPr>
          <w:p w14:paraId="0FD42079">
            <w:pPr>
              <w:kinsoku w:val="0"/>
              <w:autoSpaceDE w:val="0"/>
              <w:autoSpaceDN w:val="0"/>
              <w:adjustRightInd w:val="0"/>
              <w:snapToGrid w:val="0"/>
              <w:spacing w:before="205"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609D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74593DF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278C86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3553DDC">
            <w:pPr>
              <w:kinsoku w:val="0"/>
              <w:autoSpaceDE w:val="0"/>
              <w:autoSpaceDN w:val="0"/>
              <w:adjustRightInd w:val="0"/>
              <w:snapToGrid w:val="0"/>
              <w:spacing w:before="210"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12</w:t>
            </w:r>
            <w:r>
              <w:rPr>
                <w:rFonts w:ascii="宋体" w:hAnsi="宋体" w:eastAsia="宋体" w:cs="宋体"/>
                <w:snapToGrid w:val="0"/>
                <w:color w:val="000000"/>
                <w:spacing w:val="8"/>
                <w:kern w:val="0"/>
                <w:sz w:val="20"/>
                <w:szCs w:val="20"/>
                <w:lang w:val="en-US" w:eastAsia="en-US" w:bidi="ar-SA"/>
              </w:rPr>
              <w:t>）汽油油罐车应具有卸油油气回收系统。</w:t>
            </w:r>
          </w:p>
        </w:tc>
        <w:tc>
          <w:tcPr>
            <w:tcW w:w="1710" w:type="dxa"/>
            <w:vAlign w:val="top"/>
          </w:tcPr>
          <w:p w14:paraId="56347F49">
            <w:pPr>
              <w:kinsoku w:val="0"/>
              <w:autoSpaceDE w:val="0"/>
              <w:autoSpaceDN w:val="0"/>
              <w:adjustRightInd w:val="0"/>
              <w:snapToGrid w:val="0"/>
              <w:spacing w:before="210" w:line="228" w:lineRule="auto"/>
              <w:ind w:left="13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有油气回收系统</w:t>
            </w:r>
          </w:p>
        </w:tc>
        <w:tc>
          <w:tcPr>
            <w:tcW w:w="1710" w:type="dxa"/>
            <w:vAlign w:val="top"/>
          </w:tcPr>
          <w:p w14:paraId="241964B3">
            <w:pPr>
              <w:kinsoku w:val="0"/>
              <w:autoSpaceDE w:val="0"/>
              <w:autoSpaceDN w:val="0"/>
              <w:adjustRightInd w:val="0"/>
              <w:snapToGrid w:val="0"/>
              <w:spacing w:before="69" w:line="222"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6F7E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6D0C963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388740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2DCB949">
            <w:pPr>
              <w:kinsoku w:val="0"/>
              <w:autoSpaceDE w:val="0"/>
              <w:autoSpaceDN w:val="0"/>
              <w:adjustRightInd w:val="0"/>
              <w:snapToGrid w:val="0"/>
              <w:spacing w:before="212" w:line="228" w:lineRule="auto"/>
              <w:ind w:left="11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13</w:t>
            </w:r>
            <w:r>
              <w:rPr>
                <w:rFonts w:ascii="宋体" w:hAnsi="宋体" w:eastAsia="宋体" w:cs="宋体"/>
                <w:snapToGrid w:val="0"/>
                <w:color w:val="000000"/>
                <w:spacing w:val="7"/>
                <w:kern w:val="0"/>
                <w:sz w:val="20"/>
                <w:szCs w:val="20"/>
                <w:lang w:val="en-US" w:eastAsia="en-US" w:bidi="ar-SA"/>
              </w:rPr>
              <w:t>）卸油接口应装快速接头及密封盖。</w:t>
            </w:r>
          </w:p>
        </w:tc>
        <w:tc>
          <w:tcPr>
            <w:tcW w:w="1710" w:type="dxa"/>
            <w:vAlign w:val="top"/>
          </w:tcPr>
          <w:p w14:paraId="2268927B">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卸油口有快速接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头及密封盖</w:t>
            </w:r>
          </w:p>
        </w:tc>
        <w:tc>
          <w:tcPr>
            <w:tcW w:w="1710" w:type="dxa"/>
            <w:vAlign w:val="top"/>
          </w:tcPr>
          <w:p w14:paraId="2116E612">
            <w:pPr>
              <w:kinsoku w:val="0"/>
              <w:autoSpaceDE w:val="0"/>
              <w:autoSpaceDN w:val="0"/>
              <w:adjustRightInd w:val="0"/>
              <w:snapToGrid w:val="0"/>
              <w:spacing w:before="74" w:line="220"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4495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6" w:hRule="atLeast"/>
        </w:trPr>
        <w:tc>
          <w:tcPr>
            <w:tcW w:w="699" w:type="dxa"/>
            <w:vMerge w:val="continue"/>
            <w:vAlign w:val="top"/>
          </w:tcPr>
          <w:p w14:paraId="6509233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2F7E78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34D2E42">
            <w:pPr>
              <w:kinsoku w:val="0"/>
              <w:autoSpaceDE w:val="0"/>
              <w:autoSpaceDN w:val="0"/>
              <w:adjustRightInd w:val="0"/>
              <w:snapToGrid w:val="0"/>
              <w:spacing w:before="80" w:line="241" w:lineRule="auto"/>
              <w:ind w:left="103" w:right="44" w:firstLine="68"/>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2"/>
                <w:kern w:val="0"/>
                <w:sz w:val="20"/>
                <w:szCs w:val="20"/>
                <w:lang w:val="en-US" w:eastAsia="en-US" w:bidi="ar-SA"/>
              </w:rPr>
              <w:t>（</w:t>
            </w:r>
            <w:r>
              <w:rPr>
                <w:rFonts w:ascii="Times New Roman" w:hAnsi="Times New Roman" w:eastAsia="Times New Roman" w:cs="Times New Roman"/>
                <w:snapToGrid w:val="0"/>
                <w:color w:val="000000"/>
                <w:spacing w:val="12"/>
                <w:kern w:val="0"/>
                <w:sz w:val="20"/>
                <w:szCs w:val="20"/>
                <w:lang w:val="en-US" w:eastAsia="en-US" w:bidi="ar-SA"/>
              </w:rPr>
              <w:t>14</w:t>
            </w:r>
            <w:r>
              <w:rPr>
                <w:rFonts w:ascii="宋体" w:hAnsi="宋体" w:eastAsia="宋体" w:cs="宋体"/>
                <w:snapToGrid w:val="0"/>
                <w:color w:val="000000"/>
                <w:spacing w:val="12"/>
                <w:kern w:val="0"/>
                <w:sz w:val="20"/>
                <w:szCs w:val="20"/>
                <w:lang w:val="en-US" w:eastAsia="en-US" w:bidi="ar-SA"/>
              </w:rPr>
              <w:t>）油罐卸油是否采取防满溢措施，是否设置液位</w:t>
            </w:r>
            <w:r>
              <w:rPr>
                <w:rFonts w:ascii="宋体" w:hAnsi="宋体" w:eastAsia="宋体" w:cs="宋体"/>
                <w:snapToGrid w:val="0"/>
                <w:color w:val="000000"/>
                <w:spacing w:val="5"/>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超高报警、高高联锁装置。油料达到油罐容量的</w:t>
            </w:r>
            <w:r>
              <w:rPr>
                <w:rFonts w:ascii="Times New Roman" w:hAnsi="Times New Roman" w:eastAsia="Times New Roman" w:cs="Times New Roman"/>
                <w:snapToGrid w:val="0"/>
                <w:color w:val="000000"/>
                <w:spacing w:val="2"/>
                <w:kern w:val="0"/>
                <w:sz w:val="20"/>
                <w:szCs w:val="20"/>
                <w:lang w:val="en-US" w:eastAsia="en-US" w:bidi="ar-SA"/>
              </w:rPr>
              <w:t>90%</w:t>
            </w:r>
            <w:r>
              <w:rPr>
                <w:rFonts w:ascii="宋体" w:hAnsi="宋体" w:eastAsia="宋体" w:cs="宋体"/>
                <w:snapToGrid w:val="0"/>
                <w:color w:val="000000"/>
                <w:spacing w:val="2"/>
                <w:kern w:val="0"/>
                <w:sz w:val="20"/>
                <w:szCs w:val="20"/>
                <w:lang w:val="en-US" w:eastAsia="en-US" w:bidi="ar-SA"/>
              </w:rPr>
              <w:t>时，</w:t>
            </w:r>
            <w:r>
              <w:rPr>
                <w:rFonts w:ascii="宋体" w:hAnsi="宋体" w:eastAsia="宋体" w:cs="宋体"/>
                <w:snapToGrid w:val="0"/>
                <w:color w:val="000000"/>
                <w:spacing w:val="16"/>
                <w:kern w:val="0"/>
                <w:sz w:val="20"/>
                <w:szCs w:val="20"/>
                <w:lang w:val="en-US" w:eastAsia="en-US" w:bidi="ar-SA"/>
              </w:rPr>
              <w:t>应能触动高液位报警装置；油料达到油罐容量的</w:t>
            </w:r>
            <w:r>
              <w:rPr>
                <w:rFonts w:ascii="Times New Roman" w:hAnsi="Times New Roman" w:eastAsia="Times New Roman" w:cs="Times New Roman"/>
                <w:snapToGrid w:val="0"/>
                <w:color w:val="000000"/>
                <w:spacing w:val="16"/>
                <w:kern w:val="0"/>
                <w:sz w:val="20"/>
                <w:szCs w:val="20"/>
                <w:lang w:val="en-US" w:eastAsia="en-US" w:bidi="ar-SA"/>
              </w:rPr>
              <w:t>95%</w:t>
            </w:r>
            <w:r>
              <w:rPr>
                <w:rFonts w:ascii="宋体" w:hAnsi="宋体" w:eastAsia="宋体" w:cs="宋体"/>
                <w:snapToGrid w:val="0"/>
                <w:color w:val="000000"/>
                <w:spacing w:val="6"/>
                <w:kern w:val="0"/>
                <w:sz w:val="20"/>
                <w:szCs w:val="20"/>
                <w:lang w:val="en-US" w:eastAsia="en-US" w:bidi="ar-SA"/>
              </w:rPr>
              <w:t>时，应能自动停止油料继续进罐。高液位报警装置应位</w:t>
            </w:r>
            <w:r>
              <w:rPr>
                <w:rFonts w:ascii="宋体" w:hAnsi="宋体" w:eastAsia="宋体" w:cs="宋体"/>
                <w:snapToGrid w:val="0"/>
                <w:color w:val="000000"/>
                <w:spacing w:val="8"/>
                <w:kern w:val="0"/>
                <w:sz w:val="20"/>
                <w:szCs w:val="20"/>
                <w:lang w:val="en-US" w:eastAsia="en-US" w:bidi="ar-SA"/>
              </w:rPr>
              <w:t>于工作人员便于觉察的地点。</w:t>
            </w:r>
          </w:p>
        </w:tc>
        <w:tc>
          <w:tcPr>
            <w:tcW w:w="1710" w:type="dxa"/>
            <w:vAlign w:val="top"/>
          </w:tcPr>
          <w:p w14:paraId="3E2311B9">
            <w:pPr>
              <w:widowControl/>
              <w:kinsoku w:val="0"/>
              <w:autoSpaceDE w:val="0"/>
              <w:autoSpaceDN w:val="0"/>
              <w:adjustRightInd w:val="0"/>
              <w:snapToGrid w:val="0"/>
              <w:spacing w:line="430" w:lineRule="auto"/>
              <w:jc w:val="left"/>
              <w:textAlignment w:val="baseline"/>
              <w:rPr>
                <w:rFonts w:ascii="Arial" w:hAnsi="Arial" w:eastAsia="Arial" w:cs="Arial"/>
                <w:snapToGrid w:val="0"/>
                <w:color w:val="000000"/>
                <w:kern w:val="0"/>
                <w:sz w:val="21"/>
                <w:lang w:eastAsia="en-US"/>
              </w:rPr>
            </w:pPr>
          </w:p>
          <w:p w14:paraId="041238F7">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有油罐液位监测</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和报警装置</w:t>
            </w:r>
          </w:p>
        </w:tc>
        <w:tc>
          <w:tcPr>
            <w:tcW w:w="1710" w:type="dxa"/>
            <w:vAlign w:val="top"/>
          </w:tcPr>
          <w:p w14:paraId="286EF291">
            <w:pPr>
              <w:widowControl/>
              <w:kinsoku w:val="0"/>
              <w:autoSpaceDE w:val="0"/>
              <w:autoSpaceDN w:val="0"/>
              <w:adjustRightInd w:val="0"/>
              <w:snapToGrid w:val="0"/>
              <w:spacing w:line="430" w:lineRule="auto"/>
              <w:jc w:val="left"/>
              <w:textAlignment w:val="baseline"/>
              <w:rPr>
                <w:rFonts w:ascii="Arial" w:hAnsi="Arial" w:eastAsia="Arial" w:cs="Arial"/>
                <w:snapToGrid w:val="0"/>
                <w:color w:val="000000"/>
                <w:kern w:val="0"/>
                <w:sz w:val="21"/>
                <w:lang w:eastAsia="en-US"/>
              </w:rPr>
            </w:pPr>
          </w:p>
          <w:p w14:paraId="3C5697A2">
            <w:pPr>
              <w:kinsoku w:val="0"/>
              <w:autoSpaceDE w:val="0"/>
              <w:autoSpaceDN w:val="0"/>
              <w:adjustRightInd w:val="0"/>
              <w:snapToGrid w:val="0"/>
              <w:spacing w:before="65"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6FC1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5168E3F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1DC1E7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615B840">
            <w:pPr>
              <w:kinsoku w:val="0"/>
              <w:autoSpaceDE w:val="0"/>
              <w:autoSpaceDN w:val="0"/>
              <w:adjustRightInd w:val="0"/>
              <w:snapToGrid w:val="0"/>
              <w:spacing w:before="87" w:line="214" w:lineRule="auto"/>
              <w:ind w:left="110" w:right="100" w:firstLine="4"/>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2"/>
                <w:kern w:val="0"/>
                <w:sz w:val="20"/>
                <w:szCs w:val="20"/>
                <w:lang w:val="en-US" w:eastAsia="en-US" w:bidi="ar-SA"/>
              </w:rPr>
              <w:t>（</w:t>
            </w:r>
            <w:r>
              <w:rPr>
                <w:rFonts w:ascii="Times New Roman" w:hAnsi="Times New Roman" w:eastAsia="Times New Roman" w:cs="Times New Roman"/>
                <w:snapToGrid w:val="0"/>
                <w:color w:val="000000"/>
                <w:spacing w:val="12"/>
                <w:kern w:val="0"/>
                <w:sz w:val="20"/>
                <w:szCs w:val="20"/>
                <w:lang w:val="en-US" w:eastAsia="en-US" w:bidi="ar-SA"/>
              </w:rPr>
              <w:t>15</w:t>
            </w:r>
            <w:r>
              <w:rPr>
                <w:rFonts w:ascii="宋体" w:hAnsi="宋体" w:eastAsia="宋体" w:cs="宋体"/>
                <w:snapToGrid w:val="0"/>
                <w:color w:val="000000"/>
                <w:spacing w:val="12"/>
                <w:kern w:val="0"/>
                <w:sz w:val="20"/>
                <w:szCs w:val="20"/>
                <w:lang w:val="en-US" w:eastAsia="en-US" w:bidi="ar-SA"/>
              </w:rPr>
              <w:t>）汽油罐与柴油罐的通气管</w:t>
            </w:r>
            <w:r>
              <w:rPr>
                <w:rFonts w:ascii="Times New Roman" w:hAnsi="Times New Roman" w:eastAsia="Times New Roman" w:cs="Times New Roman"/>
                <w:snapToGrid w:val="0"/>
                <w:color w:val="000000"/>
                <w:spacing w:val="12"/>
                <w:kern w:val="0"/>
                <w:sz w:val="20"/>
                <w:szCs w:val="20"/>
                <w:lang w:val="en-US" w:eastAsia="en-US" w:bidi="ar-SA"/>
              </w:rPr>
              <w:t>,</w:t>
            </w:r>
            <w:r>
              <w:rPr>
                <w:rFonts w:ascii="宋体" w:hAnsi="宋体" w:eastAsia="宋体" w:cs="宋体"/>
                <w:snapToGrid w:val="0"/>
                <w:color w:val="000000"/>
                <w:spacing w:val="12"/>
                <w:kern w:val="0"/>
                <w:sz w:val="20"/>
                <w:szCs w:val="20"/>
                <w:lang w:val="en-US" w:eastAsia="en-US" w:bidi="ar-SA"/>
              </w:rPr>
              <w:t>应分开设置，管口应高出地面</w:t>
            </w:r>
            <w:r>
              <w:rPr>
                <w:rFonts w:ascii="Times New Roman" w:hAnsi="Times New Roman" w:eastAsia="Times New Roman" w:cs="Times New Roman"/>
                <w:snapToGrid w:val="0"/>
                <w:color w:val="000000"/>
                <w:spacing w:val="12"/>
                <w:kern w:val="0"/>
                <w:sz w:val="20"/>
                <w:szCs w:val="20"/>
                <w:lang w:val="en-US" w:eastAsia="en-US" w:bidi="ar-SA"/>
              </w:rPr>
              <w:t>4m</w:t>
            </w:r>
            <w:r>
              <w:rPr>
                <w:rFonts w:ascii="宋体" w:hAnsi="宋体" w:eastAsia="宋体" w:cs="宋体"/>
                <w:snapToGrid w:val="0"/>
                <w:color w:val="000000"/>
                <w:spacing w:val="12"/>
                <w:kern w:val="0"/>
                <w:sz w:val="20"/>
                <w:szCs w:val="20"/>
                <w:lang w:val="en-US" w:eastAsia="en-US" w:bidi="ar-SA"/>
              </w:rPr>
              <w:t>及以上。</w:t>
            </w:r>
          </w:p>
        </w:tc>
        <w:tc>
          <w:tcPr>
            <w:tcW w:w="1710" w:type="dxa"/>
            <w:vAlign w:val="top"/>
          </w:tcPr>
          <w:p w14:paraId="5B0DC03B">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柴油、汽油罐通</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气管分开设置</w:t>
            </w:r>
          </w:p>
        </w:tc>
        <w:tc>
          <w:tcPr>
            <w:tcW w:w="1710" w:type="dxa"/>
            <w:vAlign w:val="top"/>
          </w:tcPr>
          <w:p w14:paraId="3221F17B">
            <w:pPr>
              <w:kinsoku w:val="0"/>
              <w:autoSpaceDE w:val="0"/>
              <w:autoSpaceDN w:val="0"/>
              <w:adjustRightInd w:val="0"/>
              <w:snapToGrid w:val="0"/>
              <w:spacing w:before="87" w:line="214"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91A7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6F05D61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EA2A51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9363273">
            <w:pPr>
              <w:kinsoku w:val="0"/>
              <w:autoSpaceDE w:val="0"/>
              <w:autoSpaceDN w:val="0"/>
              <w:adjustRightInd w:val="0"/>
              <w:snapToGrid w:val="0"/>
              <w:spacing w:before="91" w:line="212" w:lineRule="auto"/>
              <w:ind w:left="104"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16</w:t>
            </w:r>
            <w:r>
              <w:rPr>
                <w:rFonts w:ascii="宋体" w:hAnsi="宋体" w:eastAsia="宋体" w:cs="宋体"/>
                <w:snapToGrid w:val="0"/>
                <w:color w:val="000000"/>
                <w:spacing w:val="10"/>
                <w:kern w:val="0"/>
                <w:sz w:val="20"/>
                <w:szCs w:val="20"/>
                <w:lang w:val="en-US" w:eastAsia="en-US" w:bidi="ar-SA"/>
              </w:rPr>
              <w:t>）通气管的公称直径不应小于</w:t>
            </w:r>
            <w:r>
              <w:rPr>
                <w:rFonts w:ascii="Times New Roman" w:hAnsi="Times New Roman" w:eastAsia="Times New Roman" w:cs="Times New Roman"/>
                <w:snapToGrid w:val="0"/>
                <w:color w:val="000000"/>
                <w:spacing w:val="10"/>
                <w:kern w:val="0"/>
                <w:sz w:val="20"/>
                <w:szCs w:val="20"/>
                <w:lang w:val="en-US" w:eastAsia="en-US" w:bidi="ar-SA"/>
              </w:rPr>
              <w:t>50</w:t>
            </w:r>
            <w:r>
              <w:rPr>
                <w:rFonts w:ascii="Times New Roman" w:hAnsi="Times New Roman" w:eastAsia="Times New Roman" w:cs="Times New Roman"/>
                <w:snapToGrid w:val="0"/>
                <w:color w:val="000000"/>
                <w:kern w:val="0"/>
                <w:sz w:val="20"/>
                <w:szCs w:val="20"/>
                <w:lang w:val="en-US" w:eastAsia="en-US" w:bidi="ar-SA"/>
              </w:rPr>
              <w:t>mm</w:t>
            </w:r>
            <w:r>
              <w:rPr>
                <w:rFonts w:ascii="宋体" w:hAnsi="宋体" w:eastAsia="宋体" w:cs="宋体"/>
                <w:snapToGrid w:val="0"/>
                <w:color w:val="000000"/>
                <w:spacing w:val="10"/>
                <w:kern w:val="0"/>
                <w:sz w:val="20"/>
                <w:szCs w:val="20"/>
                <w:lang w:val="en-US" w:eastAsia="en-US" w:bidi="ar-SA"/>
              </w:rPr>
              <w:t>；通气管管口</w:t>
            </w:r>
            <w:r>
              <w:rPr>
                <w:rFonts w:ascii="宋体" w:hAnsi="宋体" w:eastAsia="宋体" w:cs="宋体"/>
                <w:snapToGrid w:val="0"/>
                <w:color w:val="000000"/>
                <w:spacing w:val="7"/>
                <w:kern w:val="0"/>
                <w:sz w:val="20"/>
                <w:szCs w:val="20"/>
                <w:lang w:val="en-US" w:eastAsia="en-US" w:bidi="ar-SA"/>
              </w:rPr>
              <w:t>应安装阻火器。</w:t>
            </w:r>
          </w:p>
        </w:tc>
        <w:tc>
          <w:tcPr>
            <w:tcW w:w="1710" w:type="dxa"/>
            <w:vAlign w:val="top"/>
          </w:tcPr>
          <w:p w14:paraId="57939E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left"/>
              <w:textAlignment w:val="baseline"/>
              <w:rPr>
                <w:rFonts w:hint="eastAsia" w:ascii="宋体" w:hAnsi="宋体" w:eastAsia="宋体" w:cs="宋体"/>
                <w:snapToGrid w:val="0"/>
                <w:color w:val="000000"/>
                <w:spacing w:val="8"/>
                <w:kern w:val="0"/>
                <w:sz w:val="20"/>
                <w:szCs w:val="20"/>
                <w:lang w:val="en-US" w:eastAsia="en-US" w:bidi="ar-SA"/>
              </w:rPr>
            </w:pPr>
            <w:r>
              <w:rPr>
                <w:rFonts w:hint="eastAsia" w:ascii="宋体" w:hAnsi="宋体" w:eastAsia="宋体" w:cs="宋体"/>
                <w:snapToGrid w:val="0"/>
                <w:color w:val="000000"/>
                <w:spacing w:val="8"/>
                <w:kern w:val="0"/>
                <w:sz w:val="20"/>
                <w:szCs w:val="20"/>
                <w:lang w:val="en-US" w:eastAsia="en-US" w:bidi="ar-SA"/>
              </w:rPr>
              <w:t>通气管直</w:t>
            </w:r>
          </w:p>
          <w:p w14:paraId="30182E7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Times New Roman" w:hAnsi="Times New Roman" w:eastAsia="Times New Roman" w:cs="Times New Roman"/>
                <w:snapToGrid w:val="0"/>
                <w:color w:val="000000"/>
                <w:kern w:val="0"/>
                <w:sz w:val="20"/>
                <w:szCs w:val="20"/>
                <w:lang w:val="en-US" w:eastAsia="en-US" w:bidi="ar-SA"/>
              </w:rPr>
            </w:pPr>
            <w:r>
              <w:rPr>
                <w:rFonts w:hint="eastAsia" w:ascii="宋体" w:hAnsi="宋体" w:eastAsia="宋体" w:cs="宋体"/>
                <w:snapToGrid w:val="0"/>
                <w:color w:val="000000"/>
                <w:spacing w:val="8"/>
                <w:kern w:val="0"/>
                <w:sz w:val="20"/>
                <w:szCs w:val="20"/>
                <w:lang w:val="en-US" w:eastAsia="en-US" w:bidi="ar-SA"/>
              </w:rPr>
              <w:t>径</w:t>
            </w:r>
            <w:r>
              <w:rPr>
                <w:rFonts w:hint="eastAsia" w:ascii="宋体" w:hAnsi="宋体" w:eastAsia="宋体" w:cs="宋体"/>
                <w:snapToGrid w:val="0"/>
                <w:color w:val="000000"/>
                <w:spacing w:val="6"/>
                <w:kern w:val="0"/>
                <w:sz w:val="20"/>
                <w:szCs w:val="20"/>
                <w:lang w:val="en-US" w:eastAsia="en-US" w:bidi="ar-SA"/>
              </w:rPr>
              <w:t>50</w:t>
            </w:r>
            <w:r>
              <w:rPr>
                <w:rFonts w:hint="eastAsia" w:ascii="宋体" w:hAnsi="宋体" w:eastAsia="宋体" w:cs="宋体"/>
                <w:snapToGrid w:val="0"/>
                <w:color w:val="000000"/>
                <w:kern w:val="0"/>
                <w:sz w:val="20"/>
                <w:szCs w:val="20"/>
                <w:lang w:val="en-US" w:eastAsia="en-US" w:bidi="ar-SA"/>
              </w:rPr>
              <w:t>mm</w:t>
            </w:r>
          </w:p>
        </w:tc>
        <w:tc>
          <w:tcPr>
            <w:tcW w:w="1710" w:type="dxa"/>
            <w:vAlign w:val="top"/>
          </w:tcPr>
          <w:p w14:paraId="5AD02B2A">
            <w:pPr>
              <w:kinsoku w:val="0"/>
              <w:autoSpaceDE w:val="0"/>
              <w:autoSpaceDN w:val="0"/>
              <w:adjustRightInd w:val="0"/>
              <w:snapToGrid w:val="0"/>
              <w:spacing w:before="91" w:line="212" w:lineRule="auto"/>
              <w:ind w:left="230" w:right="199" w:hanging="3"/>
              <w:jc w:val="center"/>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3F97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8" w:hRule="atLeast"/>
        </w:trPr>
        <w:tc>
          <w:tcPr>
            <w:tcW w:w="699" w:type="dxa"/>
            <w:vMerge w:val="continue"/>
            <w:vAlign w:val="top"/>
          </w:tcPr>
          <w:p w14:paraId="0F84F99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4C5621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AF08428">
            <w:pPr>
              <w:kinsoku w:val="0"/>
              <w:autoSpaceDE w:val="0"/>
              <w:autoSpaceDN w:val="0"/>
              <w:adjustRightInd w:val="0"/>
              <w:snapToGrid w:val="0"/>
              <w:spacing w:before="93" w:line="234" w:lineRule="auto"/>
              <w:ind w:left="105" w:right="100" w:firstLine="9"/>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17</w:t>
            </w:r>
            <w:r>
              <w:rPr>
                <w:rFonts w:ascii="宋体" w:hAnsi="宋体" w:eastAsia="宋体" w:cs="宋体"/>
                <w:snapToGrid w:val="0"/>
                <w:color w:val="000000"/>
                <w:spacing w:val="6"/>
                <w:kern w:val="0"/>
                <w:sz w:val="20"/>
                <w:szCs w:val="20"/>
                <w:lang w:val="en-US" w:eastAsia="en-US" w:bidi="ar-SA"/>
              </w:rPr>
              <w:t>）加油站应采用加油油气回收系统。当加油站采用</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油气回收系统时，汽油罐的通气管管口除应装设阻火器</w:t>
            </w:r>
            <w:r>
              <w:rPr>
                <w:rFonts w:ascii="宋体" w:hAnsi="宋体" w:eastAsia="宋体" w:cs="宋体"/>
                <w:snapToGrid w:val="0"/>
                <w:color w:val="000000"/>
                <w:spacing w:val="16"/>
                <w:kern w:val="0"/>
                <w:sz w:val="20"/>
                <w:szCs w:val="20"/>
                <w:lang w:val="en-US" w:eastAsia="en-US" w:bidi="ar-SA"/>
              </w:rPr>
              <w:t xml:space="preserve"> </w:t>
            </w:r>
            <w:r>
              <w:rPr>
                <w:rFonts w:ascii="宋体" w:hAnsi="宋体" w:eastAsia="宋体" w:cs="宋体"/>
                <w:snapToGrid w:val="0"/>
                <w:color w:val="000000"/>
                <w:spacing w:val="18"/>
                <w:kern w:val="0"/>
                <w:sz w:val="20"/>
                <w:szCs w:val="20"/>
                <w:lang w:val="en-US" w:eastAsia="en-US" w:bidi="ar-SA"/>
              </w:rPr>
              <w:t>外，</w:t>
            </w:r>
            <w:r>
              <w:rPr>
                <w:rFonts w:ascii="宋体" w:hAnsi="宋体" w:eastAsia="宋体" w:cs="宋体"/>
                <w:snapToGrid w:val="0"/>
                <w:color w:val="000000"/>
                <w:spacing w:val="-53"/>
                <w:kern w:val="0"/>
                <w:sz w:val="20"/>
                <w:szCs w:val="20"/>
                <w:lang w:val="en-US" w:eastAsia="en-US" w:bidi="ar-SA"/>
              </w:rPr>
              <w:t xml:space="preserve"> </w:t>
            </w:r>
            <w:r>
              <w:rPr>
                <w:rFonts w:ascii="宋体" w:hAnsi="宋体" w:eastAsia="宋体" w:cs="宋体"/>
                <w:snapToGrid w:val="0"/>
                <w:color w:val="000000"/>
                <w:spacing w:val="18"/>
                <w:kern w:val="0"/>
                <w:sz w:val="20"/>
                <w:szCs w:val="20"/>
                <w:lang w:val="en-US" w:eastAsia="en-US" w:bidi="ar-SA"/>
              </w:rPr>
              <w:t>尚应装设呼吸阀。呼吸阀的工作正压宜为</w:t>
            </w:r>
            <w:r>
              <w:rPr>
                <w:rFonts w:ascii="Times New Roman" w:hAnsi="Times New Roman" w:eastAsia="Times New Roman" w:cs="Times New Roman"/>
                <w:snapToGrid w:val="0"/>
                <w:color w:val="000000"/>
                <w:spacing w:val="18"/>
                <w:kern w:val="0"/>
                <w:sz w:val="20"/>
                <w:szCs w:val="20"/>
                <w:lang w:val="en-US" w:eastAsia="en-US" w:bidi="ar-SA"/>
              </w:rPr>
              <w:t>2</w:t>
            </w:r>
            <w:r>
              <w:rPr>
                <w:rFonts w:ascii="Times New Roman" w:hAnsi="Times New Roman" w:eastAsia="Times New Roman" w:cs="Times New Roman"/>
                <w:snapToGrid w:val="0"/>
                <w:color w:val="000000"/>
                <w:kern w:val="0"/>
                <w:sz w:val="20"/>
                <w:szCs w:val="20"/>
                <w:lang w:val="en-US" w:eastAsia="en-US" w:bidi="ar-SA"/>
              </w:rPr>
              <w:t>kPa</w:t>
            </w:r>
            <w:r>
              <w:rPr>
                <w:rFonts w:ascii="宋体" w:hAnsi="宋体" w:eastAsia="宋体" w:cs="宋体"/>
                <w:snapToGrid w:val="0"/>
                <w:color w:val="000000"/>
                <w:spacing w:val="18"/>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3</w:t>
            </w:r>
            <w:r>
              <w:rPr>
                <w:rFonts w:ascii="Times New Roman" w:hAnsi="Times New Roman" w:eastAsia="Times New Roman" w:cs="Times New Roman"/>
                <w:snapToGrid w:val="0"/>
                <w:color w:val="000000"/>
                <w:kern w:val="0"/>
                <w:sz w:val="20"/>
                <w:szCs w:val="20"/>
                <w:lang w:val="en-US" w:eastAsia="en-US" w:bidi="ar-SA"/>
              </w:rPr>
              <w:t>kPa</w:t>
            </w:r>
            <w:r>
              <w:rPr>
                <w:rFonts w:ascii="Times New Roman" w:hAnsi="Times New Roman" w:eastAsia="Times New Roman" w:cs="Times New Roman"/>
                <w:snapToGrid w:val="0"/>
                <w:color w:val="000000"/>
                <w:spacing w:val="-17"/>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，工作负压宜为</w:t>
            </w:r>
            <w:r>
              <w:rPr>
                <w:rFonts w:ascii="Times New Roman" w:hAnsi="Times New Roman" w:eastAsia="Times New Roman" w:cs="Times New Roman"/>
                <w:snapToGrid w:val="0"/>
                <w:color w:val="000000"/>
                <w:spacing w:val="7"/>
                <w:kern w:val="0"/>
                <w:sz w:val="20"/>
                <w:szCs w:val="20"/>
                <w:lang w:val="en-US" w:eastAsia="en-US" w:bidi="ar-SA"/>
              </w:rPr>
              <w:t>1.5</w:t>
            </w:r>
            <w:r>
              <w:rPr>
                <w:rFonts w:ascii="Times New Roman" w:hAnsi="Times New Roman" w:eastAsia="Times New Roman" w:cs="Times New Roman"/>
                <w:snapToGrid w:val="0"/>
                <w:color w:val="000000"/>
                <w:kern w:val="0"/>
                <w:sz w:val="20"/>
                <w:szCs w:val="20"/>
                <w:lang w:val="en-US" w:eastAsia="en-US" w:bidi="ar-SA"/>
              </w:rPr>
              <w:t>kPa</w:t>
            </w:r>
            <w:r>
              <w:rPr>
                <w:rFonts w:ascii="Times New Roman" w:hAnsi="Times New Roman" w:eastAsia="Times New Roman" w:cs="Times New Roman"/>
                <w:snapToGrid w:val="0"/>
                <w:color w:val="000000"/>
                <w:spacing w:val="7"/>
                <w:kern w:val="0"/>
                <w:sz w:val="20"/>
                <w:szCs w:val="20"/>
                <w:lang w:val="en-US" w:eastAsia="en-US" w:bidi="ar-SA"/>
              </w:rPr>
              <w:t>~2</w:t>
            </w:r>
            <w:r>
              <w:rPr>
                <w:rFonts w:ascii="Times New Roman" w:hAnsi="Times New Roman" w:eastAsia="Times New Roman" w:cs="Times New Roman"/>
                <w:snapToGrid w:val="0"/>
                <w:color w:val="000000"/>
                <w:kern w:val="0"/>
                <w:sz w:val="20"/>
                <w:szCs w:val="20"/>
                <w:lang w:val="en-US" w:eastAsia="en-US" w:bidi="ar-SA"/>
              </w:rPr>
              <w:t>kPa</w:t>
            </w:r>
            <w:r>
              <w:rPr>
                <w:rFonts w:ascii="宋体" w:hAnsi="宋体" w:eastAsia="宋体" w:cs="宋体"/>
                <w:snapToGrid w:val="0"/>
                <w:color w:val="000000"/>
                <w:spacing w:val="7"/>
                <w:kern w:val="0"/>
                <w:sz w:val="20"/>
                <w:szCs w:val="20"/>
                <w:lang w:val="en-US" w:eastAsia="en-US" w:bidi="ar-SA"/>
              </w:rPr>
              <w:t>。</w:t>
            </w:r>
          </w:p>
        </w:tc>
        <w:tc>
          <w:tcPr>
            <w:tcW w:w="1710" w:type="dxa"/>
            <w:vAlign w:val="top"/>
          </w:tcPr>
          <w:p w14:paraId="3BAF742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通气管装设有阻火器，汽油通气管还额外设置呼</w:t>
            </w:r>
            <w:r>
              <w:rPr>
                <w:rFonts w:ascii="宋体" w:hAnsi="宋体" w:eastAsia="宋体" w:cs="宋体"/>
                <w:snapToGrid w:val="0"/>
                <w:color w:val="000000"/>
                <w:kern w:val="0"/>
                <w:sz w:val="20"/>
                <w:szCs w:val="20"/>
                <w:lang w:val="en-US" w:eastAsia="en-US" w:bidi="ar-SA"/>
              </w:rPr>
              <w:t>吸阀</w:t>
            </w:r>
          </w:p>
        </w:tc>
        <w:tc>
          <w:tcPr>
            <w:tcW w:w="1710" w:type="dxa"/>
            <w:vAlign w:val="top"/>
          </w:tcPr>
          <w:p w14:paraId="56E457D4">
            <w:pPr>
              <w:widowControl/>
              <w:kinsoku w:val="0"/>
              <w:autoSpaceDE w:val="0"/>
              <w:autoSpaceDN w:val="0"/>
              <w:adjustRightInd w:val="0"/>
              <w:snapToGrid w:val="0"/>
              <w:spacing w:line="308" w:lineRule="auto"/>
              <w:jc w:val="left"/>
              <w:textAlignment w:val="baseline"/>
              <w:rPr>
                <w:rFonts w:ascii="Arial" w:hAnsi="Arial" w:eastAsia="Arial" w:cs="Arial"/>
                <w:snapToGrid w:val="0"/>
                <w:color w:val="000000"/>
                <w:kern w:val="0"/>
                <w:sz w:val="21"/>
                <w:lang w:eastAsia="en-US"/>
              </w:rPr>
            </w:pPr>
          </w:p>
          <w:p w14:paraId="6D03BEE4">
            <w:pPr>
              <w:kinsoku w:val="0"/>
              <w:autoSpaceDE w:val="0"/>
              <w:autoSpaceDN w:val="0"/>
              <w:adjustRightInd w:val="0"/>
              <w:snapToGrid w:val="0"/>
              <w:spacing w:before="65" w:line="243"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2BD6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9" w:hRule="atLeast"/>
        </w:trPr>
        <w:tc>
          <w:tcPr>
            <w:tcW w:w="699" w:type="dxa"/>
            <w:vMerge w:val="continue"/>
            <w:vAlign w:val="top"/>
          </w:tcPr>
          <w:p w14:paraId="44CFB65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AC9250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82AF12A">
            <w:pPr>
              <w:kinsoku w:val="0"/>
              <w:autoSpaceDE w:val="0"/>
              <w:autoSpaceDN w:val="0"/>
              <w:adjustRightInd w:val="0"/>
              <w:snapToGrid w:val="0"/>
              <w:spacing w:before="101" w:line="224" w:lineRule="auto"/>
              <w:ind w:left="104" w:right="100"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18</w:t>
            </w:r>
            <w:r>
              <w:rPr>
                <w:rFonts w:ascii="宋体" w:hAnsi="宋体" w:eastAsia="宋体" w:cs="宋体"/>
                <w:snapToGrid w:val="0"/>
                <w:color w:val="000000"/>
                <w:spacing w:val="6"/>
                <w:kern w:val="0"/>
                <w:sz w:val="20"/>
                <w:szCs w:val="20"/>
                <w:lang w:val="en-US" w:eastAsia="en-US" w:bidi="ar-SA"/>
              </w:rPr>
              <w:t>）加油站内的工艺管道除必须露出地面的以外，均</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应埋地敷设。当采用管沟敷设时，管沟必须用中性沙子</w:t>
            </w:r>
            <w:r>
              <w:rPr>
                <w:rFonts w:ascii="宋体" w:hAnsi="宋体" w:eastAsia="宋体" w:cs="宋体"/>
                <w:snapToGrid w:val="0"/>
                <w:color w:val="000000"/>
                <w:spacing w:val="17"/>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或细土填满，填实。</w:t>
            </w:r>
          </w:p>
        </w:tc>
        <w:tc>
          <w:tcPr>
            <w:tcW w:w="1710" w:type="dxa"/>
            <w:vAlign w:val="top"/>
          </w:tcPr>
          <w:p w14:paraId="17E249BB">
            <w:pPr>
              <w:widowControl/>
              <w:kinsoku w:val="0"/>
              <w:autoSpaceDE w:val="0"/>
              <w:autoSpaceDN w:val="0"/>
              <w:adjustRightInd w:val="0"/>
              <w:snapToGrid w:val="0"/>
              <w:spacing w:line="315" w:lineRule="auto"/>
              <w:jc w:val="left"/>
              <w:textAlignment w:val="baseline"/>
              <w:rPr>
                <w:rFonts w:ascii="Arial" w:hAnsi="Arial" w:eastAsia="Arial" w:cs="Arial"/>
                <w:snapToGrid w:val="0"/>
                <w:color w:val="000000"/>
                <w:kern w:val="0"/>
                <w:sz w:val="21"/>
                <w:lang w:eastAsia="en-US"/>
              </w:rPr>
            </w:pPr>
          </w:p>
          <w:p w14:paraId="38658B5E">
            <w:pPr>
              <w:kinsoku w:val="0"/>
              <w:autoSpaceDE w:val="0"/>
              <w:autoSpaceDN w:val="0"/>
              <w:adjustRightInd w:val="0"/>
              <w:snapToGrid w:val="0"/>
              <w:spacing w:before="65" w:line="228" w:lineRule="auto"/>
              <w:ind w:left="234"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采用埋地敷设</w:t>
            </w:r>
          </w:p>
        </w:tc>
        <w:tc>
          <w:tcPr>
            <w:tcW w:w="1710" w:type="dxa"/>
            <w:vAlign w:val="top"/>
          </w:tcPr>
          <w:p w14:paraId="42482AC6">
            <w:pPr>
              <w:kinsoku w:val="0"/>
              <w:autoSpaceDE w:val="0"/>
              <w:autoSpaceDN w:val="0"/>
              <w:adjustRightInd w:val="0"/>
              <w:snapToGrid w:val="0"/>
              <w:spacing w:before="240"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4FCF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308F002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0FD0798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0624F57">
            <w:pPr>
              <w:kinsoku w:val="0"/>
              <w:autoSpaceDE w:val="0"/>
              <w:autoSpaceDN w:val="0"/>
              <w:adjustRightInd w:val="0"/>
              <w:snapToGrid w:val="0"/>
              <w:spacing w:before="108" w:line="222" w:lineRule="auto"/>
              <w:ind w:left="104" w:right="80"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19</w:t>
            </w:r>
            <w:r>
              <w:rPr>
                <w:rFonts w:ascii="宋体" w:hAnsi="宋体" w:eastAsia="宋体" w:cs="宋体"/>
                <w:snapToGrid w:val="0"/>
                <w:color w:val="000000"/>
                <w:spacing w:val="6"/>
                <w:kern w:val="0"/>
                <w:sz w:val="20"/>
                <w:szCs w:val="20"/>
                <w:lang w:val="en-US" w:eastAsia="en-US" w:bidi="ar-SA"/>
              </w:rPr>
              <w:t>）工艺管道不应穿过或跨越站房等与其无直接关系</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的建（构）筑物；与管沟、</w:t>
            </w:r>
            <w:r>
              <w:rPr>
                <w:rFonts w:ascii="宋体" w:hAnsi="宋体" w:eastAsia="宋体" w:cs="宋体"/>
                <w:snapToGrid w:val="0"/>
                <w:color w:val="000000"/>
                <w:spacing w:val="-59"/>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电缆沟和排水沟相</w:t>
            </w:r>
            <w:r>
              <w:rPr>
                <w:rFonts w:ascii="宋体" w:hAnsi="宋体" w:eastAsia="宋体" w:cs="宋体"/>
                <w:snapToGrid w:val="0"/>
                <w:color w:val="000000"/>
                <w:spacing w:val="5"/>
                <w:kern w:val="0"/>
                <w:sz w:val="20"/>
                <w:szCs w:val="20"/>
                <w:lang w:val="en-US" w:eastAsia="en-US" w:bidi="ar-SA"/>
              </w:rPr>
              <w:t>交叉时，</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应采取相应的防护措施。</w:t>
            </w:r>
          </w:p>
        </w:tc>
        <w:tc>
          <w:tcPr>
            <w:tcW w:w="1710" w:type="dxa"/>
            <w:vAlign w:val="top"/>
          </w:tcPr>
          <w:p w14:paraId="5F3F7D3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未穿过无关建构</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筑物</w:t>
            </w:r>
          </w:p>
        </w:tc>
        <w:tc>
          <w:tcPr>
            <w:tcW w:w="1710" w:type="dxa"/>
            <w:vAlign w:val="top"/>
          </w:tcPr>
          <w:p w14:paraId="05D264A1">
            <w:pPr>
              <w:kinsoku w:val="0"/>
              <w:autoSpaceDE w:val="0"/>
              <w:autoSpaceDN w:val="0"/>
              <w:adjustRightInd w:val="0"/>
              <w:snapToGrid w:val="0"/>
              <w:spacing w:before="245"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66C0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6" w:hRule="atLeast"/>
        </w:trPr>
        <w:tc>
          <w:tcPr>
            <w:tcW w:w="699" w:type="dxa"/>
            <w:vMerge w:val="continue"/>
            <w:vAlign w:val="top"/>
          </w:tcPr>
          <w:p w14:paraId="552F786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7798904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16E49F0">
            <w:pPr>
              <w:kinsoku w:val="0"/>
              <w:autoSpaceDE w:val="0"/>
              <w:autoSpaceDN w:val="0"/>
              <w:adjustRightInd w:val="0"/>
              <w:snapToGrid w:val="0"/>
              <w:spacing w:before="113" w:line="235" w:lineRule="auto"/>
              <w:ind w:left="103" w:right="100"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20</w:t>
            </w:r>
            <w:r>
              <w:rPr>
                <w:rFonts w:ascii="宋体" w:hAnsi="宋体" w:eastAsia="宋体" w:cs="宋体"/>
                <w:snapToGrid w:val="0"/>
                <w:color w:val="000000"/>
                <w:spacing w:val="6"/>
                <w:kern w:val="0"/>
                <w:sz w:val="20"/>
                <w:szCs w:val="20"/>
                <w:lang w:val="en-US" w:eastAsia="en-US" w:bidi="ar-SA"/>
              </w:rPr>
              <w:t>）橇装式加油装置不得用于企业自用、临时或特定</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场所之外的场所，并应单独建站。采用橇装式加油装置</w:t>
            </w:r>
            <w:r>
              <w:rPr>
                <w:rFonts w:ascii="宋体" w:hAnsi="宋体" w:eastAsia="宋体" w:cs="宋体"/>
                <w:snapToGrid w:val="0"/>
                <w:color w:val="000000"/>
                <w:spacing w:val="18"/>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的加油站，其设计与安装应符合现行行业标准《采用橇</w:t>
            </w:r>
            <w:r>
              <w:rPr>
                <w:rFonts w:ascii="宋体" w:hAnsi="宋体" w:eastAsia="宋体" w:cs="宋体"/>
                <w:snapToGrid w:val="0"/>
                <w:color w:val="000000"/>
                <w:spacing w:val="18"/>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装式加油装置的汽车加油站技术规范》</w:t>
            </w:r>
            <w:r>
              <w:rPr>
                <w:rFonts w:ascii="Times New Roman" w:hAnsi="Times New Roman" w:eastAsia="Times New Roman" w:cs="Times New Roman"/>
                <w:snapToGrid w:val="0"/>
                <w:color w:val="000000"/>
                <w:kern w:val="0"/>
                <w:sz w:val="20"/>
                <w:szCs w:val="20"/>
                <w:lang w:val="en-US" w:eastAsia="en-US" w:bidi="ar-SA"/>
              </w:rPr>
              <w:t>SH</w:t>
            </w:r>
            <w:r>
              <w:rPr>
                <w:rFonts w:ascii="Times New Roman" w:hAnsi="Times New Roman" w:eastAsia="Times New Roman" w:cs="Times New Roman"/>
                <w:snapToGrid w:val="0"/>
                <w:color w:val="000000"/>
                <w:spacing w:val="5"/>
                <w:kern w:val="0"/>
                <w:sz w:val="20"/>
                <w:szCs w:val="20"/>
                <w:lang w:val="en-US" w:eastAsia="en-US" w:bidi="ar-SA"/>
              </w:rPr>
              <w:t>/T3134</w:t>
            </w:r>
            <w:r>
              <w:rPr>
                <w:rFonts w:ascii="宋体" w:hAnsi="宋体" w:eastAsia="宋体" w:cs="宋体"/>
                <w:snapToGrid w:val="0"/>
                <w:color w:val="000000"/>
                <w:spacing w:val="5"/>
                <w:kern w:val="0"/>
                <w:sz w:val="20"/>
                <w:szCs w:val="20"/>
                <w:lang w:val="en-US" w:eastAsia="en-US" w:bidi="ar-SA"/>
              </w:rPr>
              <w:t>和</w:t>
            </w:r>
            <w:r>
              <w:rPr>
                <w:rFonts w:ascii="宋体" w:hAnsi="宋体" w:eastAsia="宋体" w:cs="宋体"/>
                <w:snapToGrid w:val="0"/>
                <w:color w:val="000000"/>
                <w:spacing w:val="4"/>
                <w:kern w:val="0"/>
                <w:sz w:val="20"/>
                <w:szCs w:val="20"/>
                <w:lang w:val="en-US" w:eastAsia="en-US" w:bidi="ar-SA"/>
              </w:rPr>
              <w:t>《汽</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车加油加气站设计与施工规范》第</w:t>
            </w:r>
            <w:r>
              <w:rPr>
                <w:rFonts w:ascii="Times New Roman" w:hAnsi="Times New Roman" w:eastAsia="Times New Roman" w:cs="Times New Roman"/>
                <w:snapToGrid w:val="0"/>
                <w:color w:val="000000"/>
                <w:spacing w:val="8"/>
                <w:kern w:val="0"/>
                <w:sz w:val="20"/>
                <w:szCs w:val="20"/>
                <w:lang w:val="en-US" w:eastAsia="en-US" w:bidi="ar-SA"/>
              </w:rPr>
              <w:t>6.4</w:t>
            </w:r>
            <w:r>
              <w:rPr>
                <w:rFonts w:ascii="宋体" w:hAnsi="宋体" w:eastAsia="宋体" w:cs="宋体"/>
                <w:snapToGrid w:val="0"/>
                <w:color w:val="000000"/>
                <w:spacing w:val="8"/>
                <w:kern w:val="0"/>
                <w:sz w:val="20"/>
                <w:szCs w:val="20"/>
                <w:lang w:val="en-US" w:eastAsia="en-US" w:bidi="ar-SA"/>
              </w:rPr>
              <w:t>节的有关规定。</w:t>
            </w:r>
          </w:p>
        </w:tc>
        <w:tc>
          <w:tcPr>
            <w:tcW w:w="1710" w:type="dxa"/>
            <w:vAlign w:val="top"/>
          </w:tcPr>
          <w:p w14:paraId="3FB9774B">
            <w:pPr>
              <w:widowControl/>
              <w:kinsoku w:val="0"/>
              <w:autoSpaceDE w:val="0"/>
              <w:autoSpaceDN w:val="0"/>
              <w:adjustRightInd w:val="0"/>
              <w:snapToGrid w:val="0"/>
              <w:spacing w:line="302" w:lineRule="auto"/>
              <w:jc w:val="left"/>
              <w:textAlignment w:val="baseline"/>
              <w:rPr>
                <w:rFonts w:ascii="Arial" w:hAnsi="Arial" w:eastAsia="Arial" w:cs="Arial"/>
                <w:snapToGrid w:val="0"/>
                <w:color w:val="000000"/>
                <w:kern w:val="0"/>
                <w:sz w:val="21"/>
                <w:lang w:eastAsia="en-US"/>
              </w:rPr>
            </w:pPr>
          </w:p>
          <w:p w14:paraId="60BA471F">
            <w:pPr>
              <w:widowControl/>
              <w:kinsoku w:val="0"/>
              <w:autoSpaceDE w:val="0"/>
              <w:autoSpaceDN w:val="0"/>
              <w:adjustRightInd w:val="0"/>
              <w:snapToGrid w:val="0"/>
              <w:spacing w:line="302" w:lineRule="auto"/>
              <w:jc w:val="left"/>
              <w:textAlignment w:val="baseline"/>
              <w:rPr>
                <w:rFonts w:ascii="Arial" w:hAnsi="Arial" w:eastAsia="Arial" w:cs="Arial"/>
                <w:snapToGrid w:val="0"/>
                <w:color w:val="000000"/>
                <w:kern w:val="0"/>
                <w:sz w:val="21"/>
                <w:lang w:eastAsia="en-US"/>
              </w:rPr>
            </w:pPr>
          </w:p>
          <w:p w14:paraId="50E45E48">
            <w:pPr>
              <w:kinsoku w:val="0"/>
              <w:autoSpaceDE w:val="0"/>
              <w:autoSpaceDN w:val="0"/>
              <w:adjustRightInd w:val="0"/>
              <w:snapToGrid w:val="0"/>
              <w:spacing w:before="65" w:line="230" w:lineRule="auto"/>
              <w:ind w:left="553"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c>
          <w:tcPr>
            <w:tcW w:w="1710" w:type="dxa"/>
            <w:vAlign w:val="top"/>
          </w:tcPr>
          <w:p w14:paraId="4AFBCE78">
            <w:pPr>
              <w:widowControl/>
              <w:kinsoku w:val="0"/>
              <w:autoSpaceDE w:val="0"/>
              <w:autoSpaceDN w:val="0"/>
              <w:adjustRightInd w:val="0"/>
              <w:snapToGrid w:val="0"/>
              <w:spacing w:line="463" w:lineRule="auto"/>
              <w:jc w:val="left"/>
              <w:textAlignment w:val="baseline"/>
              <w:rPr>
                <w:rFonts w:ascii="Arial" w:hAnsi="Arial" w:eastAsia="Arial" w:cs="Arial"/>
                <w:snapToGrid w:val="0"/>
                <w:color w:val="000000"/>
                <w:kern w:val="0"/>
                <w:sz w:val="21"/>
                <w:lang w:eastAsia="en-US"/>
              </w:rPr>
            </w:pPr>
          </w:p>
          <w:p w14:paraId="2F255A4A">
            <w:pPr>
              <w:kinsoku w:val="0"/>
              <w:autoSpaceDE w:val="0"/>
              <w:autoSpaceDN w:val="0"/>
              <w:adjustRightInd w:val="0"/>
              <w:snapToGrid w:val="0"/>
              <w:spacing w:before="65"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2689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restart"/>
            <w:vAlign w:val="top"/>
          </w:tcPr>
          <w:p w14:paraId="5B1842FF">
            <w:pPr>
              <w:widowControl/>
              <w:kinsoku w:val="0"/>
              <w:autoSpaceDE w:val="0"/>
              <w:autoSpaceDN w:val="0"/>
              <w:adjustRightInd w:val="0"/>
              <w:snapToGrid w:val="0"/>
              <w:spacing w:line="270" w:lineRule="auto"/>
              <w:jc w:val="left"/>
              <w:textAlignment w:val="baseline"/>
              <w:rPr>
                <w:rFonts w:ascii="Arial" w:hAnsi="Arial" w:eastAsia="Arial" w:cs="Arial"/>
                <w:snapToGrid w:val="0"/>
                <w:color w:val="000000"/>
                <w:kern w:val="0"/>
                <w:sz w:val="21"/>
                <w:lang w:eastAsia="en-US"/>
              </w:rPr>
            </w:pPr>
          </w:p>
          <w:p w14:paraId="6E8F5900">
            <w:pPr>
              <w:widowControl/>
              <w:kinsoku w:val="0"/>
              <w:autoSpaceDE w:val="0"/>
              <w:autoSpaceDN w:val="0"/>
              <w:adjustRightInd w:val="0"/>
              <w:snapToGrid w:val="0"/>
              <w:spacing w:line="270" w:lineRule="auto"/>
              <w:jc w:val="left"/>
              <w:textAlignment w:val="baseline"/>
              <w:rPr>
                <w:rFonts w:ascii="Arial" w:hAnsi="Arial" w:eastAsia="Arial" w:cs="Arial"/>
                <w:snapToGrid w:val="0"/>
                <w:color w:val="000000"/>
                <w:kern w:val="0"/>
                <w:sz w:val="21"/>
                <w:lang w:eastAsia="en-US"/>
              </w:rPr>
            </w:pPr>
          </w:p>
          <w:p w14:paraId="3BDC00BD">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21"/>
                <w:lang w:eastAsia="en-US"/>
              </w:rPr>
            </w:pPr>
          </w:p>
          <w:p w14:paraId="03686556">
            <w:pPr>
              <w:widowControl/>
              <w:kinsoku w:val="0"/>
              <w:autoSpaceDE w:val="0"/>
              <w:autoSpaceDN w:val="0"/>
              <w:adjustRightInd w:val="0"/>
              <w:snapToGrid w:val="0"/>
              <w:spacing w:line="271" w:lineRule="auto"/>
              <w:jc w:val="left"/>
              <w:textAlignment w:val="baseline"/>
              <w:rPr>
                <w:rFonts w:ascii="Arial" w:hAnsi="Arial" w:eastAsia="Arial" w:cs="Arial"/>
                <w:snapToGrid w:val="0"/>
                <w:color w:val="000000"/>
                <w:kern w:val="0"/>
                <w:sz w:val="21"/>
                <w:lang w:eastAsia="en-US"/>
              </w:rPr>
            </w:pPr>
          </w:p>
          <w:p w14:paraId="241B152A">
            <w:pPr>
              <w:widowControl/>
              <w:kinsoku w:val="0"/>
              <w:autoSpaceDE w:val="0"/>
              <w:autoSpaceDN w:val="0"/>
              <w:adjustRightInd w:val="0"/>
              <w:snapToGrid w:val="0"/>
              <w:spacing w:before="58" w:line="195" w:lineRule="auto"/>
              <w:ind w:left="218"/>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spacing w:val="1"/>
                <w:kern w:val="0"/>
                <w:sz w:val="20"/>
                <w:szCs w:val="20"/>
                <w:lang w:eastAsia="en-US"/>
              </w:rPr>
              <w:t>4</w:t>
            </w:r>
          </w:p>
        </w:tc>
        <w:tc>
          <w:tcPr>
            <w:tcW w:w="625" w:type="dxa"/>
            <w:vMerge w:val="restart"/>
            <w:vAlign w:val="top"/>
          </w:tcPr>
          <w:p w14:paraId="16E25678">
            <w:pPr>
              <w:widowControl/>
              <w:kinsoku w:val="0"/>
              <w:autoSpaceDE w:val="0"/>
              <w:autoSpaceDN w:val="0"/>
              <w:adjustRightInd w:val="0"/>
              <w:snapToGrid w:val="0"/>
              <w:spacing w:line="300" w:lineRule="auto"/>
              <w:jc w:val="left"/>
              <w:textAlignment w:val="baseline"/>
              <w:rPr>
                <w:rFonts w:ascii="Arial" w:hAnsi="Arial" w:eastAsia="Arial" w:cs="Arial"/>
                <w:snapToGrid w:val="0"/>
                <w:color w:val="000000"/>
                <w:kern w:val="0"/>
                <w:sz w:val="21"/>
                <w:lang w:eastAsia="en-US"/>
              </w:rPr>
            </w:pPr>
          </w:p>
          <w:p w14:paraId="6EDA3726">
            <w:pPr>
              <w:widowControl/>
              <w:kinsoku w:val="0"/>
              <w:autoSpaceDE w:val="0"/>
              <w:autoSpaceDN w:val="0"/>
              <w:adjustRightInd w:val="0"/>
              <w:snapToGrid w:val="0"/>
              <w:spacing w:line="300" w:lineRule="auto"/>
              <w:jc w:val="left"/>
              <w:textAlignment w:val="baseline"/>
              <w:rPr>
                <w:rFonts w:ascii="Arial" w:hAnsi="Arial" w:eastAsia="Arial" w:cs="Arial"/>
                <w:snapToGrid w:val="0"/>
                <w:color w:val="000000"/>
                <w:kern w:val="0"/>
                <w:sz w:val="21"/>
                <w:lang w:eastAsia="en-US"/>
              </w:rPr>
            </w:pPr>
          </w:p>
          <w:p w14:paraId="0580E399">
            <w:pPr>
              <w:widowControl/>
              <w:kinsoku w:val="0"/>
              <w:autoSpaceDE w:val="0"/>
              <w:autoSpaceDN w:val="0"/>
              <w:adjustRightInd w:val="0"/>
              <w:snapToGrid w:val="0"/>
              <w:spacing w:line="301" w:lineRule="auto"/>
              <w:jc w:val="left"/>
              <w:textAlignment w:val="baseline"/>
              <w:rPr>
                <w:rFonts w:ascii="Arial" w:hAnsi="Arial" w:eastAsia="Arial" w:cs="Arial"/>
                <w:snapToGrid w:val="0"/>
                <w:color w:val="000000"/>
                <w:kern w:val="0"/>
                <w:sz w:val="21"/>
                <w:lang w:eastAsia="en-US"/>
              </w:rPr>
            </w:pPr>
          </w:p>
          <w:p w14:paraId="2B03390A">
            <w:pPr>
              <w:kinsoku w:val="0"/>
              <w:autoSpaceDE w:val="0"/>
              <w:autoSpaceDN w:val="0"/>
              <w:adjustRightInd w:val="0"/>
              <w:snapToGrid w:val="0"/>
              <w:spacing w:before="65" w:line="245" w:lineRule="auto"/>
              <w:ind w:left="166" w:right="176" w:firstLine="2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电气</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安全</w:t>
            </w:r>
          </w:p>
        </w:tc>
        <w:tc>
          <w:tcPr>
            <w:tcW w:w="4745" w:type="dxa"/>
            <w:gridSpan w:val="2"/>
            <w:vAlign w:val="top"/>
          </w:tcPr>
          <w:p w14:paraId="4A988906">
            <w:pPr>
              <w:kinsoku w:val="0"/>
              <w:autoSpaceDE w:val="0"/>
              <w:autoSpaceDN w:val="0"/>
              <w:adjustRightInd w:val="0"/>
              <w:snapToGrid w:val="0"/>
              <w:spacing w:before="121" w:line="218" w:lineRule="auto"/>
              <w:ind w:left="104" w:right="100" w:firstLine="9"/>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w:t>
            </w:r>
            <w:r>
              <w:rPr>
                <w:rFonts w:ascii="Times New Roman" w:hAnsi="Times New Roman" w:eastAsia="Times New Roman" w:cs="Times New Roman"/>
                <w:snapToGrid w:val="0"/>
                <w:color w:val="000000"/>
                <w:spacing w:val="9"/>
                <w:kern w:val="0"/>
                <w:sz w:val="20"/>
                <w:szCs w:val="20"/>
                <w:lang w:val="en-US" w:eastAsia="en-US" w:bidi="ar-SA"/>
              </w:rPr>
              <w:t>1</w:t>
            </w:r>
            <w:r>
              <w:rPr>
                <w:rFonts w:ascii="宋体" w:hAnsi="宋体" w:eastAsia="宋体" w:cs="宋体"/>
                <w:snapToGrid w:val="0"/>
                <w:color w:val="000000"/>
                <w:spacing w:val="9"/>
                <w:kern w:val="0"/>
                <w:sz w:val="20"/>
                <w:szCs w:val="20"/>
                <w:lang w:val="en-US" w:eastAsia="en-US" w:bidi="ar-SA"/>
              </w:rPr>
              <w:t>）加油站的消防泵房、罩棚、营业室、</w:t>
            </w:r>
            <w:r>
              <w:rPr>
                <w:rFonts w:ascii="Times New Roman" w:hAnsi="Times New Roman" w:eastAsia="Times New Roman" w:cs="Times New Roman"/>
                <w:snapToGrid w:val="0"/>
                <w:color w:val="000000"/>
                <w:kern w:val="0"/>
                <w:sz w:val="20"/>
                <w:szCs w:val="20"/>
                <w:lang w:val="en-US" w:eastAsia="en-US" w:bidi="ar-SA"/>
              </w:rPr>
              <w:t>LPG</w:t>
            </w:r>
            <w:r>
              <w:rPr>
                <w:rFonts w:ascii="Times New Roman" w:hAnsi="Times New Roman" w:eastAsia="Times New Roman" w:cs="Times New Roman"/>
                <w:snapToGrid w:val="0"/>
                <w:color w:val="000000"/>
                <w:spacing w:val="9"/>
                <w:kern w:val="0"/>
                <w:sz w:val="20"/>
                <w:szCs w:val="20"/>
                <w:lang w:val="en-US" w:eastAsia="en-US" w:bidi="ar-SA"/>
              </w:rPr>
              <w:t xml:space="preserve"> </w:t>
            </w:r>
            <w:r>
              <w:rPr>
                <w:rFonts w:ascii="宋体" w:hAnsi="宋体" w:eastAsia="宋体" w:cs="宋体"/>
                <w:snapToGrid w:val="0"/>
                <w:color w:val="000000"/>
                <w:spacing w:val="9"/>
                <w:kern w:val="0"/>
                <w:sz w:val="20"/>
                <w:szCs w:val="20"/>
                <w:lang w:val="en-US" w:eastAsia="en-US" w:bidi="ar-SA"/>
              </w:rPr>
              <w:t>泵房、</w:t>
            </w:r>
            <w:r>
              <w:rPr>
                <w:rFonts w:ascii="宋体" w:hAnsi="宋体" w:eastAsia="宋体" w:cs="宋体"/>
                <w:snapToGrid w:val="0"/>
                <w:color w:val="000000"/>
                <w:spacing w:val="16"/>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压缩机间等处均应设应急照明，连续供电时间不应少于</w:t>
            </w:r>
            <w:r>
              <w:rPr>
                <w:rFonts w:ascii="Times New Roman" w:hAnsi="Times New Roman" w:eastAsia="Times New Roman" w:cs="Times New Roman"/>
                <w:snapToGrid w:val="0"/>
                <w:color w:val="000000"/>
                <w:spacing w:val="4"/>
                <w:kern w:val="0"/>
                <w:sz w:val="20"/>
                <w:szCs w:val="20"/>
                <w:lang w:val="en-US" w:eastAsia="en-US" w:bidi="ar-SA"/>
              </w:rPr>
              <w:t>90</w:t>
            </w:r>
            <w:r>
              <w:rPr>
                <w:rFonts w:ascii="Times New Roman" w:hAnsi="Times New Roman" w:eastAsia="Times New Roman" w:cs="Times New Roman"/>
                <w:snapToGrid w:val="0"/>
                <w:color w:val="000000"/>
                <w:kern w:val="0"/>
                <w:sz w:val="20"/>
                <w:szCs w:val="20"/>
                <w:lang w:val="en-US" w:eastAsia="en-US" w:bidi="ar-SA"/>
              </w:rPr>
              <w:t>min</w:t>
            </w:r>
            <w:r>
              <w:rPr>
                <w:rFonts w:ascii="宋体" w:hAnsi="宋体" w:eastAsia="宋体" w:cs="宋体"/>
                <w:snapToGrid w:val="0"/>
                <w:color w:val="000000"/>
                <w:spacing w:val="4"/>
                <w:kern w:val="0"/>
                <w:sz w:val="20"/>
                <w:szCs w:val="20"/>
                <w:lang w:val="en-US" w:eastAsia="en-US" w:bidi="ar-SA"/>
              </w:rPr>
              <w:t>。</w:t>
            </w:r>
          </w:p>
        </w:tc>
        <w:tc>
          <w:tcPr>
            <w:tcW w:w="1710" w:type="dxa"/>
            <w:vAlign w:val="top"/>
          </w:tcPr>
          <w:p w14:paraId="3FC8709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按要求设置应急</w:t>
            </w:r>
            <w:r>
              <w:rPr>
                <w:rFonts w:ascii="宋体" w:hAnsi="宋体" w:eastAsia="宋体" w:cs="宋体"/>
                <w:snapToGrid w:val="0"/>
                <w:color w:val="000000"/>
                <w:spacing w:val="4"/>
                <w:kern w:val="0"/>
                <w:sz w:val="20"/>
                <w:szCs w:val="20"/>
                <w:lang w:val="en-US" w:eastAsia="en-US" w:bidi="ar-SA"/>
              </w:rPr>
              <w:t>照明</w:t>
            </w:r>
          </w:p>
        </w:tc>
        <w:tc>
          <w:tcPr>
            <w:tcW w:w="1710" w:type="dxa"/>
            <w:vAlign w:val="top"/>
          </w:tcPr>
          <w:p w14:paraId="08B34581">
            <w:pPr>
              <w:kinsoku w:val="0"/>
              <w:autoSpaceDE w:val="0"/>
              <w:autoSpaceDN w:val="0"/>
              <w:adjustRightInd w:val="0"/>
              <w:snapToGrid w:val="0"/>
              <w:spacing w:before="260"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1378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699" w:type="dxa"/>
            <w:vMerge w:val="continue"/>
            <w:vAlign w:val="top"/>
          </w:tcPr>
          <w:p w14:paraId="5DD9E60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3BA132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087277F">
            <w:pPr>
              <w:kinsoku w:val="0"/>
              <w:autoSpaceDE w:val="0"/>
              <w:autoSpaceDN w:val="0"/>
              <w:adjustRightInd w:val="0"/>
              <w:snapToGrid w:val="0"/>
              <w:spacing w:before="126" w:line="196" w:lineRule="auto"/>
              <w:ind w:left="107" w:right="96" w:firstLine="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w:t>
            </w:r>
            <w:r>
              <w:rPr>
                <w:rFonts w:ascii="Times New Roman" w:hAnsi="Times New Roman" w:eastAsia="Times New Roman" w:cs="Times New Roman"/>
                <w:snapToGrid w:val="0"/>
                <w:color w:val="000000"/>
                <w:spacing w:val="2"/>
                <w:kern w:val="0"/>
                <w:sz w:val="20"/>
                <w:szCs w:val="20"/>
                <w:lang w:val="en-US" w:eastAsia="en-US" w:bidi="ar-SA"/>
              </w:rPr>
              <w:t>2</w:t>
            </w:r>
            <w:r>
              <w:rPr>
                <w:rFonts w:ascii="宋体" w:hAnsi="宋体" w:eastAsia="宋体" w:cs="宋体"/>
                <w:snapToGrid w:val="0"/>
                <w:color w:val="000000"/>
                <w:spacing w:val="2"/>
                <w:kern w:val="0"/>
                <w:sz w:val="20"/>
                <w:szCs w:val="20"/>
                <w:lang w:val="en-US" w:eastAsia="en-US" w:bidi="ar-SA"/>
              </w:rPr>
              <w:t>）用外电源有困难时，加油站可设置小型内燃发电机</w:t>
            </w:r>
            <w:r>
              <w:rPr>
                <w:rFonts w:ascii="宋体" w:hAnsi="宋体" w:eastAsia="宋体" w:cs="宋体"/>
                <w:snapToGrid w:val="0"/>
                <w:color w:val="000000"/>
                <w:spacing w:val="6"/>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组，内燃机的排烟管口</w:t>
            </w:r>
            <w:r>
              <w:rPr>
                <w:rFonts w:ascii="Times New Roman" w:hAnsi="Times New Roman" w:eastAsia="Times New Roman" w:cs="Times New Roman"/>
                <w:snapToGrid w:val="0"/>
                <w:color w:val="000000"/>
                <w:spacing w:val="4"/>
                <w:kern w:val="0"/>
                <w:sz w:val="20"/>
                <w:szCs w:val="20"/>
                <w:lang w:val="en-US" w:eastAsia="en-US" w:bidi="ar-SA"/>
              </w:rPr>
              <w:t>,</w:t>
            </w:r>
            <w:r>
              <w:rPr>
                <w:rFonts w:ascii="宋体" w:hAnsi="宋体" w:eastAsia="宋体" w:cs="宋体"/>
                <w:snapToGrid w:val="0"/>
                <w:color w:val="000000"/>
                <w:spacing w:val="4"/>
                <w:kern w:val="0"/>
                <w:sz w:val="20"/>
                <w:szCs w:val="20"/>
                <w:lang w:val="en-US" w:eastAsia="en-US" w:bidi="ar-SA"/>
              </w:rPr>
              <w:t>应安装阻火器。</w:t>
            </w:r>
          </w:p>
        </w:tc>
        <w:tc>
          <w:tcPr>
            <w:tcW w:w="1710" w:type="dxa"/>
            <w:vAlign w:val="top"/>
          </w:tcPr>
          <w:p w14:paraId="23E3502C">
            <w:pPr>
              <w:kinsoku w:val="0"/>
              <w:autoSpaceDE w:val="0"/>
              <w:autoSpaceDN w:val="0"/>
              <w:adjustRightInd w:val="0"/>
              <w:snapToGrid w:val="0"/>
              <w:spacing w:before="265" w:line="228" w:lineRule="auto"/>
              <w:ind w:left="133"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不涉及发电机。</w:t>
            </w:r>
          </w:p>
        </w:tc>
        <w:tc>
          <w:tcPr>
            <w:tcW w:w="1710" w:type="dxa"/>
            <w:vAlign w:val="top"/>
          </w:tcPr>
          <w:p w14:paraId="74E4BFFD">
            <w:pPr>
              <w:kinsoku w:val="0"/>
              <w:autoSpaceDE w:val="0"/>
              <w:autoSpaceDN w:val="0"/>
              <w:adjustRightInd w:val="0"/>
              <w:snapToGrid w:val="0"/>
              <w:spacing w:before="126" w:line="196"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8F40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8" w:hRule="atLeast"/>
        </w:trPr>
        <w:tc>
          <w:tcPr>
            <w:tcW w:w="699" w:type="dxa"/>
            <w:vMerge w:val="continue"/>
            <w:vAlign w:val="top"/>
          </w:tcPr>
          <w:p w14:paraId="35B2E65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9A460B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F2DF44E">
            <w:pPr>
              <w:kinsoku w:val="0"/>
              <w:autoSpaceDE w:val="0"/>
              <w:autoSpaceDN w:val="0"/>
              <w:adjustRightInd w:val="0"/>
              <w:snapToGrid w:val="0"/>
              <w:spacing w:before="129" w:line="215" w:lineRule="auto"/>
              <w:ind w:left="107" w:right="100" w:firstLine="7"/>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w:t>
            </w:r>
            <w:r>
              <w:rPr>
                <w:rFonts w:ascii="Times New Roman" w:hAnsi="Times New Roman" w:eastAsia="Times New Roman" w:cs="Times New Roman"/>
                <w:snapToGrid w:val="0"/>
                <w:color w:val="000000"/>
                <w:spacing w:val="4"/>
                <w:kern w:val="0"/>
                <w:sz w:val="20"/>
                <w:szCs w:val="20"/>
                <w:lang w:val="en-US" w:eastAsia="en-US" w:bidi="ar-SA"/>
              </w:rPr>
              <w:t>3</w:t>
            </w:r>
            <w:r>
              <w:rPr>
                <w:rFonts w:ascii="宋体" w:hAnsi="宋体" w:eastAsia="宋体" w:cs="宋体"/>
                <w:snapToGrid w:val="0"/>
                <w:color w:val="000000"/>
                <w:spacing w:val="4"/>
                <w:kern w:val="0"/>
                <w:sz w:val="20"/>
                <w:szCs w:val="20"/>
                <w:lang w:val="en-US" w:eastAsia="en-US" w:bidi="ar-SA"/>
              </w:rPr>
              <w:t>）内燃机的排烟口高出地面</w:t>
            </w:r>
            <w:r>
              <w:rPr>
                <w:rFonts w:ascii="Times New Roman" w:hAnsi="Times New Roman" w:eastAsia="Times New Roman" w:cs="Times New Roman"/>
                <w:snapToGrid w:val="0"/>
                <w:color w:val="000000"/>
                <w:spacing w:val="4"/>
                <w:kern w:val="0"/>
                <w:sz w:val="20"/>
                <w:szCs w:val="20"/>
                <w:lang w:val="en-US" w:eastAsia="en-US" w:bidi="ar-SA"/>
              </w:rPr>
              <w:t>4.5m</w:t>
            </w:r>
            <w:r>
              <w:rPr>
                <w:rFonts w:ascii="宋体" w:hAnsi="宋体" w:eastAsia="宋体" w:cs="宋体"/>
                <w:snapToGrid w:val="0"/>
                <w:color w:val="000000"/>
                <w:spacing w:val="4"/>
                <w:kern w:val="0"/>
                <w:sz w:val="20"/>
                <w:szCs w:val="20"/>
                <w:lang w:val="en-US" w:eastAsia="en-US" w:bidi="ar-SA"/>
              </w:rPr>
              <w:t>以下时</w:t>
            </w:r>
            <w:r>
              <w:rPr>
                <w:rFonts w:ascii="Times New Roman" w:hAnsi="Times New Roman" w:eastAsia="Times New Roman" w:cs="Times New Roman"/>
                <w:snapToGrid w:val="0"/>
                <w:color w:val="000000"/>
                <w:spacing w:val="4"/>
                <w:kern w:val="0"/>
                <w:sz w:val="20"/>
                <w:szCs w:val="20"/>
                <w:lang w:val="en-US" w:eastAsia="en-US" w:bidi="ar-SA"/>
              </w:rPr>
              <w:t>,</w:t>
            </w:r>
            <w:r>
              <w:rPr>
                <w:rFonts w:ascii="宋体" w:hAnsi="宋体" w:eastAsia="宋体" w:cs="宋体"/>
                <w:snapToGrid w:val="0"/>
                <w:color w:val="000000"/>
                <w:spacing w:val="4"/>
                <w:kern w:val="0"/>
                <w:sz w:val="20"/>
                <w:szCs w:val="20"/>
                <w:lang w:val="en-US" w:eastAsia="en-US" w:bidi="ar-SA"/>
              </w:rPr>
              <w:t>排烟管口到</w:t>
            </w:r>
            <w:r>
              <w:rPr>
                <w:rFonts w:ascii="宋体" w:hAnsi="宋体" w:eastAsia="宋体" w:cs="宋体"/>
                <w:snapToGrid w:val="0"/>
                <w:color w:val="000000"/>
                <w:spacing w:val="12"/>
                <w:kern w:val="0"/>
                <w:sz w:val="20"/>
                <w:szCs w:val="20"/>
                <w:lang w:val="en-US" w:eastAsia="en-US" w:bidi="ar-SA"/>
              </w:rPr>
              <w:t>各爆炸危险区域边界的水平距离不应小于</w:t>
            </w:r>
            <w:r>
              <w:rPr>
                <w:rFonts w:ascii="Times New Roman" w:hAnsi="Times New Roman" w:eastAsia="Times New Roman" w:cs="Times New Roman"/>
                <w:snapToGrid w:val="0"/>
                <w:color w:val="000000"/>
                <w:spacing w:val="12"/>
                <w:kern w:val="0"/>
                <w:sz w:val="20"/>
                <w:szCs w:val="20"/>
                <w:lang w:val="en-US" w:eastAsia="en-US" w:bidi="ar-SA"/>
              </w:rPr>
              <w:t>5m</w:t>
            </w:r>
            <w:r>
              <w:rPr>
                <w:rFonts w:ascii="宋体" w:hAnsi="宋体" w:eastAsia="宋体" w:cs="宋体"/>
                <w:snapToGrid w:val="0"/>
                <w:color w:val="000000"/>
                <w:spacing w:val="12"/>
                <w:kern w:val="0"/>
                <w:sz w:val="20"/>
                <w:szCs w:val="20"/>
                <w:lang w:val="en-US" w:eastAsia="en-US" w:bidi="ar-SA"/>
              </w:rPr>
              <w:t>；排烟口</w:t>
            </w:r>
            <w:r>
              <w:rPr>
                <w:rFonts w:ascii="宋体" w:hAnsi="宋体" w:eastAsia="宋体" w:cs="宋体"/>
                <w:snapToGrid w:val="0"/>
                <w:color w:val="000000"/>
                <w:spacing w:val="6"/>
                <w:kern w:val="0"/>
                <w:sz w:val="20"/>
                <w:szCs w:val="20"/>
                <w:lang w:val="en-US" w:eastAsia="en-US" w:bidi="ar-SA"/>
              </w:rPr>
              <w:t>高出地面</w:t>
            </w:r>
            <w:r>
              <w:rPr>
                <w:rFonts w:ascii="Times New Roman" w:hAnsi="Times New Roman" w:eastAsia="Times New Roman" w:cs="Times New Roman"/>
                <w:snapToGrid w:val="0"/>
                <w:color w:val="000000"/>
                <w:spacing w:val="6"/>
                <w:kern w:val="0"/>
                <w:sz w:val="20"/>
                <w:szCs w:val="20"/>
                <w:lang w:val="en-US" w:eastAsia="en-US" w:bidi="ar-SA"/>
              </w:rPr>
              <w:t>4</w:t>
            </w:r>
            <w:r>
              <w:rPr>
                <w:rFonts w:hint="eastAsia" w:ascii="Times New Roman" w:hAnsi="Times New Roman" w:eastAsia="宋体" w:cs="Times New Roman"/>
                <w:snapToGrid w:val="0"/>
                <w:color w:val="000000"/>
                <w:spacing w:val="6"/>
                <w:kern w:val="0"/>
                <w:sz w:val="20"/>
                <w:szCs w:val="20"/>
                <w:lang w:val="en-US" w:eastAsia="zh-CN" w:bidi="ar-SA"/>
              </w:rPr>
              <w:t>m</w:t>
            </w: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5m</w:t>
            </w:r>
            <w:r>
              <w:rPr>
                <w:rFonts w:ascii="宋体" w:hAnsi="宋体" w:eastAsia="宋体" w:cs="宋体"/>
                <w:snapToGrid w:val="0"/>
                <w:color w:val="000000"/>
                <w:spacing w:val="6"/>
                <w:kern w:val="0"/>
                <w:sz w:val="20"/>
                <w:szCs w:val="20"/>
                <w:lang w:val="en-US" w:eastAsia="en-US" w:bidi="ar-SA"/>
              </w:rPr>
              <w:t>及以上时不应小于</w:t>
            </w:r>
            <w:r>
              <w:rPr>
                <w:rFonts w:ascii="Times New Roman" w:hAnsi="Times New Roman" w:eastAsia="Times New Roman" w:cs="Times New Roman"/>
                <w:snapToGrid w:val="0"/>
                <w:color w:val="000000"/>
                <w:spacing w:val="6"/>
                <w:kern w:val="0"/>
                <w:sz w:val="20"/>
                <w:szCs w:val="20"/>
                <w:lang w:val="en-US" w:eastAsia="en-US" w:bidi="ar-SA"/>
              </w:rPr>
              <w:t>3m</w:t>
            </w:r>
            <w:r>
              <w:rPr>
                <w:rFonts w:ascii="宋体" w:hAnsi="宋体" w:eastAsia="宋体" w:cs="宋体"/>
                <w:snapToGrid w:val="0"/>
                <w:color w:val="000000"/>
                <w:spacing w:val="6"/>
                <w:kern w:val="0"/>
                <w:sz w:val="20"/>
                <w:szCs w:val="20"/>
                <w:lang w:val="en-US" w:eastAsia="en-US" w:bidi="ar-SA"/>
              </w:rPr>
              <w:t>。</w:t>
            </w:r>
          </w:p>
        </w:tc>
        <w:tc>
          <w:tcPr>
            <w:tcW w:w="1710" w:type="dxa"/>
            <w:vAlign w:val="top"/>
          </w:tcPr>
          <w:p w14:paraId="74B293BA">
            <w:pPr>
              <w:widowControl/>
              <w:kinsoku w:val="0"/>
              <w:autoSpaceDE w:val="0"/>
              <w:autoSpaceDN w:val="0"/>
              <w:adjustRightInd w:val="0"/>
              <w:snapToGrid w:val="0"/>
              <w:spacing w:line="342" w:lineRule="auto"/>
              <w:jc w:val="left"/>
              <w:textAlignment w:val="baseline"/>
              <w:rPr>
                <w:rFonts w:ascii="Arial" w:hAnsi="Arial" w:eastAsia="Arial" w:cs="Arial"/>
                <w:snapToGrid w:val="0"/>
                <w:color w:val="000000"/>
                <w:kern w:val="0"/>
                <w:sz w:val="21"/>
                <w:lang w:eastAsia="en-US"/>
              </w:rPr>
            </w:pPr>
          </w:p>
          <w:p w14:paraId="37A7188C">
            <w:pPr>
              <w:kinsoku w:val="0"/>
              <w:autoSpaceDE w:val="0"/>
              <w:autoSpaceDN w:val="0"/>
              <w:adjustRightInd w:val="0"/>
              <w:snapToGrid w:val="0"/>
              <w:spacing w:before="65" w:line="228" w:lineRule="auto"/>
              <w:ind w:left="133"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不涉及发电机。</w:t>
            </w:r>
          </w:p>
        </w:tc>
        <w:tc>
          <w:tcPr>
            <w:tcW w:w="1710" w:type="dxa"/>
            <w:vAlign w:val="top"/>
          </w:tcPr>
          <w:p w14:paraId="33304A91">
            <w:pPr>
              <w:kinsoku w:val="0"/>
              <w:autoSpaceDE w:val="0"/>
              <w:autoSpaceDN w:val="0"/>
              <w:adjustRightInd w:val="0"/>
              <w:snapToGrid w:val="0"/>
              <w:spacing w:before="128" w:line="245" w:lineRule="auto"/>
              <w:ind w:left="230" w:right="199"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70A3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9" w:hRule="atLeast"/>
        </w:trPr>
        <w:tc>
          <w:tcPr>
            <w:tcW w:w="699" w:type="dxa"/>
            <w:vMerge w:val="restart"/>
            <w:vAlign w:val="top"/>
          </w:tcPr>
          <w:p w14:paraId="02C3E32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restart"/>
            <w:vAlign w:val="top"/>
          </w:tcPr>
          <w:p w14:paraId="329A432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D11919A">
            <w:pPr>
              <w:kinsoku w:val="0"/>
              <w:autoSpaceDE w:val="0"/>
              <w:autoSpaceDN w:val="0"/>
              <w:adjustRightInd w:val="0"/>
              <w:snapToGrid w:val="0"/>
              <w:spacing w:before="49" w:line="235" w:lineRule="auto"/>
              <w:ind w:left="102"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4</w:t>
            </w:r>
            <w:r>
              <w:rPr>
                <w:rFonts w:ascii="宋体" w:hAnsi="宋体" w:eastAsia="宋体" w:cs="宋体"/>
                <w:snapToGrid w:val="0"/>
                <w:color w:val="000000"/>
                <w:spacing w:val="10"/>
                <w:kern w:val="0"/>
                <w:sz w:val="20"/>
                <w:szCs w:val="20"/>
                <w:lang w:val="en-US" w:eastAsia="en-US" w:bidi="ar-SA"/>
              </w:rPr>
              <w:t>）汽油罐车卸车场地，应设罐车卸车时用的防静电</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接地装置。</w:t>
            </w:r>
          </w:p>
        </w:tc>
        <w:tc>
          <w:tcPr>
            <w:tcW w:w="1710" w:type="dxa"/>
            <w:vAlign w:val="top"/>
          </w:tcPr>
          <w:p w14:paraId="3EF258D1">
            <w:pPr>
              <w:kinsoku w:val="0"/>
              <w:autoSpaceDE w:val="0"/>
              <w:autoSpaceDN w:val="0"/>
              <w:adjustRightInd w:val="0"/>
              <w:snapToGrid w:val="0"/>
              <w:spacing w:before="190" w:line="228" w:lineRule="auto"/>
              <w:ind w:left="132"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卸车区有静电夹</w:t>
            </w:r>
          </w:p>
        </w:tc>
        <w:tc>
          <w:tcPr>
            <w:tcW w:w="1710" w:type="dxa"/>
            <w:vAlign w:val="top"/>
          </w:tcPr>
          <w:p w14:paraId="4A82B619">
            <w:pPr>
              <w:kinsoku w:val="0"/>
              <w:autoSpaceDE w:val="0"/>
              <w:autoSpaceDN w:val="0"/>
              <w:adjustRightInd w:val="0"/>
              <w:snapToGrid w:val="0"/>
              <w:spacing w:before="49" w:line="23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91D9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continue"/>
            <w:vAlign w:val="top"/>
          </w:tcPr>
          <w:p w14:paraId="4E43585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423E83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AAECC89">
            <w:pPr>
              <w:kinsoku w:val="0"/>
              <w:autoSpaceDE w:val="0"/>
              <w:autoSpaceDN w:val="0"/>
              <w:adjustRightInd w:val="0"/>
              <w:snapToGrid w:val="0"/>
              <w:spacing w:before="46" w:line="242" w:lineRule="auto"/>
              <w:ind w:left="103" w:right="100"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5</w:t>
            </w:r>
            <w:r>
              <w:rPr>
                <w:rFonts w:ascii="宋体" w:hAnsi="宋体" w:eastAsia="宋体" w:cs="宋体"/>
                <w:snapToGrid w:val="0"/>
                <w:color w:val="000000"/>
                <w:spacing w:val="10"/>
                <w:kern w:val="0"/>
                <w:sz w:val="20"/>
                <w:szCs w:val="20"/>
                <w:lang w:val="en-US" w:eastAsia="en-US" w:bidi="ar-SA"/>
              </w:rPr>
              <w:t>）在爆炸危险区域工艺管道上的法兰、胶管两端等</w:t>
            </w:r>
            <w:r>
              <w:rPr>
                <w:rFonts w:ascii="宋体" w:hAnsi="宋体" w:eastAsia="宋体" w:cs="宋体"/>
                <w:snapToGrid w:val="0"/>
                <w:color w:val="000000"/>
                <w:spacing w:val="11"/>
                <w:kern w:val="0"/>
                <w:sz w:val="20"/>
                <w:szCs w:val="20"/>
                <w:lang w:val="en-US" w:eastAsia="en-US" w:bidi="ar-SA"/>
              </w:rPr>
              <w:t>连接处，应用金属线跨接。当法兰的连接螺栓不少</w:t>
            </w:r>
            <w:r>
              <w:rPr>
                <w:rFonts w:ascii="宋体" w:hAnsi="宋体" w:eastAsia="宋体" w:cs="宋体"/>
                <w:snapToGrid w:val="0"/>
                <w:color w:val="000000"/>
                <w:spacing w:val="10"/>
                <w:kern w:val="0"/>
                <w:sz w:val="20"/>
                <w:szCs w:val="20"/>
                <w:lang w:val="en-US" w:eastAsia="en-US" w:bidi="ar-SA"/>
              </w:rPr>
              <w:t>于</w:t>
            </w:r>
            <w:r>
              <w:rPr>
                <w:rFonts w:ascii="Times New Roman" w:hAnsi="Times New Roman" w:eastAsia="Times New Roman" w:cs="Times New Roman"/>
                <w:snapToGrid w:val="0"/>
                <w:color w:val="000000"/>
                <w:spacing w:val="10"/>
                <w:kern w:val="0"/>
                <w:sz w:val="20"/>
                <w:szCs w:val="20"/>
                <w:lang w:val="en-US" w:eastAsia="en-US" w:bidi="ar-SA"/>
              </w:rPr>
              <w:t>5</w:t>
            </w:r>
            <w:r>
              <w:rPr>
                <w:rFonts w:ascii="宋体" w:hAnsi="宋体" w:eastAsia="宋体" w:cs="宋体"/>
                <w:snapToGrid w:val="0"/>
                <w:color w:val="000000"/>
                <w:spacing w:val="8"/>
                <w:kern w:val="0"/>
                <w:sz w:val="20"/>
                <w:szCs w:val="20"/>
                <w:lang w:val="en-US" w:eastAsia="en-US" w:bidi="ar-SA"/>
              </w:rPr>
              <w:t>根时，在非腐蚀环境下可不跨接。</w:t>
            </w:r>
          </w:p>
        </w:tc>
        <w:tc>
          <w:tcPr>
            <w:tcW w:w="1710" w:type="dxa"/>
            <w:vAlign w:val="top"/>
          </w:tcPr>
          <w:p w14:paraId="570DAC60">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卸油口管道法兰有静电跨接线</w:t>
            </w:r>
          </w:p>
        </w:tc>
        <w:tc>
          <w:tcPr>
            <w:tcW w:w="1710" w:type="dxa"/>
            <w:vAlign w:val="top"/>
          </w:tcPr>
          <w:p w14:paraId="7E6C3B56">
            <w:pPr>
              <w:kinsoku w:val="0"/>
              <w:autoSpaceDE w:val="0"/>
              <w:autoSpaceDN w:val="0"/>
              <w:adjustRightInd w:val="0"/>
              <w:snapToGrid w:val="0"/>
              <w:spacing w:before="184"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D2E7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continue"/>
            <w:vAlign w:val="top"/>
          </w:tcPr>
          <w:p w14:paraId="66079DA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6EB401A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6F6CEB9">
            <w:pPr>
              <w:kinsoku w:val="0"/>
              <w:autoSpaceDE w:val="0"/>
              <w:autoSpaceDN w:val="0"/>
              <w:adjustRightInd w:val="0"/>
              <w:snapToGrid w:val="0"/>
              <w:spacing w:before="46" w:line="242" w:lineRule="auto"/>
              <w:ind w:left="103" w:right="100"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w:t>
            </w:r>
            <w:r>
              <w:rPr>
                <w:rFonts w:ascii="Times New Roman" w:hAnsi="Times New Roman" w:eastAsia="Times New Roman" w:cs="Times New Roman"/>
                <w:snapToGrid w:val="0"/>
                <w:color w:val="000000"/>
                <w:spacing w:val="9"/>
                <w:kern w:val="0"/>
                <w:sz w:val="20"/>
                <w:szCs w:val="20"/>
                <w:lang w:val="en-US" w:eastAsia="en-US" w:bidi="ar-SA"/>
              </w:rPr>
              <w:t>6</w:t>
            </w:r>
            <w:r>
              <w:rPr>
                <w:rFonts w:ascii="宋体" w:hAnsi="宋体" w:eastAsia="宋体" w:cs="宋体"/>
                <w:snapToGrid w:val="0"/>
                <w:color w:val="000000"/>
                <w:spacing w:val="9"/>
                <w:kern w:val="0"/>
                <w:sz w:val="20"/>
                <w:szCs w:val="20"/>
                <w:lang w:val="en-US" w:eastAsia="en-US" w:bidi="ar-SA"/>
              </w:rPr>
              <w:t>）爆炸危险区域内的电气设备选型、安装</w:t>
            </w:r>
            <w:r>
              <w:rPr>
                <w:rFonts w:ascii="宋体" w:hAnsi="宋体" w:eastAsia="宋体" w:cs="宋体"/>
                <w:snapToGrid w:val="0"/>
                <w:color w:val="000000"/>
                <w:spacing w:val="8"/>
                <w:kern w:val="0"/>
                <w:sz w:val="20"/>
                <w:szCs w:val="20"/>
                <w:lang w:val="en-US" w:eastAsia="en-US" w:bidi="ar-SA"/>
              </w:rPr>
              <w:t>、</w:t>
            </w:r>
            <w:r>
              <w:rPr>
                <w:rFonts w:ascii="宋体" w:hAnsi="宋体" w:eastAsia="宋体" w:cs="宋体"/>
                <w:snapToGrid w:val="0"/>
                <w:color w:val="000000"/>
                <w:spacing w:val="-59"/>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电力线</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路敷设应符合现行国家标准《爆炸危险环境电力装置设</w:t>
            </w:r>
            <w:r>
              <w:rPr>
                <w:rFonts w:ascii="宋体" w:hAnsi="宋体" w:eastAsia="宋体" w:cs="宋体"/>
                <w:snapToGrid w:val="0"/>
                <w:color w:val="000000"/>
                <w:spacing w:val="7"/>
                <w:kern w:val="0"/>
                <w:sz w:val="20"/>
                <w:szCs w:val="20"/>
                <w:lang w:val="en-US" w:eastAsia="en-US" w:bidi="ar-SA"/>
              </w:rPr>
              <w:t>计规范》</w:t>
            </w:r>
            <w:r>
              <w:rPr>
                <w:rFonts w:ascii="Times New Roman" w:hAnsi="Times New Roman" w:eastAsia="Times New Roman" w:cs="Times New Roman"/>
                <w:snapToGrid w:val="0"/>
                <w:color w:val="000000"/>
                <w:kern w:val="0"/>
                <w:sz w:val="20"/>
                <w:szCs w:val="20"/>
                <w:lang w:val="en-US" w:eastAsia="en-US" w:bidi="ar-SA"/>
              </w:rPr>
              <w:t>GB</w:t>
            </w:r>
            <w:r>
              <w:rPr>
                <w:rFonts w:ascii="Times New Roman" w:hAnsi="Times New Roman" w:eastAsia="Times New Roman" w:cs="Times New Roman"/>
                <w:snapToGrid w:val="0"/>
                <w:color w:val="000000"/>
                <w:spacing w:val="7"/>
                <w:kern w:val="0"/>
                <w:sz w:val="20"/>
                <w:szCs w:val="20"/>
                <w:lang w:val="en-US" w:eastAsia="en-US" w:bidi="ar-SA"/>
              </w:rPr>
              <w:t>50058</w:t>
            </w:r>
            <w:r>
              <w:rPr>
                <w:rFonts w:ascii="宋体" w:hAnsi="宋体" w:eastAsia="宋体" w:cs="宋体"/>
                <w:snapToGrid w:val="0"/>
                <w:color w:val="000000"/>
                <w:spacing w:val="7"/>
                <w:kern w:val="0"/>
                <w:sz w:val="20"/>
                <w:szCs w:val="20"/>
                <w:lang w:val="en-US" w:eastAsia="en-US" w:bidi="ar-SA"/>
              </w:rPr>
              <w:t>的有关规定。</w:t>
            </w:r>
          </w:p>
        </w:tc>
        <w:tc>
          <w:tcPr>
            <w:tcW w:w="1710" w:type="dxa"/>
            <w:vAlign w:val="top"/>
          </w:tcPr>
          <w:p w14:paraId="3AD00025">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43148C8A">
            <w:pPr>
              <w:kinsoku w:val="0"/>
              <w:autoSpaceDE w:val="0"/>
              <w:autoSpaceDN w:val="0"/>
              <w:adjustRightInd w:val="0"/>
              <w:snapToGrid w:val="0"/>
              <w:spacing w:before="65" w:line="228" w:lineRule="auto"/>
              <w:ind w:left="655"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符合</w:t>
            </w:r>
          </w:p>
        </w:tc>
        <w:tc>
          <w:tcPr>
            <w:tcW w:w="1710" w:type="dxa"/>
            <w:vAlign w:val="top"/>
          </w:tcPr>
          <w:p w14:paraId="7C571421">
            <w:pPr>
              <w:kinsoku w:val="0"/>
              <w:autoSpaceDE w:val="0"/>
              <w:autoSpaceDN w:val="0"/>
              <w:adjustRightInd w:val="0"/>
              <w:snapToGrid w:val="0"/>
              <w:spacing w:before="186"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66ABE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continue"/>
            <w:vAlign w:val="top"/>
          </w:tcPr>
          <w:p w14:paraId="7D82D47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1C407C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1125459">
            <w:pPr>
              <w:kinsoku w:val="0"/>
              <w:autoSpaceDE w:val="0"/>
              <w:autoSpaceDN w:val="0"/>
              <w:adjustRightInd w:val="0"/>
              <w:snapToGrid w:val="0"/>
              <w:spacing w:before="49" w:line="241" w:lineRule="auto"/>
              <w:ind w:left="105" w:right="100" w:firstLine="8"/>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7</w:t>
            </w:r>
            <w:r>
              <w:rPr>
                <w:rFonts w:ascii="宋体" w:hAnsi="宋体" w:eastAsia="宋体" w:cs="宋体"/>
                <w:snapToGrid w:val="0"/>
                <w:color w:val="000000"/>
                <w:spacing w:val="10"/>
                <w:kern w:val="0"/>
                <w:sz w:val="20"/>
                <w:szCs w:val="20"/>
                <w:lang w:val="en-US" w:eastAsia="en-US" w:bidi="ar-SA"/>
              </w:rPr>
              <w:t>）加油站内爆炸危险区域以外的照明灯具可选用非</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防爆型。罩棚下处于非爆炸危险区域的灯具应选用防护</w:t>
            </w:r>
            <w:r>
              <w:rPr>
                <w:rFonts w:ascii="宋体" w:hAnsi="宋体" w:eastAsia="宋体" w:cs="宋体"/>
                <w:snapToGrid w:val="0"/>
                <w:color w:val="000000"/>
                <w:spacing w:val="15"/>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等级不低于</w:t>
            </w:r>
            <w:r>
              <w:rPr>
                <w:rFonts w:ascii="宋体" w:hAnsi="宋体" w:eastAsia="宋体" w:cs="宋体"/>
                <w:snapToGrid w:val="0"/>
                <w:color w:val="000000"/>
                <w:spacing w:val="-43"/>
                <w:kern w:val="0"/>
                <w:sz w:val="20"/>
                <w:szCs w:val="20"/>
                <w:lang w:val="en-US" w:eastAsia="en-US" w:bidi="ar-SA"/>
              </w:rPr>
              <w:t xml:space="preserve"> </w:t>
            </w:r>
            <w:r>
              <w:rPr>
                <w:rFonts w:ascii="Times New Roman" w:hAnsi="Times New Roman" w:eastAsia="Times New Roman" w:cs="Times New Roman"/>
                <w:snapToGrid w:val="0"/>
                <w:color w:val="000000"/>
                <w:kern w:val="0"/>
                <w:sz w:val="20"/>
                <w:szCs w:val="20"/>
                <w:lang w:val="en-US" w:eastAsia="en-US" w:bidi="ar-SA"/>
              </w:rPr>
              <w:t>IP</w:t>
            </w:r>
            <w:r>
              <w:rPr>
                <w:rFonts w:ascii="Times New Roman" w:hAnsi="Times New Roman" w:eastAsia="Times New Roman" w:cs="Times New Roman"/>
                <w:snapToGrid w:val="0"/>
                <w:color w:val="000000"/>
                <w:spacing w:val="8"/>
                <w:kern w:val="0"/>
                <w:sz w:val="20"/>
                <w:szCs w:val="20"/>
                <w:lang w:val="en-US" w:eastAsia="en-US" w:bidi="ar-SA"/>
              </w:rPr>
              <w:t>44</w:t>
            </w:r>
            <w:r>
              <w:rPr>
                <w:rFonts w:ascii="宋体" w:hAnsi="宋体" w:eastAsia="宋体" w:cs="宋体"/>
                <w:snapToGrid w:val="0"/>
                <w:color w:val="000000"/>
                <w:spacing w:val="8"/>
                <w:kern w:val="0"/>
                <w:sz w:val="20"/>
                <w:szCs w:val="20"/>
                <w:lang w:val="en-US" w:eastAsia="en-US" w:bidi="ar-SA"/>
              </w:rPr>
              <w:t>级的照明灯具。</w:t>
            </w:r>
          </w:p>
        </w:tc>
        <w:tc>
          <w:tcPr>
            <w:tcW w:w="1710" w:type="dxa"/>
            <w:vAlign w:val="top"/>
          </w:tcPr>
          <w:p w14:paraId="0B774EA4">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4F4D27B5">
            <w:pPr>
              <w:kinsoku w:val="0"/>
              <w:autoSpaceDE w:val="0"/>
              <w:autoSpaceDN w:val="0"/>
              <w:adjustRightInd w:val="0"/>
              <w:snapToGrid w:val="0"/>
              <w:spacing w:before="65" w:line="228" w:lineRule="auto"/>
              <w:ind w:left="129"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按要求选用灯具</w:t>
            </w:r>
          </w:p>
        </w:tc>
        <w:tc>
          <w:tcPr>
            <w:tcW w:w="1710" w:type="dxa"/>
            <w:vAlign w:val="top"/>
          </w:tcPr>
          <w:p w14:paraId="6E964FC2">
            <w:pPr>
              <w:kinsoku w:val="0"/>
              <w:autoSpaceDE w:val="0"/>
              <w:autoSpaceDN w:val="0"/>
              <w:adjustRightInd w:val="0"/>
              <w:snapToGrid w:val="0"/>
              <w:spacing w:before="187"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59A5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continue"/>
            <w:vAlign w:val="top"/>
          </w:tcPr>
          <w:p w14:paraId="3A98EE5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233D66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7DEA7F2">
            <w:pPr>
              <w:kinsoku w:val="0"/>
              <w:autoSpaceDE w:val="0"/>
              <w:autoSpaceDN w:val="0"/>
              <w:adjustRightInd w:val="0"/>
              <w:snapToGrid w:val="0"/>
              <w:spacing w:before="49" w:line="241" w:lineRule="auto"/>
              <w:ind w:left="103" w:right="100"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8</w:t>
            </w:r>
            <w:r>
              <w:rPr>
                <w:rFonts w:ascii="宋体" w:hAnsi="宋体" w:eastAsia="宋体" w:cs="宋体"/>
                <w:snapToGrid w:val="0"/>
                <w:color w:val="000000"/>
                <w:spacing w:val="10"/>
                <w:kern w:val="0"/>
                <w:sz w:val="20"/>
                <w:szCs w:val="20"/>
                <w:lang w:val="en-US" w:eastAsia="en-US" w:bidi="ar-SA"/>
              </w:rPr>
              <w:t>）当采用电缆沟敷设电缆时，加油作业区内的电缆</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沟内必须充沙填实，电缆不得与油品管道及热力管道敷</w:t>
            </w:r>
            <w:r>
              <w:rPr>
                <w:rFonts w:ascii="宋体" w:hAnsi="宋体" w:eastAsia="宋体" w:cs="宋体"/>
                <w:snapToGrid w:val="0"/>
                <w:color w:val="000000"/>
                <w:spacing w:val="17"/>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设在同一沟内。</w:t>
            </w:r>
          </w:p>
        </w:tc>
        <w:tc>
          <w:tcPr>
            <w:tcW w:w="1710" w:type="dxa"/>
            <w:vAlign w:val="top"/>
          </w:tcPr>
          <w:p w14:paraId="2EEBFBF9">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162FB8FC">
            <w:pPr>
              <w:kinsoku w:val="0"/>
              <w:autoSpaceDE w:val="0"/>
              <w:autoSpaceDN w:val="0"/>
              <w:adjustRightInd w:val="0"/>
              <w:snapToGrid w:val="0"/>
              <w:spacing w:before="65" w:line="228" w:lineRule="auto"/>
              <w:ind w:left="152"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电缆沟填充沙子</w:t>
            </w:r>
          </w:p>
        </w:tc>
        <w:tc>
          <w:tcPr>
            <w:tcW w:w="1710" w:type="dxa"/>
            <w:vAlign w:val="top"/>
          </w:tcPr>
          <w:p w14:paraId="79E83717">
            <w:pPr>
              <w:kinsoku w:val="0"/>
              <w:autoSpaceDE w:val="0"/>
              <w:autoSpaceDN w:val="0"/>
              <w:adjustRightInd w:val="0"/>
              <w:snapToGrid w:val="0"/>
              <w:spacing w:before="192" w:line="243"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A534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1E69A18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7FCE8D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67CA9F2">
            <w:pPr>
              <w:kinsoku w:val="0"/>
              <w:autoSpaceDE w:val="0"/>
              <w:autoSpaceDN w:val="0"/>
              <w:adjustRightInd w:val="0"/>
              <w:snapToGrid w:val="0"/>
              <w:spacing w:before="53" w:line="231" w:lineRule="auto"/>
              <w:ind w:left="107" w:right="100" w:firstLine="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9</w:t>
            </w:r>
            <w:r>
              <w:rPr>
                <w:rFonts w:ascii="宋体" w:hAnsi="宋体" w:eastAsia="宋体" w:cs="宋体"/>
                <w:snapToGrid w:val="0"/>
                <w:color w:val="000000"/>
                <w:spacing w:val="10"/>
                <w:kern w:val="0"/>
                <w:sz w:val="20"/>
                <w:szCs w:val="20"/>
                <w:lang w:val="en-US" w:eastAsia="en-US" w:bidi="ar-SA"/>
              </w:rPr>
              <w:t>）钢制油罐必须进行防雷接地，接地点不应少于两</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处。</w:t>
            </w:r>
          </w:p>
        </w:tc>
        <w:tc>
          <w:tcPr>
            <w:tcW w:w="1710" w:type="dxa"/>
            <w:vAlign w:val="top"/>
          </w:tcPr>
          <w:p w14:paraId="328CE653">
            <w:pPr>
              <w:kinsoku w:val="0"/>
              <w:autoSpaceDE w:val="0"/>
              <w:autoSpaceDN w:val="0"/>
              <w:adjustRightInd w:val="0"/>
              <w:snapToGrid w:val="0"/>
              <w:spacing w:before="194" w:line="228" w:lineRule="auto"/>
              <w:ind w:left="131"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油罐有防雷接地</w:t>
            </w:r>
          </w:p>
        </w:tc>
        <w:tc>
          <w:tcPr>
            <w:tcW w:w="1710" w:type="dxa"/>
            <w:vAlign w:val="top"/>
          </w:tcPr>
          <w:p w14:paraId="311EFA11">
            <w:pPr>
              <w:kinsoku w:val="0"/>
              <w:autoSpaceDE w:val="0"/>
              <w:autoSpaceDN w:val="0"/>
              <w:adjustRightInd w:val="0"/>
              <w:snapToGrid w:val="0"/>
              <w:spacing w:before="53" w:line="231"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1BA1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4" w:hRule="atLeast"/>
        </w:trPr>
        <w:tc>
          <w:tcPr>
            <w:tcW w:w="699" w:type="dxa"/>
            <w:vMerge w:val="continue"/>
            <w:vAlign w:val="top"/>
          </w:tcPr>
          <w:p w14:paraId="3C9650A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808A76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FA63ABF">
            <w:pPr>
              <w:kinsoku w:val="0"/>
              <w:autoSpaceDE w:val="0"/>
              <w:autoSpaceDN w:val="0"/>
              <w:adjustRightInd w:val="0"/>
              <w:snapToGrid w:val="0"/>
              <w:spacing w:before="54" w:line="240" w:lineRule="auto"/>
              <w:ind w:left="102" w:right="102" w:firstLine="11"/>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10</w:t>
            </w:r>
            <w:r>
              <w:rPr>
                <w:rFonts w:ascii="宋体" w:hAnsi="宋体" w:eastAsia="宋体" w:cs="宋体"/>
                <w:snapToGrid w:val="0"/>
                <w:color w:val="000000"/>
                <w:spacing w:val="6"/>
                <w:kern w:val="0"/>
                <w:sz w:val="20"/>
                <w:szCs w:val="20"/>
                <w:lang w:val="en-US" w:eastAsia="en-US" w:bidi="ar-SA"/>
              </w:rPr>
              <w:t>）加油站的防雷接地、防静电接地、电气设备的工</w:t>
            </w:r>
            <w:r>
              <w:rPr>
                <w:rFonts w:ascii="宋体" w:hAnsi="宋体" w:eastAsia="宋体" w:cs="宋体"/>
                <w:snapToGrid w:val="0"/>
                <w:color w:val="000000"/>
                <w:spacing w:val="15"/>
                <w:kern w:val="0"/>
                <w:sz w:val="20"/>
                <w:szCs w:val="20"/>
                <w:lang w:val="en-US" w:eastAsia="en-US" w:bidi="ar-SA"/>
              </w:rPr>
              <w:t>作接地、保护接地及信息系统的接地等宜共用接地装</w:t>
            </w:r>
            <w:r>
              <w:rPr>
                <w:rFonts w:ascii="宋体" w:hAnsi="宋体" w:eastAsia="宋体" w:cs="宋体"/>
                <w:snapToGrid w:val="0"/>
                <w:color w:val="000000"/>
                <w:spacing w:val="18"/>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置，接地电阻不应大于</w:t>
            </w:r>
            <w:r>
              <w:rPr>
                <w:rFonts w:ascii="Times New Roman" w:hAnsi="Times New Roman" w:eastAsia="Times New Roman" w:cs="Times New Roman"/>
                <w:snapToGrid w:val="0"/>
                <w:color w:val="000000"/>
                <w:spacing w:val="4"/>
                <w:kern w:val="0"/>
                <w:sz w:val="20"/>
                <w:szCs w:val="20"/>
                <w:lang w:val="en-US" w:eastAsia="en-US" w:bidi="ar-SA"/>
              </w:rPr>
              <w:t>4</w:t>
            </w:r>
            <w:r>
              <w:rPr>
                <w:rFonts w:ascii="宋体" w:hAnsi="宋体" w:eastAsia="宋体" w:cs="宋体"/>
                <w:snapToGrid w:val="0"/>
                <w:color w:val="000000"/>
                <w:spacing w:val="4"/>
                <w:kern w:val="0"/>
                <w:sz w:val="20"/>
                <w:szCs w:val="20"/>
                <w:lang w:val="en-US" w:eastAsia="en-US" w:bidi="ar-SA"/>
              </w:rPr>
              <w:t>Ω。</w:t>
            </w:r>
          </w:p>
        </w:tc>
        <w:tc>
          <w:tcPr>
            <w:tcW w:w="1710" w:type="dxa"/>
            <w:vAlign w:val="top"/>
          </w:tcPr>
          <w:p w14:paraId="03DD6D7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有防雷检测报</w:t>
            </w:r>
            <w:r>
              <w:rPr>
                <w:rFonts w:ascii="宋体" w:hAnsi="宋体" w:eastAsia="宋体" w:cs="宋体"/>
                <w:snapToGrid w:val="0"/>
                <w:color w:val="000000"/>
                <w:spacing w:val="6"/>
                <w:kern w:val="0"/>
                <w:sz w:val="20"/>
                <w:szCs w:val="20"/>
                <w:lang w:val="en-US" w:eastAsia="en-US" w:bidi="ar-SA"/>
              </w:rPr>
              <w:t>告，符合</w:t>
            </w:r>
          </w:p>
        </w:tc>
        <w:tc>
          <w:tcPr>
            <w:tcW w:w="1710" w:type="dxa"/>
            <w:vAlign w:val="top"/>
          </w:tcPr>
          <w:p w14:paraId="18C5FD13">
            <w:pPr>
              <w:kinsoku w:val="0"/>
              <w:autoSpaceDE w:val="0"/>
              <w:autoSpaceDN w:val="0"/>
              <w:adjustRightInd w:val="0"/>
              <w:snapToGrid w:val="0"/>
              <w:spacing w:before="193" w:line="245" w:lineRule="auto"/>
              <w:ind w:left="228" w:right="201" w:hanging="3"/>
              <w:jc w:val="left"/>
              <w:textAlignment w:val="baseline"/>
              <w:rPr>
                <w:rFonts w:hint="eastAsia" w:ascii="宋体" w:hAnsi="宋体" w:eastAsia="宋体" w:cs="宋体"/>
                <w:snapToGrid w:val="0"/>
                <w:color w:val="000000"/>
                <w:kern w:val="0"/>
                <w:sz w:val="20"/>
                <w:szCs w:val="20"/>
                <w:lang w:val="en-US" w:eastAsia="zh-CN" w:bidi="ar-SA"/>
              </w:rPr>
            </w:pPr>
            <w:r>
              <w:rPr>
                <w:rFonts w:hint="eastAsia" w:ascii="宋体" w:hAnsi="宋体" w:eastAsia="宋体" w:cs="宋体"/>
                <w:snapToGrid w:val="0"/>
                <w:color w:val="000000"/>
                <w:spacing w:val="3"/>
                <w:kern w:val="0"/>
                <w:sz w:val="20"/>
                <w:szCs w:val="20"/>
                <w:lang w:val="en-US" w:eastAsia="en-US" w:bidi="ar-SA"/>
              </w:rPr>
              <w:t>符合要求</w:t>
            </w:r>
          </w:p>
        </w:tc>
      </w:tr>
      <w:tr w14:paraId="365ED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4" w:hRule="atLeast"/>
        </w:trPr>
        <w:tc>
          <w:tcPr>
            <w:tcW w:w="699" w:type="dxa"/>
            <w:vMerge w:val="continue"/>
            <w:vAlign w:val="top"/>
          </w:tcPr>
          <w:p w14:paraId="084D1D5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0020E92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68A280F">
            <w:pPr>
              <w:kinsoku w:val="0"/>
              <w:autoSpaceDE w:val="0"/>
              <w:autoSpaceDN w:val="0"/>
              <w:adjustRightInd w:val="0"/>
              <w:snapToGrid w:val="0"/>
              <w:spacing w:before="54" w:line="240" w:lineRule="auto"/>
              <w:ind w:left="102" w:right="92"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11</w:t>
            </w:r>
            <w:r>
              <w:rPr>
                <w:rFonts w:ascii="宋体" w:hAnsi="宋体" w:eastAsia="宋体" w:cs="宋体"/>
                <w:snapToGrid w:val="0"/>
                <w:color w:val="000000"/>
                <w:spacing w:val="6"/>
                <w:kern w:val="0"/>
                <w:sz w:val="20"/>
                <w:szCs w:val="20"/>
                <w:lang w:val="en-US" w:eastAsia="en-US" w:bidi="ar-SA"/>
              </w:rPr>
              <w:t>）埋地钢制油罐的金属部件和罐内的各金属部件，</w:t>
            </w:r>
            <w:r>
              <w:rPr>
                <w:rFonts w:ascii="宋体" w:hAnsi="宋体" w:eastAsia="宋体" w:cs="宋体"/>
                <w:snapToGrid w:val="0"/>
                <w:color w:val="000000"/>
                <w:spacing w:val="15"/>
                <w:kern w:val="0"/>
                <w:sz w:val="20"/>
                <w:szCs w:val="20"/>
                <w:lang w:val="en-US" w:eastAsia="en-US" w:bidi="ar-SA"/>
              </w:rPr>
              <w:t>必须与非埋地部分的工艺金属管道相互做电气连接并</w:t>
            </w:r>
            <w:r>
              <w:rPr>
                <w:rFonts w:ascii="宋体" w:hAnsi="宋体" w:eastAsia="宋体" w:cs="宋体"/>
                <w:snapToGrid w:val="0"/>
                <w:color w:val="000000"/>
                <w:spacing w:val="3"/>
                <w:kern w:val="0"/>
                <w:sz w:val="20"/>
                <w:szCs w:val="20"/>
                <w:lang w:val="en-US" w:eastAsia="en-US" w:bidi="ar-SA"/>
              </w:rPr>
              <w:t>接地。</w:t>
            </w:r>
          </w:p>
        </w:tc>
        <w:tc>
          <w:tcPr>
            <w:tcW w:w="1710" w:type="dxa"/>
            <w:vAlign w:val="top"/>
          </w:tcPr>
          <w:p w14:paraId="7B4CB1A6">
            <w:pPr>
              <w:widowControl/>
              <w:kinsoku w:val="0"/>
              <w:autoSpaceDE w:val="0"/>
              <w:autoSpaceDN w:val="0"/>
              <w:adjustRightInd w:val="0"/>
              <w:snapToGrid w:val="0"/>
              <w:spacing w:line="269" w:lineRule="auto"/>
              <w:jc w:val="left"/>
              <w:textAlignment w:val="baseline"/>
              <w:rPr>
                <w:rFonts w:ascii="Arial" w:hAnsi="Arial" w:eastAsia="Arial" w:cs="Arial"/>
                <w:snapToGrid w:val="0"/>
                <w:color w:val="000000"/>
                <w:kern w:val="0"/>
                <w:sz w:val="21"/>
                <w:lang w:eastAsia="en-US"/>
              </w:rPr>
            </w:pPr>
          </w:p>
          <w:p w14:paraId="04304A87">
            <w:pPr>
              <w:kinsoku w:val="0"/>
              <w:autoSpaceDE w:val="0"/>
              <w:autoSpaceDN w:val="0"/>
              <w:adjustRightInd w:val="0"/>
              <w:snapToGrid w:val="0"/>
              <w:spacing w:before="65" w:line="229" w:lineRule="auto"/>
              <w:ind w:left="34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均可靠接地</w:t>
            </w:r>
          </w:p>
        </w:tc>
        <w:tc>
          <w:tcPr>
            <w:tcW w:w="1710" w:type="dxa"/>
            <w:vAlign w:val="top"/>
          </w:tcPr>
          <w:p w14:paraId="1078507D">
            <w:pPr>
              <w:kinsoku w:val="0"/>
              <w:autoSpaceDE w:val="0"/>
              <w:autoSpaceDN w:val="0"/>
              <w:adjustRightInd w:val="0"/>
              <w:snapToGrid w:val="0"/>
              <w:spacing w:before="193"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78F4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1" w:hRule="atLeast"/>
        </w:trPr>
        <w:tc>
          <w:tcPr>
            <w:tcW w:w="699" w:type="dxa"/>
            <w:vMerge w:val="continue"/>
            <w:vAlign w:val="top"/>
          </w:tcPr>
          <w:p w14:paraId="6146948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0B271D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03099FE">
            <w:pPr>
              <w:kinsoku w:val="0"/>
              <w:autoSpaceDE w:val="0"/>
              <w:autoSpaceDN w:val="0"/>
              <w:adjustRightInd w:val="0"/>
              <w:snapToGrid w:val="0"/>
              <w:spacing w:before="56" w:line="249" w:lineRule="auto"/>
              <w:ind w:left="107" w:right="46" w:firstLine="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12</w:t>
            </w:r>
            <w:r>
              <w:rPr>
                <w:rFonts w:ascii="宋体" w:hAnsi="宋体" w:eastAsia="宋体" w:cs="宋体"/>
                <w:snapToGrid w:val="0"/>
                <w:color w:val="000000"/>
                <w:spacing w:val="6"/>
                <w:kern w:val="0"/>
                <w:sz w:val="20"/>
                <w:szCs w:val="20"/>
                <w:lang w:val="en-US" w:eastAsia="en-US" w:bidi="ar-SA"/>
              </w:rPr>
              <w:t>）当加油站内的站房和罩棚等建筑物需要防直击雷</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时，应采用接闪带（网）保护。当罩棚采用金属屋面时，</w:t>
            </w:r>
            <w:r>
              <w:rPr>
                <w:rFonts w:ascii="宋体" w:hAnsi="宋体" w:eastAsia="宋体" w:cs="宋体"/>
                <w:snapToGrid w:val="0"/>
                <w:color w:val="000000"/>
                <w:spacing w:val="8"/>
                <w:kern w:val="0"/>
                <w:sz w:val="20"/>
                <w:szCs w:val="20"/>
                <w:lang w:val="en-US" w:eastAsia="en-US" w:bidi="ar-SA"/>
              </w:rPr>
              <w:t>宜利用屋面作为接闪器，但应符合下列规定：</w:t>
            </w:r>
          </w:p>
          <w:p w14:paraId="0E1840F5">
            <w:pPr>
              <w:kinsoku w:val="0"/>
              <w:autoSpaceDE w:val="0"/>
              <w:autoSpaceDN w:val="0"/>
              <w:adjustRightInd w:val="0"/>
              <w:snapToGrid w:val="0"/>
              <w:spacing w:before="30" w:line="244" w:lineRule="auto"/>
              <w:ind w:left="103" w:right="102" w:firstLine="16"/>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16"/>
                <w:kern w:val="0"/>
                <w:sz w:val="20"/>
                <w:szCs w:val="20"/>
                <w:lang w:val="en-US" w:eastAsia="en-US" w:bidi="ar-SA"/>
              </w:rPr>
              <w:t>1.</w:t>
            </w:r>
            <w:r>
              <w:rPr>
                <w:rFonts w:ascii="宋体" w:hAnsi="宋体" w:eastAsia="宋体" w:cs="宋体"/>
                <w:snapToGrid w:val="0"/>
                <w:color w:val="000000"/>
                <w:spacing w:val="16"/>
                <w:kern w:val="0"/>
                <w:sz w:val="20"/>
                <w:szCs w:val="20"/>
                <w:lang w:val="en-US" w:eastAsia="en-US" w:bidi="ar-SA"/>
              </w:rPr>
              <w:t>板间的连接应是持久的电气贯通，可采用铜锌合金</w:t>
            </w:r>
            <w:r>
              <w:rPr>
                <w:rFonts w:ascii="宋体" w:hAnsi="宋体" w:eastAsia="宋体" w:cs="宋体"/>
                <w:snapToGrid w:val="0"/>
                <w:color w:val="000000"/>
                <w:spacing w:val="9"/>
                <w:kern w:val="0"/>
                <w:sz w:val="20"/>
                <w:szCs w:val="20"/>
                <w:lang w:val="en-US" w:eastAsia="en-US" w:bidi="ar-SA"/>
              </w:rPr>
              <w:t>焊、熔焊、卷边压接、缝接、螺钉或螺栓连接；</w:t>
            </w:r>
          </w:p>
          <w:p w14:paraId="5CA14843">
            <w:pPr>
              <w:kinsoku w:val="0"/>
              <w:autoSpaceDE w:val="0"/>
              <w:autoSpaceDN w:val="0"/>
              <w:adjustRightInd w:val="0"/>
              <w:snapToGrid w:val="0"/>
              <w:spacing w:before="32" w:line="238" w:lineRule="auto"/>
              <w:ind w:left="101" w:right="102" w:hanging="2"/>
              <w:jc w:val="left"/>
              <w:textAlignment w:val="baseline"/>
              <w:rPr>
                <w:rFonts w:ascii="宋体" w:hAnsi="宋体" w:eastAsia="宋体" w:cs="宋体"/>
                <w:snapToGrid w:val="0"/>
                <w:color w:val="000000"/>
                <w:spacing w:val="8"/>
                <w:kern w:val="0"/>
                <w:sz w:val="20"/>
                <w:szCs w:val="20"/>
                <w:lang w:val="en-US" w:eastAsia="en-US" w:bidi="ar-SA"/>
              </w:rPr>
            </w:pP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金属板下面不应有易燃物品，热镀锌钢板的厚度不应</w:t>
            </w:r>
            <w:r>
              <w:rPr>
                <w:rFonts w:ascii="宋体" w:hAnsi="宋体" w:eastAsia="宋体" w:cs="宋体"/>
                <w:snapToGrid w:val="0"/>
                <w:color w:val="000000"/>
                <w:spacing w:val="6"/>
                <w:kern w:val="0"/>
                <w:sz w:val="20"/>
                <w:szCs w:val="20"/>
                <w:lang w:val="en-US" w:eastAsia="en-US" w:bidi="ar-SA"/>
              </w:rPr>
              <w:t>小于</w:t>
            </w:r>
            <w:r>
              <w:rPr>
                <w:rFonts w:ascii="宋体" w:hAnsi="宋体" w:eastAsia="宋体" w:cs="宋体"/>
                <w:snapToGrid w:val="0"/>
                <w:color w:val="000000"/>
                <w:spacing w:val="-19"/>
                <w:kern w:val="0"/>
                <w:sz w:val="20"/>
                <w:szCs w:val="20"/>
                <w:lang w:val="en-US" w:eastAsia="en-US" w:bidi="ar-SA"/>
              </w:rPr>
              <w:t xml:space="preserve"> </w:t>
            </w:r>
            <w:r>
              <w:rPr>
                <w:rFonts w:ascii="Times New Roman" w:hAnsi="Times New Roman" w:eastAsia="Times New Roman" w:cs="Times New Roman"/>
                <w:snapToGrid w:val="0"/>
                <w:color w:val="000000"/>
                <w:spacing w:val="6"/>
                <w:kern w:val="0"/>
                <w:sz w:val="20"/>
                <w:szCs w:val="20"/>
                <w:lang w:val="en-US" w:eastAsia="en-US" w:bidi="ar-SA"/>
              </w:rPr>
              <w:t>0.5</w:t>
            </w:r>
            <w:r>
              <w:rPr>
                <w:rFonts w:ascii="Times New Roman" w:hAnsi="Times New Roman" w:eastAsia="Times New Roman" w:cs="Times New Roman"/>
                <w:snapToGrid w:val="0"/>
                <w:color w:val="000000"/>
                <w:kern w:val="0"/>
                <w:sz w:val="20"/>
                <w:szCs w:val="20"/>
                <w:lang w:val="en-US" w:eastAsia="en-US" w:bidi="ar-SA"/>
              </w:rPr>
              <w:t>mm</w:t>
            </w:r>
            <w:r>
              <w:rPr>
                <w:rFonts w:ascii="Times New Roman" w:hAnsi="Times New Roman" w:eastAsia="Times New Roman" w:cs="Times New Roman"/>
                <w:snapToGrid w:val="0"/>
                <w:color w:val="000000"/>
                <w:spacing w:val="-24"/>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，铝板的厚度不应小于</w:t>
            </w:r>
            <w:r>
              <w:rPr>
                <w:rFonts w:ascii="宋体" w:hAnsi="宋体" w:eastAsia="宋体" w:cs="宋体"/>
                <w:snapToGrid w:val="0"/>
                <w:color w:val="000000"/>
                <w:spacing w:val="-38"/>
                <w:kern w:val="0"/>
                <w:sz w:val="20"/>
                <w:szCs w:val="20"/>
                <w:lang w:val="en-US" w:eastAsia="en-US" w:bidi="ar-SA"/>
              </w:rPr>
              <w:t xml:space="preserve"> </w:t>
            </w:r>
            <w:r>
              <w:rPr>
                <w:rFonts w:ascii="Times New Roman" w:hAnsi="Times New Roman" w:eastAsia="Times New Roman" w:cs="Times New Roman"/>
                <w:snapToGrid w:val="0"/>
                <w:color w:val="000000"/>
                <w:spacing w:val="6"/>
                <w:kern w:val="0"/>
                <w:sz w:val="20"/>
                <w:szCs w:val="20"/>
                <w:lang w:val="en-US" w:eastAsia="en-US" w:bidi="ar-SA"/>
              </w:rPr>
              <w:t>0.65</w:t>
            </w:r>
            <w:r>
              <w:rPr>
                <w:rFonts w:ascii="Times New Roman" w:hAnsi="Times New Roman" w:eastAsia="Times New Roman" w:cs="Times New Roman"/>
                <w:snapToGrid w:val="0"/>
                <w:color w:val="000000"/>
                <w:kern w:val="0"/>
                <w:sz w:val="20"/>
                <w:szCs w:val="20"/>
                <w:lang w:val="en-US" w:eastAsia="en-US" w:bidi="ar-SA"/>
              </w:rPr>
              <w:t>mm</w:t>
            </w:r>
            <w:r>
              <w:rPr>
                <w:rFonts w:ascii="Times New Roman" w:hAnsi="Times New Roman" w:eastAsia="Times New Roman" w:cs="Times New Roman"/>
                <w:snapToGrid w:val="0"/>
                <w:color w:val="000000"/>
                <w:spacing w:val="-2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，锌板的厚</w:t>
            </w:r>
            <w:r>
              <w:rPr>
                <w:rFonts w:ascii="宋体" w:hAnsi="宋体" w:eastAsia="宋体" w:cs="宋体"/>
                <w:snapToGrid w:val="0"/>
                <w:color w:val="000000"/>
                <w:spacing w:val="8"/>
                <w:kern w:val="0"/>
                <w:sz w:val="20"/>
                <w:szCs w:val="20"/>
                <w:lang w:val="en-US" w:eastAsia="en-US" w:bidi="ar-SA"/>
              </w:rPr>
              <w:t>度不应小于</w:t>
            </w:r>
            <w:r>
              <w:rPr>
                <w:rFonts w:ascii="宋体" w:hAnsi="宋体" w:eastAsia="宋体" w:cs="宋体"/>
                <w:snapToGrid w:val="0"/>
                <w:color w:val="000000"/>
                <w:spacing w:val="-39"/>
                <w:kern w:val="0"/>
                <w:sz w:val="20"/>
                <w:szCs w:val="20"/>
                <w:lang w:val="en-US" w:eastAsia="en-US" w:bidi="ar-SA"/>
              </w:rPr>
              <w:t xml:space="preserve"> </w:t>
            </w:r>
            <w:r>
              <w:rPr>
                <w:rFonts w:ascii="Times New Roman" w:hAnsi="Times New Roman" w:eastAsia="Times New Roman" w:cs="Times New Roman"/>
                <w:snapToGrid w:val="0"/>
                <w:color w:val="000000"/>
                <w:spacing w:val="8"/>
                <w:kern w:val="0"/>
                <w:sz w:val="20"/>
                <w:szCs w:val="20"/>
                <w:lang w:val="en-US" w:eastAsia="en-US" w:bidi="ar-SA"/>
              </w:rPr>
              <w:t>0.7</w:t>
            </w:r>
            <w:r>
              <w:rPr>
                <w:rFonts w:ascii="Times New Roman" w:hAnsi="Times New Roman" w:eastAsia="Times New Roman" w:cs="Times New Roman"/>
                <w:snapToGrid w:val="0"/>
                <w:color w:val="000000"/>
                <w:kern w:val="0"/>
                <w:sz w:val="20"/>
                <w:szCs w:val="20"/>
                <w:lang w:val="en-US" w:eastAsia="en-US" w:bidi="ar-SA"/>
              </w:rPr>
              <w:t>mm</w:t>
            </w:r>
            <w:r>
              <w:rPr>
                <w:rFonts w:ascii="宋体" w:hAnsi="宋体" w:eastAsia="宋体" w:cs="宋体"/>
                <w:snapToGrid w:val="0"/>
                <w:color w:val="000000"/>
                <w:spacing w:val="8"/>
                <w:kern w:val="0"/>
                <w:sz w:val="20"/>
                <w:szCs w:val="20"/>
                <w:lang w:val="en-US" w:eastAsia="en-US" w:bidi="ar-SA"/>
              </w:rPr>
              <w:t>；</w:t>
            </w:r>
          </w:p>
          <w:p w14:paraId="5D571C99">
            <w:pPr>
              <w:kinsoku w:val="0"/>
              <w:autoSpaceDE w:val="0"/>
              <w:autoSpaceDN w:val="0"/>
              <w:adjustRightInd w:val="0"/>
              <w:snapToGrid w:val="0"/>
              <w:spacing w:before="32" w:line="238" w:lineRule="auto"/>
              <w:ind w:left="101" w:right="102" w:hanging="2"/>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8"/>
                <w:kern w:val="0"/>
                <w:sz w:val="20"/>
                <w:szCs w:val="20"/>
                <w:lang w:val="en-US" w:eastAsia="en-US" w:bidi="ar-SA"/>
              </w:rPr>
              <w:t>3.</w:t>
            </w:r>
            <w:r>
              <w:rPr>
                <w:rFonts w:ascii="宋体" w:hAnsi="宋体" w:eastAsia="宋体" w:cs="宋体"/>
                <w:snapToGrid w:val="0"/>
                <w:color w:val="000000"/>
                <w:spacing w:val="8"/>
                <w:kern w:val="0"/>
                <w:sz w:val="20"/>
                <w:szCs w:val="20"/>
                <w:lang w:val="en-US" w:eastAsia="en-US" w:bidi="ar-SA"/>
              </w:rPr>
              <w:t>金属板应无绝缘被覆层。</w:t>
            </w:r>
          </w:p>
        </w:tc>
        <w:tc>
          <w:tcPr>
            <w:tcW w:w="1710" w:type="dxa"/>
            <w:vAlign w:val="top"/>
          </w:tcPr>
          <w:p w14:paraId="04DCED20">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5939FD7F">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5F9B30A5">
            <w:pPr>
              <w:widowControl/>
              <w:kinsoku w:val="0"/>
              <w:autoSpaceDE w:val="0"/>
              <w:autoSpaceDN w:val="0"/>
              <w:adjustRightInd w:val="0"/>
              <w:snapToGrid w:val="0"/>
              <w:spacing w:line="276" w:lineRule="auto"/>
              <w:jc w:val="left"/>
              <w:textAlignment w:val="baseline"/>
              <w:rPr>
                <w:rFonts w:ascii="Arial" w:hAnsi="Arial" w:eastAsia="Arial" w:cs="Arial"/>
                <w:snapToGrid w:val="0"/>
                <w:color w:val="000000"/>
                <w:kern w:val="0"/>
                <w:sz w:val="21"/>
                <w:lang w:eastAsia="en-US"/>
              </w:rPr>
            </w:pPr>
          </w:p>
          <w:p w14:paraId="01698D3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罩棚采用金属面</w:t>
            </w:r>
            <w:r>
              <w:rPr>
                <w:rFonts w:ascii="宋体" w:hAnsi="宋体" w:eastAsia="宋体" w:cs="宋体"/>
                <w:snapToGrid w:val="0"/>
                <w:color w:val="000000"/>
                <w:spacing w:val="3"/>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作为接闪带。</w:t>
            </w:r>
          </w:p>
        </w:tc>
        <w:tc>
          <w:tcPr>
            <w:tcW w:w="1710" w:type="dxa"/>
            <w:vAlign w:val="top"/>
          </w:tcPr>
          <w:p w14:paraId="45BBD3DA">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15F1BF5D">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5046E7CE">
            <w:pPr>
              <w:widowControl/>
              <w:kinsoku w:val="0"/>
              <w:autoSpaceDE w:val="0"/>
              <w:autoSpaceDN w:val="0"/>
              <w:adjustRightInd w:val="0"/>
              <w:snapToGrid w:val="0"/>
              <w:spacing w:line="275" w:lineRule="auto"/>
              <w:jc w:val="left"/>
              <w:textAlignment w:val="baseline"/>
              <w:rPr>
                <w:rFonts w:ascii="Arial" w:hAnsi="Arial" w:eastAsia="Arial" w:cs="Arial"/>
                <w:snapToGrid w:val="0"/>
                <w:color w:val="000000"/>
                <w:kern w:val="0"/>
                <w:sz w:val="21"/>
                <w:lang w:eastAsia="en-US"/>
              </w:rPr>
            </w:pPr>
          </w:p>
          <w:p w14:paraId="7364A961">
            <w:pPr>
              <w:kinsoku w:val="0"/>
              <w:autoSpaceDE w:val="0"/>
              <w:autoSpaceDN w:val="0"/>
              <w:adjustRightInd w:val="0"/>
              <w:snapToGrid w:val="0"/>
              <w:spacing w:before="65"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9246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10" w:hRule="atLeast"/>
        </w:trPr>
        <w:tc>
          <w:tcPr>
            <w:tcW w:w="699" w:type="dxa"/>
            <w:vMerge w:val="continue"/>
            <w:vAlign w:val="top"/>
          </w:tcPr>
          <w:p w14:paraId="22E3409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74C8E7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398674F">
            <w:pPr>
              <w:kinsoku w:val="0"/>
              <w:autoSpaceDE w:val="0"/>
              <w:autoSpaceDN w:val="0"/>
              <w:adjustRightInd w:val="0"/>
              <w:snapToGrid w:val="0"/>
              <w:spacing w:before="163" w:line="253" w:lineRule="auto"/>
              <w:ind w:left="103" w:right="46"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13</w:t>
            </w:r>
            <w:r>
              <w:rPr>
                <w:rFonts w:ascii="宋体" w:hAnsi="宋体" w:eastAsia="宋体" w:cs="宋体"/>
                <w:snapToGrid w:val="0"/>
                <w:color w:val="000000"/>
                <w:spacing w:val="6"/>
                <w:kern w:val="0"/>
                <w:sz w:val="20"/>
                <w:szCs w:val="20"/>
                <w:lang w:val="en-US" w:eastAsia="en-US" w:bidi="ar-SA"/>
              </w:rPr>
              <w:t>）加油站的信息系统应采用铠装电缆或导线穿钢管配线。配线电缆铠装金属层两端、保护钢管两端均应接</w:t>
            </w:r>
            <w:r>
              <w:rPr>
                <w:rFonts w:ascii="宋体" w:hAnsi="宋体" w:eastAsia="宋体" w:cs="宋体"/>
                <w:snapToGrid w:val="0"/>
                <w:color w:val="000000"/>
                <w:spacing w:val="17"/>
                <w:kern w:val="0"/>
                <w:sz w:val="20"/>
                <w:szCs w:val="20"/>
                <w:lang w:val="en-US" w:eastAsia="en-US" w:bidi="ar-SA"/>
              </w:rPr>
              <w:t xml:space="preserve"> </w:t>
            </w:r>
            <w:r>
              <w:rPr>
                <w:rFonts w:ascii="宋体" w:hAnsi="宋体" w:eastAsia="宋体" w:cs="宋体"/>
                <w:snapToGrid w:val="0"/>
                <w:color w:val="000000"/>
                <w:kern w:val="0"/>
                <w:sz w:val="20"/>
                <w:szCs w:val="20"/>
                <w:lang w:val="en-US" w:eastAsia="en-US" w:bidi="ar-SA"/>
              </w:rPr>
              <w:t>地。该信息系统的配电线路首、末端与电子器件连接时，</w:t>
            </w:r>
            <w:r>
              <w:rPr>
                <w:rFonts w:ascii="宋体" w:hAnsi="宋体" w:eastAsia="宋体" w:cs="宋体"/>
                <w:snapToGrid w:val="0"/>
                <w:color w:val="000000"/>
                <w:spacing w:val="6"/>
                <w:kern w:val="0"/>
                <w:sz w:val="20"/>
                <w:szCs w:val="20"/>
                <w:lang w:val="en-US" w:eastAsia="en-US" w:bidi="ar-SA"/>
              </w:rPr>
              <w:t>应装设与电子器件耐压水平相适应的过电压（电涌）保</w:t>
            </w:r>
            <w:r>
              <w:rPr>
                <w:rFonts w:ascii="宋体" w:hAnsi="宋体" w:eastAsia="宋体" w:cs="宋体"/>
                <w:snapToGrid w:val="0"/>
                <w:color w:val="000000"/>
                <w:spacing w:val="17"/>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护器。</w:t>
            </w:r>
          </w:p>
        </w:tc>
        <w:tc>
          <w:tcPr>
            <w:tcW w:w="1710" w:type="dxa"/>
            <w:vAlign w:val="top"/>
          </w:tcPr>
          <w:p w14:paraId="0D38B85F">
            <w:pPr>
              <w:widowControl/>
              <w:kinsoku w:val="0"/>
              <w:autoSpaceDE w:val="0"/>
              <w:autoSpaceDN w:val="0"/>
              <w:adjustRightInd w:val="0"/>
              <w:snapToGrid w:val="0"/>
              <w:spacing w:line="327" w:lineRule="auto"/>
              <w:jc w:val="left"/>
              <w:textAlignment w:val="baseline"/>
              <w:rPr>
                <w:rFonts w:ascii="Arial" w:hAnsi="Arial" w:eastAsia="Arial" w:cs="Arial"/>
                <w:snapToGrid w:val="0"/>
                <w:color w:val="000000"/>
                <w:kern w:val="0"/>
                <w:sz w:val="21"/>
                <w:lang w:eastAsia="en-US"/>
              </w:rPr>
            </w:pPr>
          </w:p>
          <w:p w14:paraId="06541ED5">
            <w:pPr>
              <w:widowControl/>
              <w:kinsoku w:val="0"/>
              <w:autoSpaceDE w:val="0"/>
              <w:autoSpaceDN w:val="0"/>
              <w:adjustRightInd w:val="0"/>
              <w:snapToGrid w:val="0"/>
              <w:spacing w:line="327" w:lineRule="auto"/>
              <w:jc w:val="left"/>
              <w:textAlignment w:val="baseline"/>
              <w:rPr>
                <w:rFonts w:ascii="Arial" w:hAnsi="Arial" w:eastAsia="Arial" w:cs="Arial"/>
                <w:snapToGrid w:val="0"/>
                <w:color w:val="000000"/>
                <w:kern w:val="0"/>
                <w:sz w:val="21"/>
                <w:lang w:eastAsia="en-US"/>
              </w:rPr>
            </w:pPr>
          </w:p>
          <w:p w14:paraId="42CC74CD">
            <w:pPr>
              <w:kinsoku w:val="0"/>
              <w:autoSpaceDE w:val="0"/>
              <w:autoSpaceDN w:val="0"/>
              <w:adjustRightInd w:val="0"/>
              <w:snapToGrid w:val="0"/>
              <w:spacing w:before="65" w:line="228" w:lineRule="auto"/>
              <w:ind w:left="341"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按要求设置</w:t>
            </w:r>
          </w:p>
        </w:tc>
        <w:tc>
          <w:tcPr>
            <w:tcW w:w="1710" w:type="dxa"/>
            <w:vAlign w:val="top"/>
          </w:tcPr>
          <w:p w14:paraId="02C86088">
            <w:pPr>
              <w:widowControl/>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lang w:eastAsia="en-US"/>
              </w:rPr>
            </w:pPr>
          </w:p>
          <w:p w14:paraId="356128A5">
            <w:pPr>
              <w:widowControl/>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lang w:eastAsia="en-US"/>
              </w:rPr>
            </w:pPr>
          </w:p>
          <w:p w14:paraId="7A356716">
            <w:pPr>
              <w:kinsoku w:val="0"/>
              <w:autoSpaceDE w:val="0"/>
              <w:autoSpaceDN w:val="0"/>
              <w:adjustRightInd w:val="0"/>
              <w:snapToGrid w:val="0"/>
              <w:spacing w:before="65"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E138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02" w:hRule="atLeast"/>
        </w:trPr>
        <w:tc>
          <w:tcPr>
            <w:tcW w:w="699" w:type="dxa"/>
            <w:vMerge w:val="continue"/>
            <w:vAlign w:val="top"/>
          </w:tcPr>
          <w:p w14:paraId="02E5CFE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79F5EE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D2AA091">
            <w:pPr>
              <w:kinsoku w:val="0"/>
              <w:autoSpaceDE w:val="0"/>
              <w:autoSpaceDN w:val="0"/>
              <w:adjustRightInd w:val="0"/>
              <w:snapToGrid w:val="0"/>
              <w:spacing w:before="32" w:line="251" w:lineRule="auto"/>
              <w:ind w:left="105" w:right="102" w:firstLine="8"/>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w:t>
            </w:r>
            <w:r>
              <w:rPr>
                <w:rFonts w:ascii="Times New Roman" w:hAnsi="Times New Roman" w:eastAsia="Times New Roman" w:cs="Times New Roman"/>
                <w:snapToGrid w:val="0"/>
                <w:color w:val="000000"/>
                <w:spacing w:val="4"/>
                <w:kern w:val="0"/>
                <w:sz w:val="20"/>
                <w:szCs w:val="20"/>
                <w:lang w:val="en-US" w:eastAsia="en-US" w:bidi="ar-SA"/>
              </w:rPr>
              <w:t>14</w:t>
            </w:r>
            <w:r>
              <w:rPr>
                <w:rFonts w:ascii="宋体" w:hAnsi="宋体" w:eastAsia="宋体" w:cs="宋体"/>
                <w:snapToGrid w:val="0"/>
                <w:color w:val="000000"/>
                <w:spacing w:val="4"/>
                <w:kern w:val="0"/>
                <w:sz w:val="20"/>
                <w:szCs w:val="20"/>
                <w:lang w:val="en-US" w:eastAsia="en-US" w:bidi="ar-SA"/>
              </w:rPr>
              <w:t>）</w:t>
            </w:r>
            <w:r>
              <w:rPr>
                <w:rFonts w:ascii="Times New Roman" w:hAnsi="Times New Roman" w:eastAsia="Times New Roman" w:cs="Times New Roman"/>
                <w:snapToGrid w:val="0"/>
                <w:color w:val="000000"/>
                <w:spacing w:val="4"/>
                <w:kern w:val="0"/>
                <w:sz w:val="20"/>
                <w:szCs w:val="20"/>
                <w:lang w:val="en-US" w:eastAsia="en-US" w:bidi="ar-SA"/>
              </w:rPr>
              <w:t>380/220V</w:t>
            </w:r>
            <w:r>
              <w:rPr>
                <w:rFonts w:ascii="宋体" w:hAnsi="宋体" w:eastAsia="宋体" w:cs="宋体"/>
                <w:snapToGrid w:val="0"/>
                <w:color w:val="000000"/>
                <w:spacing w:val="4"/>
                <w:kern w:val="0"/>
                <w:sz w:val="20"/>
                <w:szCs w:val="20"/>
                <w:lang w:val="en-US" w:eastAsia="en-US" w:bidi="ar-SA"/>
              </w:rPr>
              <w:t>供配电系统宜采用</w:t>
            </w:r>
            <w:r>
              <w:rPr>
                <w:rFonts w:ascii="Times New Roman" w:hAnsi="Times New Roman" w:eastAsia="Times New Roman" w:cs="Times New Roman"/>
                <w:snapToGrid w:val="0"/>
                <w:color w:val="000000"/>
                <w:kern w:val="0"/>
                <w:sz w:val="20"/>
                <w:szCs w:val="20"/>
                <w:lang w:val="en-US" w:eastAsia="en-US" w:bidi="ar-SA"/>
              </w:rPr>
              <w:t>TN</w:t>
            </w:r>
            <w:r>
              <w:rPr>
                <w:rFonts w:ascii="Times New Roman" w:hAnsi="Times New Roman" w:eastAsia="Times New Roman" w:cs="Times New Roman"/>
                <w:snapToGrid w:val="0"/>
                <w:color w:val="000000"/>
                <w:spacing w:val="4"/>
                <w:kern w:val="0"/>
                <w:sz w:val="20"/>
                <w:szCs w:val="20"/>
                <w:lang w:val="en-US" w:eastAsia="en-US" w:bidi="ar-SA"/>
              </w:rPr>
              <w:t>-S</w:t>
            </w:r>
            <w:r>
              <w:rPr>
                <w:rFonts w:ascii="宋体" w:hAnsi="宋体" w:eastAsia="宋体" w:cs="宋体"/>
                <w:snapToGrid w:val="0"/>
                <w:color w:val="000000"/>
                <w:spacing w:val="4"/>
                <w:kern w:val="0"/>
                <w:sz w:val="20"/>
                <w:szCs w:val="20"/>
                <w:lang w:val="en-US" w:eastAsia="en-US" w:bidi="ar-SA"/>
              </w:rPr>
              <w:t>系统，当外供</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10"/>
                <w:kern w:val="0"/>
                <w:sz w:val="20"/>
                <w:szCs w:val="20"/>
                <w:lang w:val="en-US" w:eastAsia="en-US" w:bidi="ar-SA"/>
              </w:rPr>
              <w:t>电源为</w:t>
            </w:r>
            <w:r>
              <w:rPr>
                <w:rFonts w:ascii="Times New Roman" w:hAnsi="Times New Roman" w:eastAsia="Times New Roman" w:cs="Times New Roman"/>
                <w:snapToGrid w:val="0"/>
                <w:color w:val="000000"/>
                <w:spacing w:val="10"/>
                <w:kern w:val="0"/>
                <w:sz w:val="20"/>
                <w:szCs w:val="20"/>
                <w:lang w:val="en-US" w:eastAsia="en-US" w:bidi="ar-SA"/>
              </w:rPr>
              <w:t>380V</w:t>
            </w:r>
            <w:r>
              <w:rPr>
                <w:rFonts w:ascii="Times New Roman" w:hAnsi="Times New Roman" w:eastAsia="Times New Roman" w:cs="Times New Roman"/>
                <w:snapToGrid w:val="0"/>
                <w:color w:val="000000"/>
                <w:spacing w:val="33"/>
                <w:kern w:val="0"/>
                <w:sz w:val="20"/>
                <w:szCs w:val="20"/>
                <w:lang w:val="en-US" w:eastAsia="en-US" w:bidi="ar-SA"/>
              </w:rPr>
              <w:t xml:space="preserve"> </w:t>
            </w:r>
            <w:r>
              <w:rPr>
                <w:rFonts w:ascii="宋体" w:hAnsi="宋体" w:eastAsia="宋体" w:cs="宋体"/>
                <w:snapToGrid w:val="0"/>
                <w:color w:val="000000"/>
                <w:spacing w:val="10"/>
                <w:kern w:val="0"/>
                <w:sz w:val="20"/>
                <w:szCs w:val="20"/>
                <w:lang w:val="en-US" w:eastAsia="en-US" w:bidi="ar-SA"/>
              </w:rPr>
              <w:t>时，可采用</w:t>
            </w:r>
            <w:r>
              <w:rPr>
                <w:rFonts w:ascii="Times New Roman" w:hAnsi="Times New Roman" w:eastAsia="Times New Roman" w:cs="Times New Roman"/>
                <w:snapToGrid w:val="0"/>
                <w:color w:val="000000"/>
                <w:kern w:val="0"/>
                <w:sz w:val="20"/>
                <w:szCs w:val="20"/>
                <w:lang w:val="en-US" w:eastAsia="en-US" w:bidi="ar-SA"/>
              </w:rPr>
              <w:t>TN</w:t>
            </w:r>
            <w:r>
              <w:rPr>
                <w:rFonts w:ascii="Times New Roman" w:hAnsi="Times New Roman" w:eastAsia="Times New Roman" w:cs="Times New Roman"/>
                <w:snapToGrid w:val="0"/>
                <w:color w:val="000000"/>
                <w:spacing w:val="10"/>
                <w:kern w:val="0"/>
                <w:sz w:val="20"/>
                <w:szCs w:val="20"/>
                <w:lang w:val="en-US" w:eastAsia="en-US" w:bidi="ar-SA"/>
              </w:rPr>
              <w:t>-C-S</w:t>
            </w:r>
            <w:r>
              <w:rPr>
                <w:rFonts w:ascii="宋体" w:hAnsi="宋体" w:eastAsia="宋体" w:cs="宋体"/>
                <w:snapToGrid w:val="0"/>
                <w:color w:val="000000"/>
                <w:spacing w:val="10"/>
                <w:kern w:val="0"/>
                <w:sz w:val="20"/>
                <w:szCs w:val="20"/>
                <w:lang w:val="en-US" w:eastAsia="en-US" w:bidi="ar-SA"/>
              </w:rPr>
              <w:t>系统。供电系统的电</w:t>
            </w:r>
            <w:r>
              <w:rPr>
                <w:rFonts w:ascii="宋体" w:hAnsi="宋体" w:eastAsia="宋体" w:cs="宋体"/>
                <w:snapToGrid w:val="0"/>
                <w:color w:val="000000"/>
                <w:spacing w:val="6"/>
                <w:kern w:val="0"/>
                <w:sz w:val="20"/>
                <w:szCs w:val="20"/>
                <w:lang w:val="en-US" w:eastAsia="en-US" w:bidi="ar-SA"/>
              </w:rPr>
              <w:t>缆金属外皮或电缆金属保护管两端均应接地，在供配电</w:t>
            </w:r>
            <w:r>
              <w:rPr>
                <w:rFonts w:ascii="宋体" w:hAnsi="宋体" w:eastAsia="宋体" w:cs="宋体"/>
                <w:snapToGrid w:val="0"/>
                <w:color w:val="000000"/>
                <w:spacing w:val="15"/>
                <w:kern w:val="0"/>
                <w:sz w:val="20"/>
                <w:szCs w:val="20"/>
                <w:lang w:val="en-US" w:eastAsia="en-US" w:bidi="ar-SA"/>
              </w:rPr>
              <w:t xml:space="preserve"> 系统的电源端应安装与设备耐压水平相适应的过电压</w:t>
            </w:r>
            <w:r>
              <w:rPr>
                <w:rFonts w:ascii="宋体" w:hAnsi="宋体" w:eastAsia="宋体" w:cs="宋体"/>
                <w:snapToGrid w:val="0"/>
                <w:color w:val="000000"/>
                <w:spacing w:val="7"/>
                <w:kern w:val="0"/>
                <w:sz w:val="20"/>
                <w:szCs w:val="20"/>
                <w:lang w:val="en-US" w:eastAsia="en-US" w:bidi="ar-SA"/>
              </w:rPr>
              <w:t>（电涌）保护器。</w:t>
            </w:r>
          </w:p>
        </w:tc>
        <w:tc>
          <w:tcPr>
            <w:tcW w:w="1710" w:type="dxa"/>
            <w:vAlign w:val="top"/>
          </w:tcPr>
          <w:p w14:paraId="4E3B45B9">
            <w:pPr>
              <w:widowControl/>
              <w:kinsoku w:val="0"/>
              <w:autoSpaceDE w:val="0"/>
              <w:autoSpaceDN w:val="0"/>
              <w:adjustRightInd w:val="0"/>
              <w:snapToGrid w:val="0"/>
              <w:spacing w:line="415" w:lineRule="auto"/>
              <w:jc w:val="left"/>
              <w:textAlignment w:val="baseline"/>
              <w:rPr>
                <w:rFonts w:ascii="Arial" w:hAnsi="Arial" w:eastAsia="Arial" w:cs="Arial"/>
                <w:snapToGrid w:val="0"/>
                <w:color w:val="000000"/>
                <w:kern w:val="0"/>
                <w:sz w:val="21"/>
                <w:lang w:eastAsia="en-US"/>
              </w:rPr>
            </w:pPr>
          </w:p>
          <w:p w14:paraId="25934B3E">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设置合适的过电</w:t>
            </w:r>
            <w:r>
              <w:rPr>
                <w:rFonts w:ascii="宋体" w:hAnsi="宋体" w:eastAsia="宋体" w:cs="宋体"/>
                <w:snapToGrid w:val="0"/>
                <w:color w:val="000000"/>
                <w:spacing w:val="7"/>
                <w:kern w:val="0"/>
                <w:sz w:val="20"/>
                <w:szCs w:val="20"/>
                <w:lang w:val="en-US" w:eastAsia="en-US" w:bidi="ar-SA"/>
              </w:rPr>
              <w:t>压保护器</w:t>
            </w:r>
          </w:p>
        </w:tc>
        <w:tc>
          <w:tcPr>
            <w:tcW w:w="1710" w:type="dxa"/>
            <w:vAlign w:val="top"/>
          </w:tcPr>
          <w:p w14:paraId="7E60D479">
            <w:pPr>
              <w:widowControl/>
              <w:kinsoku w:val="0"/>
              <w:autoSpaceDE w:val="0"/>
              <w:autoSpaceDN w:val="0"/>
              <w:adjustRightInd w:val="0"/>
              <w:snapToGrid w:val="0"/>
              <w:spacing w:line="415" w:lineRule="auto"/>
              <w:jc w:val="left"/>
              <w:textAlignment w:val="baseline"/>
              <w:rPr>
                <w:rFonts w:ascii="Arial" w:hAnsi="Arial" w:eastAsia="Arial" w:cs="Arial"/>
                <w:snapToGrid w:val="0"/>
                <w:color w:val="000000"/>
                <w:kern w:val="0"/>
                <w:sz w:val="21"/>
                <w:lang w:eastAsia="en-US"/>
              </w:rPr>
            </w:pPr>
          </w:p>
          <w:p w14:paraId="342BCDF4">
            <w:pPr>
              <w:kinsoku w:val="0"/>
              <w:autoSpaceDE w:val="0"/>
              <w:autoSpaceDN w:val="0"/>
              <w:adjustRightInd w:val="0"/>
              <w:snapToGrid w:val="0"/>
              <w:spacing w:before="65"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8167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4" w:hRule="atLeast"/>
        </w:trPr>
        <w:tc>
          <w:tcPr>
            <w:tcW w:w="699" w:type="dxa"/>
            <w:vMerge w:val="continue"/>
            <w:vAlign w:val="top"/>
          </w:tcPr>
          <w:p w14:paraId="0949AAB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98722A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56F4AD1">
            <w:pPr>
              <w:kinsoku w:val="0"/>
              <w:autoSpaceDE w:val="0"/>
              <w:autoSpaceDN w:val="0"/>
              <w:adjustRightInd w:val="0"/>
              <w:snapToGrid w:val="0"/>
              <w:spacing w:before="206" w:line="243" w:lineRule="auto"/>
              <w:ind w:left="103" w:right="102"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15</w:t>
            </w:r>
            <w:r>
              <w:rPr>
                <w:rFonts w:ascii="宋体" w:hAnsi="宋体" w:eastAsia="宋体" w:cs="宋体"/>
                <w:snapToGrid w:val="0"/>
                <w:color w:val="000000"/>
                <w:spacing w:val="6"/>
                <w:kern w:val="0"/>
                <w:sz w:val="20"/>
                <w:szCs w:val="20"/>
                <w:lang w:val="en-US" w:eastAsia="en-US" w:bidi="ar-SA"/>
              </w:rPr>
              <w:t>）加油站应设置紧急切断系统，该系统应能在事故</w:t>
            </w:r>
            <w:r>
              <w:rPr>
                <w:rFonts w:ascii="宋体" w:hAnsi="宋体" w:eastAsia="宋体" w:cs="宋体"/>
                <w:snapToGrid w:val="0"/>
                <w:color w:val="000000"/>
                <w:spacing w:val="9"/>
                <w:kern w:val="0"/>
                <w:sz w:val="20"/>
                <w:szCs w:val="20"/>
                <w:lang w:val="en-US" w:eastAsia="en-US" w:bidi="ar-SA"/>
              </w:rPr>
              <w:t>状态下实现紧急停车和关闭紧急切断阀的保护功能。</w:t>
            </w:r>
          </w:p>
        </w:tc>
        <w:tc>
          <w:tcPr>
            <w:tcW w:w="1710" w:type="dxa"/>
            <w:vAlign w:val="top"/>
          </w:tcPr>
          <w:p w14:paraId="12C90629">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站房外墙和营业</w:t>
            </w:r>
          </w:p>
          <w:p w14:paraId="700FF99C">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厅设置有紧急停</w:t>
            </w:r>
          </w:p>
          <w:p w14:paraId="2DC19248">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车按钮</w:t>
            </w:r>
          </w:p>
        </w:tc>
        <w:tc>
          <w:tcPr>
            <w:tcW w:w="1710" w:type="dxa"/>
            <w:vAlign w:val="top"/>
          </w:tcPr>
          <w:p w14:paraId="7BBCB4B5">
            <w:pPr>
              <w:kinsoku w:val="0"/>
              <w:autoSpaceDE w:val="0"/>
              <w:autoSpaceDN w:val="0"/>
              <w:adjustRightInd w:val="0"/>
              <w:snapToGrid w:val="0"/>
              <w:spacing w:before="207" w:line="243"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2BC1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4" w:hRule="atLeast"/>
        </w:trPr>
        <w:tc>
          <w:tcPr>
            <w:tcW w:w="699" w:type="dxa"/>
            <w:vMerge w:val="continue"/>
            <w:vAlign w:val="top"/>
          </w:tcPr>
          <w:p w14:paraId="2F55ED0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5EDB48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1D418D4">
            <w:pPr>
              <w:kinsoku w:val="0"/>
              <w:autoSpaceDE w:val="0"/>
              <w:autoSpaceDN w:val="0"/>
              <w:adjustRightInd w:val="0"/>
              <w:snapToGrid w:val="0"/>
              <w:spacing w:before="68" w:line="243" w:lineRule="auto"/>
              <w:ind w:left="107" w:right="102" w:firstLine="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16</w:t>
            </w:r>
            <w:r>
              <w:rPr>
                <w:rFonts w:ascii="宋体" w:hAnsi="宋体" w:eastAsia="宋体" w:cs="宋体"/>
                <w:snapToGrid w:val="0"/>
                <w:color w:val="000000"/>
                <w:spacing w:val="6"/>
                <w:kern w:val="0"/>
                <w:sz w:val="20"/>
                <w:szCs w:val="20"/>
                <w:lang w:val="en-US" w:eastAsia="en-US" w:bidi="ar-SA"/>
              </w:rPr>
              <w:t>）紧急切断系统应至少在下列位置设置紧急切断开</w:t>
            </w:r>
            <w:r>
              <w:rPr>
                <w:rFonts w:ascii="宋体" w:hAnsi="宋体" w:eastAsia="宋体" w:cs="宋体"/>
                <w:snapToGrid w:val="0"/>
                <w:color w:val="000000"/>
                <w:spacing w:val="1"/>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关：</w:t>
            </w:r>
          </w:p>
          <w:p w14:paraId="431B56AF">
            <w:pPr>
              <w:kinsoku w:val="0"/>
              <w:autoSpaceDE w:val="0"/>
              <w:autoSpaceDN w:val="0"/>
              <w:adjustRightInd w:val="0"/>
              <w:snapToGrid w:val="0"/>
              <w:spacing w:before="32" w:line="242" w:lineRule="auto"/>
              <w:ind w:left="99" w:right="102" w:firstLine="20"/>
              <w:jc w:val="left"/>
              <w:textAlignment w:val="baseline"/>
              <w:rPr>
                <w:rFonts w:hint="eastAsia" w:ascii="宋体" w:hAnsi="宋体" w:eastAsia="宋体" w:cs="宋体"/>
                <w:snapToGrid w:val="0"/>
                <w:color w:val="000000"/>
                <w:spacing w:val="7"/>
                <w:kern w:val="0"/>
                <w:sz w:val="20"/>
                <w:szCs w:val="20"/>
                <w:lang w:val="en-US" w:eastAsia="zh-CN" w:bidi="ar-SA"/>
              </w:rPr>
            </w:pPr>
            <w:r>
              <w:rPr>
                <w:rFonts w:ascii="Times New Roman" w:hAnsi="Times New Roman" w:eastAsia="Times New Roman" w:cs="Times New Roman"/>
                <w:snapToGrid w:val="0"/>
                <w:color w:val="000000"/>
                <w:spacing w:val="8"/>
                <w:kern w:val="0"/>
                <w:sz w:val="20"/>
                <w:szCs w:val="20"/>
                <w:lang w:val="en-US" w:eastAsia="en-US" w:bidi="ar-SA"/>
              </w:rPr>
              <w:t>1.</w:t>
            </w:r>
            <w:r>
              <w:rPr>
                <w:rFonts w:ascii="宋体" w:hAnsi="宋体" w:eastAsia="宋体" w:cs="宋体"/>
                <w:snapToGrid w:val="0"/>
                <w:color w:val="000000"/>
                <w:spacing w:val="8"/>
                <w:kern w:val="0"/>
                <w:sz w:val="20"/>
                <w:szCs w:val="20"/>
                <w:lang w:val="en-US" w:eastAsia="en-US" w:bidi="ar-SA"/>
              </w:rPr>
              <w:t>在加油站现场工作人员容易接近且较为安</w:t>
            </w:r>
            <w:r>
              <w:rPr>
                <w:rFonts w:ascii="宋体" w:hAnsi="宋体" w:eastAsia="宋体" w:cs="宋体"/>
                <w:snapToGrid w:val="0"/>
                <w:color w:val="000000"/>
                <w:spacing w:val="7"/>
                <w:kern w:val="0"/>
                <w:sz w:val="20"/>
                <w:szCs w:val="20"/>
                <w:lang w:val="en-US" w:eastAsia="en-US" w:bidi="ar-SA"/>
              </w:rPr>
              <w:t>全的位置</w:t>
            </w:r>
            <w:r>
              <w:rPr>
                <w:rFonts w:hint="eastAsia" w:ascii="宋体" w:hAnsi="宋体" w:eastAsia="宋体" w:cs="宋体"/>
                <w:snapToGrid w:val="0"/>
                <w:color w:val="000000"/>
                <w:spacing w:val="7"/>
                <w:kern w:val="0"/>
                <w:sz w:val="20"/>
                <w:szCs w:val="20"/>
                <w:lang w:val="en-US" w:eastAsia="zh-CN" w:bidi="ar-SA"/>
              </w:rPr>
              <w:t>。</w:t>
            </w:r>
          </w:p>
          <w:p w14:paraId="360378C1">
            <w:pPr>
              <w:kinsoku w:val="0"/>
              <w:autoSpaceDE w:val="0"/>
              <w:autoSpaceDN w:val="0"/>
              <w:adjustRightInd w:val="0"/>
              <w:snapToGrid w:val="0"/>
              <w:spacing w:before="32" w:line="242" w:lineRule="auto"/>
              <w:ind w:left="99" w:right="102" w:firstLine="20"/>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在控制室、值班室内或站房收银台等有人员值守的位</w:t>
            </w:r>
            <w:r>
              <w:rPr>
                <w:rFonts w:ascii="宋体" w:hAnsi="宋体" w:eastAsia="宋体" w:cs="宋体"/>
                <w:snapToGrid w:val="0"/>
                <w:color w:val="000000"/>
                <w:spacing w:val="2"/>
                <w:kern w:val="0"/>
                <w:sz w:val="20"/>
                <w:szCs w:val="20"/>
                <w:lang w:val="en-US" w:eastAsia="en-US" w:bidi="ar-SA"/>
              </w:rPr>
              <w:t>置。</w:t>
            </w:r>
          </w:p>
        </w:tc>
        <w:tc>
          <w:tcPr>
            <w:tcW w:w="1710" w:type="dxa"/>
            <w:vAlign w:val="top"/>
          </w:tcPr>
          <w:p w14:paraId="24A46BFD">
            <w:pPr>
              <w:widowControl/>
              <w:kinsoku w:val="0"/>
              <w:autoSpaceDE w:val="0"/>
              <w:autoSpaceDN w:val="0"/>
              <w:adjustRightInd w:val="0"/>
              <w:snapToGrid w:val="0"/>
              <w:spacing w:line="280" w:lineRule="auto"/>
              <w:jc w:val="left"/>
              <w:textAlignment w:val="baseline"/>
              <w:rPr>
                <w:rFonts w:ascii="Arial" w:hAnsi="Arial" w:eastAsia="Arial" w:cs="Arial"/>
                <w:snapToGrid w:val="0"/>
                <w:color w:val="000000"/>
                <w:kern w:val="0"/>
                <w:sz w:val="21"/>
                <w:lang w:eastAsia="en-US"/>
              </w:rPr>
            </w:pPr>
          </w:p>
          <w:p w14:paraId="132F965F">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营业厅和站房外</w:t>
            </w:r>
          </w:p>
          <w:p w14:paraId="17CBB56C">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安装紧急切断按</w:t>
            </w:r>
          </w:p>
          <w:p w14:paraId="76D5B848">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钮</w:t>
            </w:r>
          </w:p>
        </w:tc>
        <w:tc>
          <w:tcPr>
            <w:tcW w:w="1710" w:type="dxa"/>
            <w:vAlign w:val="top"/>
          </w:tcPr>
          <w:p w14:paraId="35A5FA91">
            <w:pPr>
              <w:widowControl/>
              <w:kinsoku w:val="0"/>
              <w:autoSpaceDE w:val="0"/>
              <w:autoSpaceDN w:val="0"/>
              <w:adjustRightInd w:val="0"/>
              <w:snapToGrid w:val="0"/>
              <w:spacing w:line="420" w:lineRule="auto"/>
              <w:jc w:val="left"/>
              <w:textAlignment w:val="baseline"/>
              <w:rPr>
                <w:rFonts w:ascii="Arial" w:hAnsi="Arial" w:eastAsia="Arial" w:cs="Arial"/>
                <w:snapToGrid w:val="0"/>
                <w:color w:val="000000"/>
                <w:kern w:val="0"/>
                <w:sz w:val="21"/>
                <w:lang w:eastAsia="en-US"/>
              </w:rPr>
            </w:pPr>
          </w:p>
          <w:p w14:paraId="46BC4CA4">
            <w:pPr>
              <w:kinsoku w:val="0"/>
              <w:autoSpaceDE w:val="0"/>
              <w:autoSpaceDN w:val="0"/>
              <w:adjustRightInd w:val="0"/>
              <w:snapToGrid w:val="0"/>
              <w:spacing w:before="65" w:line="243"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4982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6" w:hRule="atLeast"/>
        </w:trPr>
        <w:tc>
          <w:tcPr>
            <w:tcW w:w="699" w:type="dxa"/>
            <w:vAlign w:val="top"/>
          </w:tcPr>
          <w:p w14:paraId="5F00552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Align w:val="top"/>
          </w:tcPr>
          <w:p w14:paraId="614F20C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1A33ED1">
            <w:pPr>
              <w:kinsoku w:val="0"/>
              <w:autoSpaceDE w:val="0"/>
              <w:autoSpaceDN w:val="0"/>
              <w:adjustRightInd w:val="0"/>
              <w:snapToGrid w:val="0"/>
              <w:spacing w:before="48" w:line="234" w:lineRule="auto"/>
              <w:ind w:left="130" w:right="99" w:hanging="1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17</w:t>
            </w:r>
            <w:r>
              <w:rPr>
                <w:rFonts w:ascii="宋体" w:hAnsi="宋体" w:eastAsia="宋体" w:cs="宋体"/>
                <w:snapToGrid w:val="0"/>
                <w:color w:val="000000"/>
                <w:spacing w:val="6"/>
                <w:kern w:val="0"/>
                <w:sz w:val="20"/>
                <w:szCs w:val="20"/>
                <w:lang w:val="en-US" w:eastAsia="en-US" w:bidi="ar-SA"/>
              </w:rPr>
              <w:t>）工艺设备的电源和工艺管道上的紧急切断阀应能</w:t>
            </w:r>
            <w:r>
              <w:rPr>
                <w:rFonts w:ascii="宋体" w:hAnsi="宋体" w:eastAsia="宋体" w:cs="宋体"/>
                <w:snapToGrid w:val="0"/>
                <w:color w:val="000000"/>
                <w:spacing w:val="7"/>
                <w:kern w:val="0"/>
                <w:sz w:val="20"/>
                <w:szCs w:val="20"/>
                <w:lang w:val="en-US" w:eastAsia="en-US" w:bidi="ar-SA"/>
              </w:rPr>
              <w:t>由手动启动的远程控制切断系统操纵关闭</w:t>
            </w:r>
          </w:p>
        </w:tc>
        <w:tc>
          <w:tcPr>
            <w:tcW w:w="1710" w:type="dxa"/>
            <w:vAlign w:val="top"/>
          </w:tcPr>
          <w:p w14:paraId="45516A82">
            <w:pPr>
              <w:kinsoku w:val="0"/>
              <w:autoSpaceDE w:val="0"/>
              <w:autoSpaceDN w:val="0"/>
              <w:adjustRightInd w:val="0"/>
              <w:snapToGrid w:val="0"/>
              <w:spacing w:before="190" w:line="229" w:lineRule="auto"/>
              <w:ind w:left="132"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可以由手动启动</w:t>
            </w:r>
          </w:p>
        </w:tc>
        <w:tc>
          <w:tcPr>
            <w:tcW w:w="1710" w:type="dxa"/>
            <w:vAlign w:val="top"/>
          </w:tcPr>
          <w:p w14:paraId="35B63FCD">
            <w:pPr>
              <w:kinsoku w:val="0"/>
              <w:autoSpaceDE w:val="0"/>
              <w:autoSpaceDN w:val="0"/>
              <w:adjustRightInd w:val="0"/>
              <w:snapToGrid w:val="0"/>
              <w:spacing w:before="48" w:line="234"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419B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restart"/>
            <w:vAlign w:val="top"/>
          </w:tcPr>
          <w:p w14:paraId="5C650697">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C7AD272">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6F55AA2D">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8571DD9">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12FAE9E7">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B5756E1">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17FE3D9C">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09CC8A94">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19BE189C">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6766D5F8">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51CBCCB5">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7D7CE0E4">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21041D3">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7F205F36">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5A5ED52F">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535DBB0E">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4B6ABDA4">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61F47CCB">
            <w:pPr>
              <w:widowControl/>
              <w:kinsoku w:val="0"/>
              <w:autoSpaceDE w:val="0"/>
              <w:autoSpaceDN w:val="0"/>
              <w:adjustRightInd w:val="0"/>
              <w:snapToGrid w:val="0"/>
              <w:spacing w:line="245" w:lineRule="auto"/>
              <w:jc w:val="left"/>
              <w:textAlignment w:val="baseline"/>
              <w:rPr>
                <w:rFonts w:ascii="Arial" w:hAnsi="Arial" w:eastAsia="Arial" w:cs="Arial"/>
                <w:snapToGrid w:val="0"/>
                <w:color w:val="000000"/>
                <w:kern w:val="0"/>
                <w:sz w:val="21"/>
                <w:lang w:eastAsia="en-US"/>
              </w:rPr>
            </w:pPr>
          </w:p>
          <w:p w14:paraId="0D837C01">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319C6168">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7E644872">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72F519B1">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7B3FA44D">
            <w:pPr>
              <w:widowControl/>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lang w:eastAsia="en-US"/>
              </w:rPr>
            </w:pPr>
          </w:p>
          <w:p w14:paraId="333AB086">
            <w:pPr>
              <w:widowControl/>
              <w:kinsoku w:val="0"/>
              <w:autoSpaceDE w:val="0"/>
              <w:autoSpaceDN w:val="0"/>
              <w:adjustRightInd w:val="0"/>
              <w:snapToGrid w:val="0"/>
              <w:spacing w:before="57" w:line="192" w:lineRule="auto"/>
              <w:ind w:left="225"/>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5</w:t>
            </w:r>
          </w:p>
        </w:tc>
        <w:tc>
          <w:tcPr>
            <w:tcW w:w="625" w:type="dxa"/>
            <w:vMerge w:val="restart"/>
            <w:vAlign w:val="top"/>
          </w:tcPr>
          <w:p w14:paraId="0009D4DA">
            <w:pPr>
              <w:widowControl/>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lang w:eastAsia="en-US"/>
              </w:rPr>
            </w:pPr>
          </w:p>
          <w:p w14:paraId="70354985">
            <w:pPr>
              <w:widowControl/>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lang w:eastAsia="en-US"/>
              </w:rPr>
            </w:pPr>
          </w:p>
          <w:p w14:paraId="10769521">
            <w:pPr>
              <w:widowControl/>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lang w:eastAsia="en-US"/>
              </w:rPr>
            </w:pPr>
          </w:p>
          <w:p w14:paraId="178391EC">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208FD835">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396F43E0">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021F7599">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3E685805">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66C22F8F">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3A22B187">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0261C199">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491885CD">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50CE8A72">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1AE7779E">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187832E1">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70665557">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45AEEA1F">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24B3BA26">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7ABD816D">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5B444C34">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7F61B66C">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50E3A3CB">
            <w:pPr>
              <w:widowControl/>
              <w:kinsoku w:val="0"/>
              <w:autoSpaceDE w:val="0"/>
              <w:autoSpaceDN w:val="0"/>
              <w:adjustRightInd w:val="0"/>
              <w:snapToGrid w:val="0"/>
              <w:spacing w:line="248" w:lineRule="auto"/>
              <w:jc w:val="left"/>
              <w:textAlignment w:val="baseline"/>
              <w:rPr>
                <w:rFonts w:ascii="Arial" w:hAnsi="Arial" w:eastAsia="Arial" w:cs="Arial"/>
                <w:snapToGrid w:val="0"/>
                <w:color w:val="000000"/>
                <w:kern w:val="0"/>
                <w:sz w:val="21"/>
                <w:lang w:eastAsia="en-US"/>
              </w:rPr>
            </w:pPr>
          </w:p>
          <w:p w14:paraId="4848E326">
            <w:pPr>
              <w:kinsoku w:val="0"/>
              <w:autoSpaceDE w:val="0"/>
              <w:autoSpaceDN w:val="0"/>
              <w:adjustRightInd w:val="0"/>
              <w:snapToGrid w:val="0"/>
              <w:spacing w:before="65" w:line="245" w:lineRule="auto"/>
              <w:ind w:left="166" w:right="17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2"/>
                <w:kern w:val="0"/>
                <w:sz w:val="20"/>
                <w:szCs w:val="20"/>
                <w:lang w:val="en-US" w:eastAsia="en-US" w:bidi="ar-SA"/>
              </w:rPr>
              <w:t>消防</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设施</w:t>
            </w:r>
          </w:p>
        </w:tc>
        <w:tc>
          <w:tcPr>
            <w:tcW w:w="4745" w:type="dxa"/>
            <w:gridSpan w:val="2"/>
            <w:vAlign w:val="top"/>
          </w:tcPr>
          <w:p w14:paraId="41789FDE">
            <w:pPr>
              <w:kinsoku w:val="0"/>
              <w:autoSpaceDE w:val="0"/>
              <w:autoSpaceDN w:val="0"/>
              <w:adjustRightInd w:val="0"/>
              <w:snapToGrid w:val="0"/>
              <w:spacing w:before="17" w:line="250" w:lineRule="auto"/>
              <w:ind w:left="104" w:right="97"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2"/>
                <w:kern w:val="0"/>
                <w:sz w:val="20"/>
                <w:szCs w:val="20"/>
                <w:lang w:val="en-US" w:eastAsia="en-US" w:bidi="ar-SA"/>
              </w:rPr>
              <w:t>（</w:t>
            </w:r>
            <w:r>
              <w:rPr>
                <w:rFonts w:ascii="Times New Roman" w:hAnsi="Times New Roman" w:eastAsia="Times New Roman" w:cs="Times New Roman"/>
                <w:snapToGrid w:val="0"/>
                <w:color w:val="000000"/>
                <w:spacing w:val="12"/>
                <w:kern w:val="0"/>
                <w:sz w:val="20"/>
                <w:szCs w:val="20"/>
                <w:lang w:val="en-US" w:eastAsia="en-US" w:bidi="ar-SA"/>
              </w:rPr>
              <w:t>1</w:t>
            </w:r>
            <w:r>
              <w:rPr>
                <w:rFonts w:ascii="宋体" w:hAnsi="宋体" w:eastAsia="宋体" w:cs="宋体"/>
                <w:snapToGrid w:val="0"/>
                <w:color w:val="000000"/>
                <w:spacing w:val="12"/>
                <w:kern w:val="0"/>
                <w:sz w:val="20"/>
                <w:szCs w:val="20"/>
                <w:lang w:val="en-US" w:eastAsia="en-US" w:bidi="ar-SA"/>
              </w:rPr>
              <w:t>）加油站每</w:t>
            </w:r>
            <w:r>
              <w:rPr>
                <w:rFonts w:ascii="Times New Roman" w:hAnsi="Times New Roman" w:eastAsia="Times New Roman" w:cs="Times New Roman"/>
                <w:snapToGrid w:val="0"/>
                <w:color w:val="000000"/>
                <w:spacing w:val="12"/>
                <w:kern w:val="0"/>
                <w:sz w:val="20"/>
                <w:szCs w:val="20"/>
                <w:lang w:val="en-US" w:eastAsia="en-US" w:bidi="ar-SA"/>
              </w:rPr>
              <w:t>2</w:t>
            </w:r>
            <w:r>
              <w:rPr>
                <w:rFonts w:ascii="宋体" w:hAnsi="宋体" w:eastAsia="宋体" w:cs="宋体"/>
                <w:snapToGrid w:val="0"/>
                <w:color w:val="000000"/>
                <w:spacing w:val="12"/>
                <w:kern w:val="0"/>
                <w:sz w:val="20"/>
                <w:szCs w:val="20"/>
                <w:lang w:val="en-US" w:eastAsia="en-US" w:bidi="ar-SA"/>
              </w:rPr>
              <w:t>台加油机设置不少于</w:t>
            </w:r>
            <w:r>
              <w:rPr>
                <w:rFonts w:ascii="Times New Roman" w:hAnsi="Times New Roman" w:eastAsia="Times New Roman" w:cs="Times New Roman"/>
                <w:snapToGrid w:val="0"/>
                <w:color w:val="000000"/>
                <w:spacing w:val="12"/>
                <w:kern w:val="0"/>
                <w:sz w:val="20"/>
                <w:szCs w:val="20"/>
                <w:lang w:val="en-US" w:eastAsia="en-US" w:bidi="ar-SA"/>
              </w:rPr>
              <w:t>2</w:t>
            </w:r>
            <w:r>
              <w:rPr>
                <w:rFonts w:ascii="宋体" w:hAnsi="宋体" w:eastAsia="宋体" w:cs="宋体"/>
                <w:snapToGrid w:val="0"/>
                <w:color w:val="000000"/>
                <w:spacing w:val="12"/>
                <w:kern w:val="0"/>
                <w:sz w:val="20"/>
                <w:szCs w:val="20"/>
                <w:lang w:val="en-US" w:eastAsia="en-US" w:bidi="ar-SA"/>
              </w:rPr>
              <w:t>只</w:t>
            </w:r>
            <w:r>
              <w:rPr>
                <w:rFonts w:ascii="Times New Roman" w:hAnsi="Times New Roman" w:eastAsia="Times New Roman" w:cs="Times New Roman"/>
                <w:snapToGrid w:val="0"/>
                <w:color w:val="000000"/>
                <w:spacing w:val="12"/>
                <w:kern w:val="0"/>
                <w:sz w:val="20"/>
                <w:szCs w:val="20"/>
                <w:lang w:val="en-US" w:eastAsia="en-US" w:bidi="ar-SA"/>
              </w:rPr>
              <w:t>4</w:t>
            </w:r>
            <w:r>
              <w:rPr>
                <w:rFonts w:ascii="Times New Roman" w:hAnsi="Times New Roman" w:eastAsia="Times New Roman" w:cs="Times New Roman"/>
                <w:snapToGrid w:val="0"/>
                <w:color w:val="000000"/>
                <w:kern w:val="0"/>
                <w:sz w:val="20"/>
                <w:szCs w:val="20"/>
                <w:lang w:val="en-US" w:eastAsia="en-US" w:bidi="ar-SA"/>
              </w:rPr>
              <w:t>kg</w:t>
            </w:r>
            <w:r>
              <w:rPr>
                <w:rFonts w:ascii="宋体" w:hAnsi="宋体" w:eastAsia="宋体" w:cs="宋体"/>
                <w:snapToGrid w:val="0"/>
                <w:color w:val="000000"/>
                <w:spacing w:val="11"/>
                <w:kern w:val="0"/>
                <w:sz w:val="20"/>
                <w:szCs w:val="20"/>
                <w:lang w:val="en-US" w:eastAsia="en-US" w:bidi="ar-SA"/>
              </w:rPr>
              <w:t>手提式干</w:t>
            </w:r>
            <w:r>
              <w:rPr>
                <w:rFonts w:ascii="宋体" w:hAnsi="宋体" w:eastAsia="宋体" w:cs="宋体"/>
                <w:snapToGrid w:val="0"/>
                <w:color w:val="000000"/>
                <w:spacing w:val="12"/>
                <w:kern w:val="0"/>
                <w:sz w:val="20"/>
                <w:szCs w:val="20"/>
                <w:lang w:val="en-US" w:eastAsia="en-US" w:bidi="ar-SA"/>
              </w:rPr>
              <w:t>粉灭火器或</w:t>
            </w:r>
            <w:r>
              <w:rPr>
                <w:rFonts w:ascii="Times New Roman" w:hAnsi="Times New Roman" w:eastAsia="Times New Roman" w:cs="Times New Roman"/>
                <w:snapToGrid w:val="0"/>
                <w:color w:val="000000"/>
                <w:spacing w:val="12"/>
                <w:kern w:val="0"/>
                <w:sz w:val="20"/>
                <w:szCs w:val="20"/>
                <w:lang w:val="en-US" w:eastAsia="en-US" w:bidi="ar-SA"/>
              </w:rPr>
              <w:t>1</w:t>
            </w:r>
            <w:r>
              <w:rPr>
                <w:rFonts w:ascii="宋体" w:hAnsi="宋体" w:eastAsia="宋体" w:cs="宋体"/>
                <w:snapToGrid w:val="0"/>
                <w:color w:val="000000"/>
                <w:spacing w:val="12"/>
                <w:kern w:val="0"/>
                <w:sz w:val="20"/>
                <w:szCs w:val="20"/>
                <w:lang w:val="en-US" w:eastAsia="en-US" w:bidi="ar-SA"/>
              </w:rPr>
              <w:t>只</w:t>
            </w:r>
            <w:r>
              <w:rPr>
                <w:rFonts w:ascii="Times New Roman" w:hAnsi="Times New Roman" w:eastAsia="Times New Roman" w:cs="Times New Roman"/>
                <w:snapToGrid w:val="0"/>
                <w:color w:val="000000"/>
                <w:spacing w:val="12"/>
                <w:kern w:val="0"/>
                <w:sz w:val="20"/>
                <w:szCs w:val="20"/>
                <w:lang w:val="en-US" w:eastAsia="en-US" w:bidi="ar-SA"/>
              </w:rPr>
              <w:t>4</w:t>
            </w:r>
            <w:r>
              <w:rPr>
                <w:rFonts w:ascii="Times New Roman" w:hAnsi="Times New Roman" w:eastAsia="Times New Roman" w:cs="Times New Roman"/>
                <w:snapToGrid w:val="0"/>
                <w:color w:val="000000"/>
                <w:kern w:val="0"/>
                <w:sz w:val="20"/>
                <w:szCs w:val="20"/>
                <w:lang w:val="en-US" w:eastAsia="en-US" w:bidi="ar-SA"/>
              </w:rPr>
              <w:t>kg</w:t>
            </w:r>
            <w:r>
              <w:rPr>
                <w:rFonts w:ascii="宋体" w:hAnsi="宋体" w:eastAsia="宋体" w:cs="宋体"/>
                <w:snapToGrid w:val="0"/>
                <w:color w:val="000000"/>
                <w:spacing w:val="12"/>
                <w:kern w:val="0"/>
                <w:sz w:val="20"/>
                <w:szCs w:val="20"/>
                <w:lang w:val="en-US" w:eastAsia="en-US" w:bidi="ar-SA"/>
              </w:rPr>
              <w:t>手提式干粉灭火器和</w:t>
            </w:r>
            <w:r>
              <w:rPr>
                <w:rFonts w:ascii="Times New Roman" w:hAnsi="Times New Roman" w:eastAsia="Times New Roman" w:cs="Times New Roman"/>
                <w:snapToGrid w:val="0"/>
                <w:color w:val="000000"/>
                <w:spacing w:val="12"/>
                <w:kern w:val="0"/>
                <w:sz w:val="20"/>
                <w:szCs w:val="20"/>
                <w:lang w:val="en-US" w:eastAsia="en-US" w:bidi="ar-SA"/>
              </w:rPr>
              <w:t>1</w:t>
            </w:r>
            <w:r>
              <w:rPr>
                <w:rFonts w:ascii="宋体" w:hAnsi="宋体" w:eastAsia="宋体" w:cs="宋体"/>
                <w:snapToGrid w:val="0"/>
                <w:color w:val="000000"/>
                <w:spacing w:val="12"/>
                <w:kern w:val="0"/>
                <w:sz w:val="20"/>
                <w:szCs w:val="20"/>
                <w:lang w:val="en-US" w:eastAsia="en-US" w:bidi="ar-SA"/>
              </w:rPr>
              <w:t>只</w:t>
            </w:r>
            <w:r>
              <w:rPr>
                <w:rFonts w:ascii="Times New Roman" w:hAnsi="Times New Roman" w:eastAsia="Times New Roman" w:cs="Times New Roman"/>
                <w:snapToGrid w:val="0"/>
                <w:color w:val="000000"/>
                <w:spacing w:val="12"/>
                <w:kern w:val="0"/>
                <w:sz w:val="20"/>
                <w:szCs w:val="20"/>
                <w:lang w:val="en-US" w:eastAsia="en-US" w:bidi="ar-SA"/>
              </w:rPr>
              <w:t>6L</w:t>
            </w:r>
            <w:r>
              <w:rPr>
                <w:rFonts w:ascii="宋体" w:hAnsi="宋体" w:eastAsia="宋体" w:cs="宋体"/>
                <w:snapToGrid w:val="0"/>
                <w:color w:val="000000"/>
                <w:spacing w:val="12"/>
                <w:kern w:val="0"/>
                <w:sz w:val="20"/>
                <w:szCs w:val="20"/>
                <w:lang w:val="en-US" w:eastAsia="en-US" w:bidi="ar-SA"/>
              </w:rPr>
              <w:t>泡沫灭</w:t>
            </w:r>
            <w:r>
              <w:rPr>
                <w:rFonts w:ascii="宋体" w:hAnsi="宋体" w:eastAsia="宋体" w:cs="宋体"/>
                <w:snapToGrid w:val="0"/>
                <w:color w:val="000000"/>
                <w:spacing w:val="8"/>
                <w:kern w:val="0"/>
                <w:sz w:val="20"/>
                <w:szCs w:val="20"/>
                <w:lang w:val="en-US" w:eastAsia="en-US" w:bidi="ar-SA"/>
              </w:rPr>
              <w:t>火器。加油机不足</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台按</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台计算</w:t>
            </w:r>
          </w:p>
        </w:tc>
        <w:tc>
          <w:tcPr>
            <w:tcW w:w="1710" w:type="dxa"/>
            <w:vAlign w:val="top"/>
          </w:tcPr>
          <w:p w14:paraId="167311A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每</w:t>
            </w:r>
            <w:r>
              <w:rPr>
                <w:rFonts w:ascii="Times New Roman" w:hAnsi="Times New Roman" w:eastAsia="Times New Roman" w:cs="Times New Roman"/>
                <w:snapToGrid w:val="0"/>
                <w:color w:val="000000"/>
                <w:spacing w:val="7"/>
                <w:kern w:val="0"/>
                <w:sz w:val="20"/>
                <w:szCs w:val="20"/>
                <w:lang w:val="en-US" w:eastAsia="en-US" w:bidi="ar-SA"/>
              </w:rPr>
              <w:t>2</w:t>
            </w:r>
            <w:r>
              <w:rPr>
                <w:rFonts w:ascii="宋体" w:hAnsi="宋体" w:eastAsia="宋体" w:cs="宋体"/>
                <w:snapToGrid w:val="0"/>
                <w:color w:val="000000"/>
                <w:spacing w:val="7"/>
                <w:kern w:val="0"/>
                <w:sz w:val="20"/>
                <w:szCs w:val="20"/>
                <w:lang w:val="en-US" w:eastAsia="en-US" w:bidi="ar-SA"/>
              </w:rPr>
              <w:t>台加油机不</w:t>
            </w:r>
            <w:r>
              <w:rPr>
                <w:rFonts w:ascii="宋体" w:hAnsi="宋体" w:eastAsia="宋体" w:cs="宋体"/>
                <w:snapToGrid w:val="0"/>
                <w:color w:val="000000"/>
                <w:spacing w:val="7"/>
                <w:kern w:val="0"/>
                <w:position w:val="2"/>
                <w:sz w:val="20"/>
                <w:szCs w:val="20"/>
                <w:lang w:val="en-US" w:eastAsia="en-US" w:bidi="ar-SA"/>
              </w:rPr>
              <w:t>少于</w:t>
            </w:r>
            <w:r>
              <w:rPr>
                <w:rFonts w:ascii="Times New Roman" w:hAnsi="Times New Roman" w:eastAsia="Times New Roman" w:cs="Times New Roman"/>
                <w:snapToGrid w:val="0"/>
                <w:color w:val="000000"/>
                <w:spacing w:val="7"/>
                <w:kern w:val="0"/>
                <w:position w:val="2"/>
                <w:sz w:val="20"/>
                <w:szCs w:val="20"/>
                <w:lang w:val="en-US" w:eastAsia="en-US" w:bidi="ar-SA"/>
              </w:rPr>
              <w:t>2</w:t>
            </w:r>
            <w:r>
              <w:rPr>
                <w:rFonts w:ascii="宋体" w:hAnsi="宋体" w:eastAsia="宋体" w:cs="宋体"/>
                <w:snapToGrid w:val="0"/>
                <w:color w:val="000000"/>
                <w:spacing w:val="7"/>
                <w:kern w:val="0"/>
                <w:position w:val="2"/>
                <w:sz w:val="20"/>
                <w:szCs w:val="20"/>
                <w:lang w:val="en-US" w:eastAsia="en-US" w:bidi="ar-SA"/>
              </w:rPr>
              <w:t>个</w:t>
            </w:r>
            <w:r>
              <w:rPr>
                <w:rFonts w:ascii="Times New Roman" w:hAnsi="Times New Roman" w:eastAsia="Times New Roman" w:cs="Times New Roman"/>
                <w:snapToGrid w:val="0"/>
                <w:color w:val="000000"/>
                <w:spacing w:val="7"/>
                <w:kern w:val="0"/>
                <w:position w:val="2"/>
                <w:sz w:val="20"/>
                <w:szCs w:val="20"/>
                <w:lang w:val="en-US" w:eastAsia="en-US" w:bidi="ar-SA"/>
              </w:rPr>
              <w:t>4</w:t>
            </w:r>
            <w:r>
              <w:rPr>
                <w:rFonts w:ascii="Times New Roman" w:hAnsi="Times New Roman" w:eastAsia="Times New Roman" w:cs="Times New Roman"/>
                <w:snapToGrid w:val="0"/>
                <w:color w:val="000000"/>
                <w:kern w:val="0"/>
                <w:position w:val="2"/>
                <w:sz w:val="20"/>
                <w:szCs w:val="20"/>
                <w:lang w:val="en-US" w:eastAsia="en-US" w:bidi="ar-SA"/>
              </w:rPr>
              <w:t>kg</w:t>
            </w:r>
            <w:r>
              <w:rPr>
                <w:rFonts w:ascii="宋体" w:hAnsi="宋体" w:eastAsia="宋体" w:cs="宋体"/>
                <w:snapToGrid w:val="0"/>
                <w:color w:val="000000"/>
                <w:spacing w:val="7"/>
                <w:kern w:val="0"/>
                <w:position w:val="2"/>
                <w:sz w:val="20"/>
                <w:szCs w:val="20"/>
                <w:lang w:val="en-US" w:eastAsia="en-US" w:bidi="ar-SA"/>
              </w:rPr>
              <w:t>干</w:t>
            </w:r>
            <w:r>
              <w:rPr>
                <w:rFonts w:ascii="宋体" w:hAnsi="宋体" w:eastAsia="宋体" w:cs="宋体"/>
                <w:snapToGrid w:val="0"/>
                <w:color w:val="000000"/>
                <w:spacing w:val="7"/>
                <w:kern w:val="0"/>
                <w:sz w:val="20"/>
                <w:szCs w:val="20"/>
                <w:lang w:val="en-US" w:eastAsia="en-US" w:bidi="ar-SA"/>
              </w:rPr>
              <w:t>粉灭火器</w:t>
            </w:r>
          </w:p>
        </w:tc>
        <w:tc>
          <w:tcPr>
            <w:tcW w:w="1710" w:type="dxa"/>
            <w:vAlign w:val="top"/>
          </w:tcPr>
          <w:p w14:paraId="6C74BD41">
            <w:pPr>
              <w:kinsoku w:val="0"/>
              <w:autoSpaceDE w:val="0"/>
              <w:autoSpaceDN w:val="0"/>
              <w:adjustRightInd w:val="0"/>
              <w:snapToGrid w:val="0"/>
              <w:spacing w:before="187" w:line="245"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529D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1FDA30E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83C580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5845FA9">
            <w:pPr>
              <w:kinsoku w:val="0"/>
              <w:autoSpaceDE w:val="0"/>
              <w:autoSpaceDN w:val="0"/>
              <w:adjustRightInd w:val="0"/>
              <w:snapToGrid w:val="0"/>
              <w:spacing w:before="162" w:line="254" w:lineRule="auto"/>
              <w:ind w:left="118" w:right="28" w:hanging="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w:t>
            </w:r>
            <w:r>
              <w:rPr>
                <w:rFonts w:ascii="Times New Roman" w:hAnsi="Times New Roman" w:eastAsia="Times New Roman" w:cs="Times New Roman"/>
                <w:snapToGrid w:val="0"/>
                <w:color w:val="000000"/>
                <w:spacing w:val="6"/>
                <w:kern w:val="0"/>
                <w:sz w:val="20"/>
                <w:szCs w:val="20"/>
                <w:lang w:val="en-US" w:eastAsia="en-US" w:bidi="ar-SA"/>
              </w:rPr>
              <w:t>2</w:t>
            </w:r>
            <w:r>
              <w:rPr>
                <w:rFonts w:ascii="宋体" w:hAnsi="宋体" w:eastAsia="宋体" w:cs="宋体"/>
                <w:snapToGrid w:val="0"/>
                <w:color w:val="000000"/>
                <w:spacing w:val="6"/>
                <w:kern w:val="0"/>
                <w:sz w:val="20"/>
                <w:szCs w:val="20"/>
                <w:lang w:val="en-US" w:eastAsia="en-US" w:bidi="ar-SA"/>
              </w:rPr>
              <w:t>）地下储罐应设不小于</w:t>
            </w:r>
            <w:r>
              <w:rPr>
                <w:rFonts w:ascii="Times New Roman" w:hAnsi="Times New Roman" w:eastAsia="Times New Roman" w:cs="Times New Roman"/>
                <w:snapToGrid w:val="0"/>
                <w:color w:val="000000"/>
                <w:spacing w:val="6"/>
                <w:kern w:val="0"/>
                <w:sz w:val="20"/>
                <w:szCs w:val="20"/>
                <w:lang w:val="en-US" w:eastAsia="en-US" w:bidi="ar-SA"/>
              </w:rPr>
              <w:t>35</w:t>
            </w:r>
            <w:r>
              <w:rPr>
                <w:rFonts w:ascii="Times New Roman" w:hAnsi="Times New Roman" w:eastAsia="Times New Roman" w:cs="Times New Roman"/>
                <w:snapToGrid w:val="0"/>
                <w:color w:val="000000"/>
                <w:kern w:val="0"/>
                <w:sz w:val="20"/>
                <w:szCs w:val="20"/>
                <w:lang w:val="en-US" w:eastAsia="en-US" w:bidi="ar-SA"/>
              </w:rPr>
              <w:t>kg</w:t>
            </w:r>
            <w:r>
              <w:rPr>
                <w:rFonts w:ascii="Times New Roman" w:hAnsi="Times New Roman" w:eastAsia="Times New Roman" w:cs="Times New Roman"/>
                <w:snapToGrid w:val="0"/>
                <w:color w:val="000000"/>
                <w:spacing w:val="6"/>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推车式干粉灭火器</w:t>
            </w:r>
            <w:r>
              <w:rPr>
                <w:rFonts w:ascii="Times New Roman" w:hAnsi="Times New Roman" w:eastAsia="Times New Roman" w:cs="Times New Roman"/>
                <w:snapToGrid w:val="0"/>
                <w:color w:val="000000"/>
                <w:spacing w:val="6"/>
                <w:kern w:val="0"/>
                <w:sz w:val="20"/>
                <w:szCs w:val="20"/>
                <w:lang w:val="en-US" w:eastAsia="en-US" w:bidi="ar-SA"/>
              </w:rPr>
              <w:t>1</w:t>
            </w:r>
            <w:r>
              <w:rPr>
                <w:rFonts w:ascii="宋体" w:hAnsi="宋体" w:eastAsia="宋体" w:cs="宋体"/>
                <w:snapToGrid w:val="0"/>
                <w:color w:val="000000"/>
                <w:spacing w:val="6"/>
                <w:kern w:val="0"/>
                <w:sz w:val="20"/>
                <w:szCs w:val="20"/>
                <w:lang w:val="en-US" w:eastAsia="en-US" w:bidi="ar-SA"/>
              </w:rPr>
              <w:t>个。</w:t>
            </w:r>
            <w:r>
              <w:rPr>
                <w:rFonts w:ascii="宋体" w:hAnsi="宋体" w:eastAsia="宋体" w:cs="宋体"/>
                <w:snapToGrid w:val="0"/>
                <w:color w:val="000000"/>
                <w:spacing w:val="7"/>
                <w:kern w:val="0"/>
                <w:sz w:val="20"/>
                <w:szCs w:val="20"/>
                <w:lang w:val="en-US" w:eastAsia="en-US" w:bidi="ar-SA"/>
              </w:rPr>
              <w:t>当两种介质储罐之间的距离超过</w:t>
            </w:r>
            <w:r>
              <w:rPr>
                <w:rFonts w:ascii="Times New Roman" w:hAnsi="Times New Roman" w:eastAsia="Times New Roman" w:cs="Times New Roman"/>
                <w:snapToGrid w:val="0"/>
                <w:color w:val="000000"/>
                <w:spacing w:val="7"/>
                <w:kern w:val="0"/>
                <w:sz w:val="20"/>
                <w:szCs w:val="20"/>
                <w:lang w:val="en-US" w:eastAsia="en-US" w:bidi="ar-SA"/>
              </w:rPr>
              <w:t>15m</w:t>
            </w:r>
            <w:r>
              <w:rPr>
                <w:rFonts w:ascii="宋体" w:hAnsi="宋体" w:eastAsia="宋体" w:cs="宋体"/>
                <w:snapToGrid w:val="0"/>
                <w:color w:val="000000"/>
                <w:spacing w:val="7"/>
                <w:kern w:val="0"/>
                <w:sz w:val="20"/>
                <w:szCs w:val="20"/>
                <w:lang w:val="en-US" w:eastAsia="en-US" w:bidi="ar-SA"/>
              </w:rPr>
              <w:t>时</w:t>
            </w:r>
            <w:r>
              <w:rPr>
                <w:rFonts w:ascii="Times New Roman" w:hAnsi="Times New Roman" w:eastAsia="Times New Roman" w:cs="Times New Roman"/>
                <w:snapToGrid w:val="0"/>
                <w:color w:val="000000"/>
                <w:spacing w:val="7"/>
                <w:kern w:val="0"/>
                <w:sz w:val="20"/>
                <w:szCs w:val="20"/>
                <w:lang w:val="en-US" w:eastAsia="en-US" w:bidi="ar-SA"/>
              </w:rPr>
              <w:t>,</w:t>
            </w:r>
            <w:r>
              <w:rPr>
                <w:rFonts w:ascii="宋体" w:hAnsi="宋体" w:eastAsia="宋体" w:cs="宋体"/>
                <w:snapToGrid w:val="0"/>
                <w:color w:val="000000"/>
                <w:spacing w:val="7"/>
                <w:kern w:val="0"/>
                <w:sz w:val="20"/>
                <w:szCs w:val="20"/>
                <w:lang w:val="en-US" w:eastAsia="en-US" w:bidi="ar-SA"/>
              </w:rPr>
              <w:t>应分别设置。</w:t>
            </w:r>
          </w:p>
        </w:tc>
        <w:tc>
          <w:tcPr>
            <w:tcW w:w="1710" w:type="dxa"/>
            <w:vAlign w:val="top"/>
          </w:tcPr>
          <w:p w14:paraId="5F07020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站内设置</w:t>
            </w:r>
            <w:r>
              <w:rPr>
                <w:rFonts w:ascii="Times New Roman" w:hAnsi="Times New Roman" w:eastAsia="Times New Roman" w:cs="Times New Roman"/>
                <w:snapToGrid w:val="0"/>
                <w:color w:val="000000"/>
                <w:spacing w:val="7"/>
                <w:kern w:val="0"/>
                <w:sz w:val="20"/>
                <w:szCs w:val="20"/>
                <w:lang w:val="en-US" w:eastAsia="en-US" w:bidi="ar-SA"/>
              </w:rPr>
              <w:t>1</w:t>
            </w:r>
            <w:r>
              <w:rPr>
                <w:rFonts w:ascii="宋体" w:hAnsi="宋体" w:eastAsia="宋体" w:cs="宋体"/>
                <w:snapToGrid w:val="0"/>
                <w:color w:val="000000"/>
                <w:spacing w:val="7"/>
                <w:kern w:val="0"/>
                <w:sz w:val="20"/>
                <w:szCs w:val="20"/>
                <w:lang w:val="en-US" w:eastAsia="en-US" w:bidi="ar-SA"/>
              </w:rPr>
              <w:t>个</w:t>
            </w:r>
            <w:r>
              <w:rPr>
                <w:rFonts w:ascii="Times New Roman" w:hAnsi="Times New Roman" w:eastAsia="Times New Roman" w:cs="Times New Roman"/>
                <w:snapToGrid w:val="0"/>
                <w:color w:val="000000"/>
                <w:spacing w:val="7"/>
                <w:kern w:val="0"/>
                <w:position w:val="2"/>
                <w:sz w:val="20"/>
                <w:szCs w:val="20"/>
                <w:lang w:val="en-US" w:eastAsia="en-US" w:bidi="ar-SA"/>
              </w:rPr>
              <w:t>35</w:t>
            </w:r>
            <w:r>
              <w:rPr>
                <w:rFonts w:ascii="Times New Roman" w:hAnsi="Times New Roman" w:eastAsia="Times New Roman" w:cs="Times New Roman"/>
                <w:snapToGrid w:val="0"/>
                <w:color w:val="000000"/>
                <w:kern w:val="0"/>
                <w:position w:val="2"/>
                <w:sz w:val="20"/>
                <w:szCs w:val="20"/>
                <w:lang w:val="en-US" w:eastAsia="en-US" w:bidi="ar-SA"/>
              </w:rPr>
              <w:t>kg</w:t>
            </w:r>
            <w:r>
              <w:rPr>
                <w:rFonts w:ascii="Times New Roman" w:hAnsi="Times New Roman" w:eastAsia="Times New Roman" w:cs="Times New Roman"/>
                <w:snapToGrid w:val="0"/>
                <w:color w:val="000000"/>
                <w:spacing w:val="7"/>
                <w:kern w:val="0"/>
                <w:position w:val="2"/>
                <w:sz w:val="20"/>
                <w:szCs w:val="20"/>
                <w:lang w:val="en-US" w:eastAsia="en-US" w:bidi="ar-SA"/>
              </w:rPr>
              <w:t xml:space="preserve"> </w:t>
            </w:r>
            <w:r>
              <w:rPr>
                <w:rFonts w:ascii="宋体" w:hAnsi="宋体" w:eastAsia="宋体" w:cs="宋体"/>
                <w:snapToGrid w:val="0"/>
                <w:color w:val="000000"/>
                <w:spacing w:val="7"/>
                <w:kern w:val="0"/>
                <w:position w:val="2"/>
                <w:sz w:val="20"/>
                <w:szCs w:val="20"/>
                <w:lang w:val="en-US" w:eastAsia="en-US" w:bidi="ar-SA"/>
              </w:rPr>
              <w:t>推车式干</w:t>
            </w:r>
            <w:r>
              <w:rPr>
                <w:rFonts w:ascii="宋体" w:hAnsi="宋体" w:eastAsia="宋体" w:cs="宋体"/>
                <w:snapToGrid w:val="0"/>
                <w:color w:val="000000"/>
                <w:spacing w:val="7"/>
                <w:kern w:val="0"/>
                <w:sz w:val="20"/>
                <w:szCs w:val="20"/>
                <w:lang w:val="en-US" w:eastAsia="en-US" w:bidi="ar-SA"/>
              </w:rPr>
              <w:t>粉灭火器</w:t>
            </w:r>
          </w:p>
        </w:tc>
        <w:tc>
          <w:tcPr>
            <w:tcW w:w="1710" w:type="dxa"/>
            <w:vAlign w:val="top"/>
          </w:tcPr>
          <w:p w14:paraId="3DB708BA">
            <w:pPr>
              <w:kinsoku w:val="0"/>
              <w:autoSpaceDE w:val="0"/>
              <w:autoSpaceDN w:val="0"/>
              <w:adjustRightInd w:val="0"/>
              <w:snapToGrid w:val="0"/>
              <w:spacing w:before="192" w:line="245"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DC3D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60B30D88">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C11695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B9549E4">
            <w:pPr>
              <w:kinsoku w:val="0"/>
              <w:autoSpaceDE w:val="0"/>
              <w:autoSpaceDN w:val="0"/>
              <w:adjustRightInd w:val="0"/>
              <w:snapToGrid w:val="0"/>
              <w:spacing w:before="57" w:line="228" w:lineRule="auto"/>
              <w:ind w:left="105" w:right="133"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3</w:t>
            </w:r>
            <w:r>
              <w:rPr>
                <w:rFonts w:ascii="宋体" w:hAnsi="宋体" w:eastAsia="宋体" w:cs="宋体"/>
                <w:snapToGrid w:val="0"/>
                <w:color w:val="000000"/>
                <w:spacing w:val="8"/>
                <w:kern w:val="0"/>
                <w:sz w:val="20"/>
                <w:szCs w:val="20"/>
                <w:lang w:val="en-US" w:eastAsia="en-US" w:bidi="ar-SA"/>
              </w:rPr>
              <w:t>）一、二级加油站应配置灭火毯</w:t>
            </w:r>
            <w:r>
              <w:rPr>
                <w:rFonts w:ascii="宋体" w:hAnsi="宋体" w:eastAsia="宋体" w:cs="宋体"/>
                <w:snapToGrid w:val="0"/>
                <w:color w:val="000000"/>
                <w:spacing w:val="-24"/>
                <w:kern w:val="0"/>
                <w:sz w:val="20"/>
                <w:szCs w:val="20"/>
                <w:lang w:val="en-US" w:eastAsia="en-US" w:bidi="ar-SA"/>
              </w:rPr>
              <w:t xml:space="preserve"> </w:t>
            </w:r>
            <w:r>
              <w:rPr>
                <w:rFonts w:ascii="Times New Roman" w:hAnsi="Times New Roman" w:eastAsia="Times New Roman" w:cs="Times New Roman"/>
                <w:snapToGrid w:val="0"/>
                <w:color w:val="000000"/>
                <w:spacing w:val="8"/>
                <w:kern w:val="0"/>
                <w:sz w:val="20"/>
                <w:szCs w:val="20"/>
                <w:lang w:val="en-US" w:eastAsia="en-US" w:bidi="ar-SA"/>
              </w:rPr>
              <w:t>5</w:t>
            </w:r>
            <w:r>
              <w:rPr>
                <w:rFonts w:ascii="宋体" w:hAnsi="宋体" w:eastAsia="宋体" w:cs="宋体"/>
                <w:snapToGrid w:val="0"/>
                <w:color w:val="000000"/>
                <w:spacing w:val="8"/>
                <w:kern w:val="0"/>
                <w:sz w:val="20"/>
                <w:szCs w:val="20"/>
                <w:lang w:val="en-US" w:eastAsia="en-US" w:bidi="ar-SA"/>
              </w:rPr>
              <w:t>块，沙子</w:t>
            </w:r>
            <w:r>
              <w:rPr>
                <w:rFonts w:ascii="宋体" w:hAnsi="宋体" w:eastAsia="宋体" w:cs="宋体"/>
                <w:snapToGrid w:val="0"/>
                <w:color w:val="000000"/>
                <w:spacing w:val="-38"/>
                <w:kern w:val="0"/>
                <w:sz w:val="20"/>
                <w:szCs w:val="20"/>
                <w:lang w:val="en-US" w:eastAsia="en-US" w:bidi="ar-SA"/>
              </w:rPr>
              <w:t xml:space="preserve"> </w:t>
            </w:r>
            <w:r>
              <w:rPr>
                <w:rFonts w:ascii="Times New Roman" w:hAnsi="Times New Roman" w:eastAsia="Times New Roman" w:cs="Times New Roman"/>
                <w:snapToGrid w:val="0"/>
                <w:color w:val="000000"/>
                <w:spacing w:val="8"/>
                <w:kern w:val="0"/>
                <w:sz w:val="20"/>
                <w:szCs w:val="20"/>
                <w:lang w:val="en-US" w:eastAsia="en-US" w:bidi="ar-SA"/>
              </w:rPr>
              <w:t>2m</w:t>
            </w:r>
            <w:r>
              <w:rPr>
                <w:rFonts w:ascii="Times New Roman" w:hAnsi="Times New Roman" w:eastAsia="Times New Roman" w:cs="Times New Roman"/>
                <w:snapToGrid w:val="0"/>
                <w:color w:val="000000"/>
                <w:spacing w:val="8"/>
                <w:kern w:val="0"/>
                <w:position w:val="6"/>
                <w:sz w:val="13"/>
                <w:szCs w:val="13"/>
                <w:lang w:val="en-US" w:eastAsia="en-US" w:bidi="ar-SA"/>
              </w:rPr>
              <w:t>3</w:t>
            </w:r>
            <w:r>
              <w:rPr>
                <w:rFonts w:ascii="宋体" w:hAnsi="宋体" w:eastAsia="宋体" w:cs="宋体"/>
                <w:snapToGrid w:val="0"/>
                <w:color w:val="000000"/>
                <w:spacing w:val="8"/>
                <w:kern w:val="0"/>
                <w:sz w:val="20"/>
                <w:szCs w:val="20"/>
                <w:lang w:val="en-US" w:eastAsia="en-US" w:bidi="ar-SA"/>
              </w:rPr>
              <w:t>。</w:t>
            </w:r>
            <w:r>
              <w:rPr>
                <w:rFonts w:ascii="宋体" w:hAnsi="宋体" w:eastAsia="宋体" w:cs="宋体"/>
                <w:snapToGrid w:val="0"/>
                <w:color w:val="000000"/>
                <w:spacing w:val="7"/>
                <w:kern w:val="0"/>
                <w:sz w:val="20"/>
                <w:szCs w:val="20"/>
                <w:lang w:val="en-US" w:eastAsia="en-US" w:bidi="ar-SA"/>
              </w:rPr>
              <w:t>三级加油站应配置灭火毯不少于</w:t>
            </w:r>
            <w:r>
              <w:rPr>
                <w:rFonts w:ascii="宋体" w:hAnsi="宋体" w:eastAsia="宋体" w:cs="宋体"/>
                <w:snapToGrid w:val="0"/>
                <w:color w:val="000000"/>
                <w:spacing w:val="-35"/>
                <w:kern w:val="0"/>
                <w:sz w:val="20"/>
                <w:szCs w:val="20"/>
                <w:lang w:val="en-US" w:eastAsia="en-US" w:bidi="ar-SA"/>
              </w:rPr>
              <w:t xml:space="preserve"> </w:t>
            </w:r>
            <w:r>
              <w:rPr>
                <w:rFonts w:ascii="Times New Roman" w:hAnsi="Times New Roman" w:eastAsia="Times New Roman" w:cs="Times New Roman"/>
                <w:snapToGrid w:val="0"/>
                <w:color w:val="000000"/>
                <w:spacing w:val="7"/>
                <w:kern w:val="0"/>
                <w:sz w:val="20"/>
                <w:szCs w:val="20"/>
                <w:lang w:val="en-US" w:eastAsia="en-US" w:bidi="ar-SA"/>
              </w:rPr>
              <w:t>2</w:t>
            </w:r>
            <w:r>
              <w:rPr>
                <w:rFonts w:ascii="宋体" w:hAnsi="宋体" w:eastAsia="宋体" w:cs="宋体"/>
                <w:snapToGrid w:val="0"/>
                <w:color w:val="000000"/>
                <w:spacing w:val="7"/>
                <w:kern w:val="0"/>
                <w:sz w:val="20"/>
                <w:szCs w:val="20"/>
                <w:lang w:val="en-US" w:eastAsia="en-US" w:bidi="ar-SA"/>
              </w:rPr>
              <w:t>块</w:t>
            </w:r>
            <w:r>
              <w:rPr>
                <w:rFonts w:ascii="Times New Roman" w:hAnsi="Times New Roman" w:eastAsia="Times New Roman" w:cs="Times New Roman"/>
                <w:snapToGrid w:val="0"/>
                <w:color w:val="000000"/>
                <w:spacing w:val="7"/>
                <w:kern w:val="0"/>
                <w:sz w:val="20"/>
                <w:szCs w:val="20"/>
                <w:lang w:val="en-US" w:eastAsia="en-US" w:bidi="ar-SA"/>
              </w:rPr>
              <w:t>,</w:t>
            </w:r>
            <w:r>
              <w:rPr>
                <w:rFonts w:ascii="宋体" w:hAnsi="宋体" w:eastAsia="宋体" w:cs="宋体"/>
                <w:snapToGrid w:val="0"/>
                <w:color w:val="000000"/>
                <w:spacing w:val="7"/>
                <w:kern w:val="0"/>
                <w:sz w:val="20"/>
                <w:szCs w:val="20"/>
                <w:lang w:val="en-US" w:eastAsia="en-US" w:bidi="ar-SA"/>
              </w:rPr>
              <w:t>沙子</w:t>
            </w:r>
            <w:r>
              <w:rPr>
                <w:rFonts w:ascii="宋体" w:hAnsi="宋体" w:eastAsia="宋体" w:cs="宋体"/>
                <w:snapToGrid w:val="0"/>
                <w:color w:val="000000"/>
                <w:spacing w:val="-40"/>
                <w:kern w:val="0"/>
                <w:sz w:val="20"/>
                <w:szCs w:val="20"/>
                <w:lang w:val="en-US" w:eastAsia="en-US" w:bidi="ar-SA"/>
              </w:rPr>
              <w:t xml:space="preserve"> </w:t>
            </w:r>
            <w:r>
              <w:rPr>
                <w:rFonts w:ascii="Times New Roman" w:hAnsi="Times New Roman" w:eastAsia="Times New Roman" w:cs="Times New Roman"/>
                <w:snapToGrid w:val="0"/>
                <w:color w:val="000000"/>
                <w:spacing w:val="7"/>
                <w:kern w:val="0"/>
                <w:sz w:val="20"/>
                <w:szCs w:val="20"/>
                <w:lang w:val="en-US" w:eastAsia="en-US" w:bidi="ar-SA"/>
              </w:rPr>
              <w:t>2m</w:t>
            </w:r>
            <w:r>
              <w:rPr>
                <w:rFonts w:ascii="Times New Roman" w:hAnsi="Times New Roman" w:eastAsia="Times New Roman" w:cs="Times New Roman"/>
                <w:snapToGrid w:val="0"/>
                <w:color w:val="000000"/>
                <w:spacing w:val="7"/>
                <w:kern w:val="0"/>
                <w:position w:val="6"/>
                <w:sz w:val="13"/>
                <w:szCs w:val="13"/>
                <w:lang w:val="en-US" w:eastAsia="en-US" w:bidi="ar-SA"/>
              </w:rPr>
              <w:t>3</w:t>
            </w:r>
          </w:p>
        </w:tc>
        <w:tc>
          <w:tcPr>
            <w:tcW w:w="1710" w:type="dxa"/>
            <w:vAlign w:val="top"/>
          </w:tcPr>
          <w:p w14:paraId="0B3017A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加油站设置</w:t>
            </w:r>
            <w:r>
              <w:rPr>
                <w:rFonts w:hint="eastAsia" w:ascii="宋体" w:hAnsi="宋体" w:eastAsia="宋体" w:cs="宋体"/>
                <w:snapToGrid w:val="0"/>
                <w:color w:val="000000"/>
                <w:spacing w:val="7"/>
                <w:kern w:val="0"/>
                <w:sz w:val="20"/>
                <w:szCs w:val="20"/>
                <w:lang w:val="en-US" w:eastAsia="zh-CN" w:bidi="ar-SA"/>
              </w:rPr>
              <w:t>9</w:t>
            </w:r>
            <w:r>
              <w:rPr>
                <w:rFonts w:ascii="宋体" w:hAnsi="宋体" w:eastAsia="宋体" w:cs="宋体"/>
                <w:snapToGrid w:val="0"/>
                <w:color w:val="000000"/>
                <w:spacing w:val="7"/>
                <w:kern w:val="0"/>
                <w:sz w:val="20"/>
                <w:szCs w:val="20"/>
                <w:lang w:val="en-US" w:eastAsia="en-US" w:bidi="ar-SA"/>
              </w:rPr>
              <w:t>块</w:t>
            </w:r>
            <w:r>
              <w:rPr>
                <w:rFonts w:ascii="宋体" w:hAnsi="宋体" w:eastAsia="宋体" w:cs="宋体"/>
                <w:snapToGrid w:val="0"/>
                <w:color w:val="000000"/>
                <w:spacing w:val="5"/>
                <w:kern w:val="0"/>
                <w:sz w:val="20"/>
                <w:szCs w:val="20"/>
                <w:lang w:val="en-US" w:eastAsia="en-US" w:bidi="ar-SA"/>
              </w:rPr>
              <w:t>灭火毯</w:t>
            </w:r>
          </w:p>
        </w:tc>
        <w:tc>
          <w:tcPr>
            <w:tcW w:w="1710" w:type="dxa"/>
            <w:vAlign w:val="top"/>
          </w:tcPr>
          <w:p w14:paraId="6CCEB4C9">
            <w:pPr>
              <w:kinsoku w:val="0"/>
              <w:autoSpaceDE w:val="0"/>
              <w:autoSpaceDN w:val="0"/>
              <w:adjustRightInd w:val="0"/>
              <w:snapToGrid w:val="0"/>
              <w:spacing w:before="57" w:line="228"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4037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6C0D7C5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6E13C07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3AA9463">
            <w:pPr>
              <w:kinsoku w:val="0"/>
              <w:autoSpaceDE w:val="0"/>
              <w:autoSpaceDN w:val="0"/>
              <w:adjustRightInd w:val="0"/>
              <w:snapToGrid w:val="0"/>
              <w:spacing w:before="30" w:line="246" w:lineRule="auto"/>
              <w:ind w:left="104" w:right="99"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4)</w:t>
            </w:r>
            <w:r>
              <w:rPr>
                <w:rFonts w:ascii="宋体" w:hAnsi="宋体" w:eastAsia="宋体" w:cs="宋体"/>
                <w:snapToGrid w:val="0"/>
                <w:color w:val="000000"/>
                <w:spacing w:val="7"/>
                <w:kern w:val="0"/>
                <w:sz w:val="20"/>
                <w:szCs w:val="20"/>
                <w:lang w:val="en-US" w:eastAsia="en-US" w:bidi="ar-SA"/>
              </w:rPr>
              <w:t>发、配电室应设置磷酸铵盐干粉灭火器或碳酸氢钠</w:t>
            </w:r>
            <w:r>
              <w:rPr>
                <w:rFonts w:ascii="宋体" w:hAnsi="宋体" w:eastAsia="宋体" w:cs="宋体"/>
                <w:snapToGrid w:val="0"/>
                <w:color w:val="000000"/>
                <w:spacing w:val="6"/>
                <w:kern w:val="0"/>
                <w:sz w:val="20"/>
                <w:szCs w:val="20"/>
                <w:lang w:val="en-US" w:eastAsia="en-US" w:bidi="ar-SA"/>
              </w:rPr>
              <w:t>干粉灭火器或卤代烷灭火器或二氧化碳灭火器，数量不</w:t>
            </w:r>
            <w:r>
              <w:rPr>
                <w:rFonts w:ascii="宋体" w:hAnsi="宋体" w:eastAsia="宋体" w:cs="宋体"/>
                <w:snapToGrid w:val="0"/>
                <w:color w:val="000000"/>
                <w:spacing w:val="18"/>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少于</w:t>
            </w:r>
            <w:r>
              <w:rPr>
                <w:rFonts w:ascii="宋体" w:hAnsi="宋体" w:eastAsia="宋体" w:cs="宋体"/>
                <w:snapToGrid w:val="0"/>
                <w:color w:val="000000"/>
                <w:spacing w:val="-40"/>
                <w:kern w:val="0"/>
                <w:sz w:val="20"/>
                <w:szCs w:val="20"/>
                <w:lang w:val="en-US" w:eastAsia="en-US" w:bidi="ar-SA"/>
              </w:rPr>
              <w:t xml:space="preserve"> </w:t>
            </w:r>
            <w:r>
              <w:rPr>
                <w:rFonts w:ascii="Times New Roman" w:hAnsi="Times New Roman" w:eastAsia="Times New Roman" w:cs="Times New Roman"/>
                <w:snapToGrid w:val="0"/>
                <w:color w:val="000000"/>
                <w:spacing w:val="1"/>
                <w:kern w:val="0"/>
                <w:sz w:val="20"/>
                <w:szCs w:val="20"/>
                <w:lang w:val="en-US" w:eastAsia="en-US" w:bidi="ar-SA"/>
              </w:rPr>
              <w:t>2</w:t>
            </w:r>
            <w:r>
              <w:rPr>
                <w:rFonts w:ascii="宋体" w:hAnsi="宋体" w:eastAsia="宋体" w:cs="宋体"/>
                <w:snapToGrid w:val="0"/>
                <w:color w:val="000000"/>
                <w:spacing w:val="1"/>
                <w:kern w:val="0"/>
                <w:sz w:val="20"/>
                <w:szCs w:val="20"/>
                <w:lang w:val="en-US" w:eastAsia="en-US" w:bidi="ar-SA"/>
              </w:rPr>
              <w:t>具。</w:t>
            </w:r>
          </w:p>
        </w:tc>
        <w:tc>
          <w:tcPr>
            <w:tcW w:w="1710" w:type="dxa"/>
            <w:vAlign w:val="top"/>
          </w:tcPr>
          <w:p w14:paraId="10A4E86F">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配电室设置有二氧化碳灭火器</w:t>
            </w:r>
          </w:p>
        </w:tc>
        <w:tc>
          <w:tcPr>
            <w:tcW w:w="1710" w:type="dxa"/>
            <w:vAlign w:val="top"/>
          </w:tcPr>
          <w:p w14:paraId="054DF592">
            <w:pPr>
              <w:kinsoku w:val="0"/>
              <w:autoSpaceDE w:val="0"/>
              <w:autoSpaceDN w:val="0"/>
              <w:adjustRightInd w:val="0"/>
              <w:snapToGrid w:val="0"/>
              <w:spacing w:before="201" w:line="245"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4F07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4" w:hRule="atLeast"/>
        </w:trPr>
        <w:tc>
          <w:tcPr>
            <w:tcW w:w="699" w:type="dxa"/>
            <w:vMerge w:val="continue"/>
            <w:vAlign w:val="top"/>
          </w:tcPr>
          <w:p w14:paraId="6333817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F53BB1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B2B9F42">
            <w:pPr>
              <w:kinsoku w:val="0"/>
              <w:autoSpaceDE w:val="0"/>
              <w:autoSpaceDN w:val="0"/>
              <w:adjustRightInd w:val="0"/>
              <w:snapToGrid w:val="0"/>
              <w:spacing w:before="66" w:line="246" w:lineRule="auto"/>
              <w:ind w:left="106" w:right="12" w:firstLine="9"/>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w:t>
            </w:r>
            <w:r>
              <w:rPr>
                <w:rFonts w:ascii="Times New Roman" w:hAnsi="Times New Roman" w:eastAsia="Times New Roman" w:cs="Times New Roman"/>
                <w:snapToGrid w:val="0"/>
                <w:color w:val="000000"/>
                <w:spacing w:val="9"/>
                <w:kern w:val="0"/>
                <w:sz w:val="20"/>
                <w:szCs w:val="20"/>
                <w:lang w:val="en-US" w:eastAsia="en-US" w:bidi="ar-SA"/>
              </w:rPr>
              <w:t>5</w:t>
            </w:r>
            <w:r>
              <w:rPr>
                <w:rFonts w:ascii="宋体" w:hAnsi="宋体" w:eastAsia="宋体" w:cs="宋体"/>
                <w:snapToGrid w:val="0"/>
                <w:color w:val="000000"/>
                <w:spacing w:val="9"/>
                <w:kern w:val="0"/>
                <w:sz w:val="20"/>
                <w:szCs w:val="20"/>
                <w:lang w:val="en-US" w:eastAsia="en-US" w:bidi="ar-SA"/>
              </w:rPr>
              <w:t>）加油站应制定以下消防安全制度：</w:t>
            </w:r>
            <w:r>
              <w:rPr>
                <w:rFonts w:ascii="Times New Roman" w:hAnsi="Times New Roman" w:eastAsia="Times New Roman" w:cs="Times New Roman"/>
                <w:snapToGrid w:val="0"/>
                <w:color w:val="000000"/>
                <w:spacing w:val="9"/>
                <w:kern w:val="0"/>
                <w:sz w:val="20"/>
                <w:szCs w:val="20"/>
                <w:lang w:val="en-US" w:eastAsia="en-US" w:bidi="ar-SA"/>
              </w:rPr>
              <w:t>a</w:t>
            </w:r>
            <w:r>
              <w:rPr>
                <w:rFonts w:ascii="宋体" w:hAnsi="宋体" w:eastAsia="宋体" w:cs="宋体"/>
                <w:snapToGrid w:val="0"/>
                <w:color w:val="000000"/>
                <w:spacing w:val="9"/>
                <w:kern w:val="0"/>
                <w:sz w:val="20"/>
                <w:szCs w:val="20"/>
                <w:lang w:val="en-US" w:eastAsia="en-US" w:bidi="ar-SA"/>
              </w:rPr>
              <w:t>）防火检查、</w:t>
            </w:r>
            <w:r>
              <w:rPr>
                <w:rFonts w:ascii="宋体" w:hAnsi="宋体" w:eastAsia="宋体" w:cs="宋体"/>
                <w:snapToGrid w:val="0"/>
                <w:color w:val="000000"/>
                <w:spacing w:val="7"/>
                <w:kern w:val="0"/>
                <w:sz w:val="20"/>
                <w:szCs w:val="20"/>
                <w:lang w:val="en-US" w:eastAsia="en-US" w:bidi="ar-SA"/>
              </w:rPr>
              <w:t>巡查制度；</w:t>
            </w:r>
            <w:r>
              <w:rPr>
                <w:rFonts w:ascii="Times New Roman" w:hAnsi="Times New Roman" w:eastAsia="Times New Roman" w:cs="Times New Roman"/>
                <w:snapToGrid w:val="0"/>
                <w:color w:val="000000"/>
                <w:spacing w:val="7"/>
                <w:kern w:val="0"/>
                <w:sz w:val="20"/>
                <w:szCs w:val="20"/>
                <w:lang w:val="en-US" w:eastAsia="en-US" w:bidi="ar-SA"/>
              </w:rPr>
              <w:t>b</w:t>
            </w:r>
            <w:r>
              <w:rPr>
                <w:rFonts w:ascii="宋体" w:hAnsi="宋体" w:eastAsia="宋体" w:cs="宋体"/>
                <w:snapToGrid w:val="0"/>
                <w:color w:val="000000"/>
                <w:spacing w:val="7"/>
                <w:kern w:val="0"/>
                <w:sz w:val="20"/>
                <w:szCs w:val="20"/>
                <w:lang w:val="en-US" w:eastAsia="en-US" w:bidi="ar-SA"/>
              </w:rPr>
              <w:t>）消防安全教育、培训制度；</w:t>
            </w:r>
            <w:r>
              <w:rPr>
                <w:rFonts w:ascii="Times New Roman" w:hAnsi="Times New Roman" w:eastAsia="Times New Roman" w:cs="Times New Roman"/>
                <w:snapToGrid w:val="0"/>
                <w:color w:val="000000"/>
                <w:spacing w:val="7"/>
                <w:kern w:val="0"/>
                <w:sz w:val="20"/>
                <w:szCs w:val="20"/>
                <w:lang w:val="en-US" w:eastAsia="en-US" w:bidi="ar-SA"/>
              </w:rPr>
              <w:t>c</w:t>
            </w:r>
            <w:r>
              <w:rPr>
                <w:rFonts w:ascii="宋体" w:hAnsi="宋体" w:eastAsia="宋体" w:cs="宋体"/>
                <w:snapToGrid w:val="0"/>
                <w:color w:val="000000"/>
                <w:spacing w:val="7"/>
                <w:kern w:val="0"/>
                <w:sz w:val="20"/>
                <w:szCs w:val="20"/>
                <w:lang w:val="en-US" w:eastAsia="en-US" w:bidi="ar-SA"/>
              </w:rPr>
              <w:t>）</w:t>
            </w:r>
            <w:r>
              <w:rPr>
                <w:rFonts w:ascii="宋体" w:hAnsi="宋体" w:eastAsia="宋体" w:cs="宋体"/>
                <w:snapToGrid w:val="0"/>
                <w:color w:val="000000"/>
                <w:spacing w:val="6"/>
                <w:kern w:val="0"/>
                <w:sz w:val="20"/>
                <w:szCs w:val="20"/>
                <w:lang w:val="en-US" w:eastAsia="en-US" w:bidi="ar-SA"/>
              </w:rPr>
              <w:t>用火、用</w:t>
            </w:r>
            <w:r>
              <w:rPr>
                <w:rFonts w:ascii="宋体" w:hAnsi="宋体" w:eastAsia="宋体" w:cs="宋体"/>
                <w:snapToGrid w:val="0"/>
                <w:color w:val="000000"/>
                <w:spacing w:val="7"/>
                <w:kern w:val="0"/>
                <w:sz w:val="20"/>
                <w:szCs w:val="20"/>
                <w:lang w:val="en-US" w:eastAsia="en-US" w:bidi="ar-SA"/>
              </w:rPr>
              <w:t>电安全管理制度；</w:t>
            </w:r>
            <w:r>
              <w:rPr>
                <w:rFonts w:ascii="Times New Roman" w:hAnsi="Times New Roman" w:eastAsia="Times New Roman" w:cs="Times New Roman"/>
                <w:snapToGrid w:val="0"/>
                <w:color w:val="000000"/>
                <w:spacing w:val="7"/>
                <w:kern w:val="0"/>
                <w:sz w:val="20"/>
                <w:szCs w:val="20"/>
                <w:lang w:val="en-US" w:eastAsia="en-US" w:bidi="ar-SA"/>
              </w:rPr>
              <w:t>d</w:t>
            </w:r>
            <w:r>
              <w:rPr>
                <w:rFonts w:ascii="宋体" w:hAnsi="宋体" w:eastAsia="宋体" w:cs="宋体"/>
                <w:snapToGrid w:val="0"/>
                <w:color w:val="000000"/>
                <w:spacing w:val="7"/>
                <w:kern w:val="0"/>
                <w:sz w:val="20"/>
                <w:szCs w:val="20"/>
                <w:lang w:val="en-US" w:eastAsia="en-US" w:bidi="ar-SA"/>
              </w:rPr>
              <w:t>）</w:t>
            </w:r>
            <w:r>
              <w:rPr>
                <w:rFonts w:ascii="宋体" w:hAnsi="宋体" w:eastAsia="宋体" w:cs="宋体"/>
                <w:snapToGrid w:val="0"/>
                <w:color w:val="000000"/>
                <w:spacing w:val="-49"/>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电气设备、</w:t>
            </w:r>
            <w:r>
              <w:rPr>
                <w:rFonts w:ascii="宋体" w:hAnsi="宋体" w:eastAsia="宋体" w:cs="宋体"/>
                <w:snapToGrid w:val="0"/>
                <w:color w:val="000000"/>
                <w:spacing w:val="-59"/>
                <w:kern w:val="0"/>
                <w:sz w:val="20"/>
                <w:szCs w:val="20"/>
                <w:lang w:val="en-US" w:eastAsia="en-US" w:bidi="ar-SA"/>
              </w:rPr>
              <w:t xml:space="preserve"> </w:t>
            </w:r>
            <w:r>
              <w:rPr>
                <w:rFonts w:ascii="宋体" w:hAnsi="宋体" w:eastAsia="宋体" w:cs="宋体"/>
                <w:snapToGrid w:val="0"/>
                <w:color w:val="000000"/>
                <w:spacing w:val="7"/>
                <w:kern w:val="0"/>
                <w:sz w:val="20"/>
                <w:szCs w:val="20"/>
                <w:lang w:val="en-US" w:eastAsia="en-US" w:bidi="ar-SA"/>
              </w:rPr>
              <w:t>电气线路的检查和管</w:t>
            </w:r>
            <w:r>
              <w:rPr>
                <w:rFonts w:ascii="宋体" w:hAnsi="宋体" w:eastAsia="宋体" w:cs="宋体"/>
                <w:snapToGrid w:val="0"/>
                <w:color w:val="000000"/>
                <w:spacing w:val="8"/>
                <w:kern w:val="0"/>
                <w:sz w:val="20"/>
                <w:szCs w:val="20"/>
                <w:lang w:val="en-US" w:eastAsia="en-US" w:bidi="ar-SA"/>
              </w:rPr>
              <w:t>理制度：</w:t>
            </w:r>
            <w:r>
              <w:rPr>
                <w:rFonts w:ascii="Times New Roman" w:hAnsi="Times New Roman" w:eastAsia="Times New Roman" w:cs="Times New Roman"/>
                <w:snapToGrid w:val="0"/>
                <w:color w:val="000000"/>
                <w:spacing w:val="8"/>
                <w:kern w:val="0"/>
                <w:sz w:val="20"/>
                <w:szCs w:val="20"/>
                <w:lang w:val="en-US" w:eastAsia="en-US" w:bidi="ar-SA"/>
              </w:rPr>
              <w:t>e</w:t>
            </w:r>
            <w:r>
              <w:rPr>
                <w:rFonts w:ascii="宋体" w:hAnsi="宋体" w:eastAsia="宋体" w:cs="宋体"/>
                <w:snapToGrid w:val="0"/>
                <w:color w:val="000000"/>
                <w:spacing w:val="8"/>
                <w:kern w:val="0"/>
                <w:sz w:val="20"/>
                <w:szCs w:val="20"/>
                <w:lang w:val="en-US" w:eastAsia="en-US" w:bidi="ar-SA"/>
              </w:rPr>
              <w:t>）输油、输气线路的检查和管理制度；</w:t>
            </w:r>
            <w:r>
              <w:rPr>
                <w:rFonts w:ascii="Times New Roman" w:hAnsi="Times New Roman" w:eastAsia="Times New Roman" w:cs="Times New Roman"/>
                <w:snapToGrid w:val="0"/>
                <w:color w:val="000000"/>
                <w:spacing w:val="8"/>
                <w:kern w:val="0"/>
                <w:sz w:val="20"/>
                <w:szCs w:val="20"/>
                <w:lang w:val="en-US" w:eastAsia="en-US" w:bidi="ar-SA"/>
              </w:rPr>
              <w:t>f</w:t>
            </w:r>
            <w:r>
              <w:rPr>
                <w:rFonts w:ascii="宋体" w:hAnsi="宋体" w:eastAsia="宋体" w:cs="宋体"/>
                <w:snapToGrid w:val="0"/>
                <w:color w:val="000000"/>
                <w:spacing w:val="8"/>
                <w:kern w:val="0"/>
                <w:sz w:val="20"/>
                <w:szCs w:val="20"/>
                <w:lang w:val="en-US" w:eastAsia="en-US" w:bidi="ar-SA"/>
              </w:rPr>
              <w:t>）灭</w:t>
            </w:r>
            <w:r>
              <w:rPr>
                <w:rFonts w:ascii="宋体" w:hAnsi="宋体" w:eastAsia="宋体" w:cs="宋体"/>
                <w:snapToGrid w:val="0"/>
                <w:color w:val="000000"/>
                <w:spacing w:val="2"/>
                <w:kern w:val="0"/>
                <w:sz w:val="20"/>
                <w:szCs w:val="20"/>
                <w:lang w:val="en-US" w:eastAsia="en-US" w:bidi="ar-SA"/>
              </w:rPr>
              <w:t>火和应急疏散预案演练制度；</w:t>
            </w:r>
            <w:r>
              <w:rPr>
                <w:rFonts w:ascii="Times New Roman" w:hAnsi="Times New Roman" w:eastAsia="Times New Roman" w:cs="Times New Roman"/>
                <w:snapToGrid w:val="0"/>
                <w:color w:val="000000"/>
                <w:spacing w:val="2"/>
                <w:kern w:val="0"/>
                <w:sz w:val="20"/>
                <w:szCs w:val="20"/>
                <w:lang w:val="en-US" w:eastAsia="en-US" w:bidi="ar-SA"/>
              </w:rPr>
              <w:t>g</w:t>
            </w:r>
            <w:r>
              <w:rPr>
                <w:rFonts w:ascii="宋体" w:hAnsi="宋体" w:eastAsia="宋体" w:cs="宋体"/>
                <w:snapToGrid w:val="0"/>
                <w:color w:val="000000"/>
                <w:spacing w:val="2"/>
                <w:kern w:val="0"/>
                <w:sz w:val="20"/>
                <w:szCs w:val="20"/>
                <w:lang w:val="en-US" w:eastAsia="en-US" w:bidi="ar-SA"/>
              </w:rPr>
              <w:t>）火灾隐患整改</w:t>
            </w:r>
            <w:r>
              <w:rPr>
                <w:rFonts w:ascii="宋体" w:hAnsi="宋体" w:eastAsia="宋体" w:cs="宋体"/>
                <w:snapToGrid w:val="0"/>
                <w:color w:val="000000"/>
                <w:spacing w:val="1"/>
                <w:kern w:val="0"/>
                <w:sz w:val="20"/>
                <w:szCs w:val="20"/>
                <w:lang w:val="en-US" w:eastAsia="en-US" w:bidi="ar-SA"/>
              </w:rPr>
              <w:t>制度；</w:t>
            </w:r>
            <w:r>
              <w:rPr>
                <w:rFonts w:ascii="Times New Roman" w:hAnsi="Times New Roman" w:eastAsia="Times New Roman" w:cs="Times New Roman"/>
                <w:snapToGrid w:val="0"/>
                <w:color w:val="000000"/>
                <w:spacing w:val="1"/>
                <w:kern w:val="0"/>
                <w:sz w:val="20"/>
                <w:szCs w:val="20"/>
                <w:lang w:val="en-US" w:eastAsia="en-US" w:bidi="ar-SA"/>
              </w:rPr>
              <w:t>h</w:t>
            </w:r>
            <w:r>
              <w:rPr>
                <w:rFonts w:ascii="宋体" w:hAnsi="宋体" w:eastAsia="宋体" w:cs="宋体"/>
                <w:snapToGrid w:val="0"/>
                <w:color w:val="000000"/>
                <w:spacing w:val="1"/>
                <w:kern w:val="0"/>
                <w:sz w:val="20"/>
                <w:szCs w:val="20"/>
                <w:lang w:val="en-US" w:eastAsia="en-US" w:bidi="ar-SA"/>
              </w:rPr>
              <w:t>）</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其他必要的消防安全制度。</w:t>
            </w:r>
          </w:p>
        </w:tc>
        <w:tc>
          <w:tcPr>
            <w:tcW w:w="1710" w:type="dxa"/>
            <w:vAlign w:val="top"/>
          </w:tcPr>
          <w:p w14:paraId="4078B2F6">
            <w:pPr>
              <w:widowControl/>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lang w:eastAsia="en-US"/>
              </w:rPr>
            </w:pPr>
          </w:p>
          <w:p w14:paraId="6166C9BC">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lang w:eastAsia="en-US"/>
              </w:rPr>
            </w:pPr>
          </w:p>
          <w:p w14:paraId="2923AB6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符合，有相关制</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度</w:t>
            </w:r>
          </w:p>
        </w:tc>
        <w:tc>
          <w:tcPr>
            <w:tcW w:w="1710" w:type="dxa"/>
            <w:vAlign w:val="top"/>
          </w:tcPr>
          <w:p w14:paraId="78614663">
            <w:pPr>
              <w:widowControl/>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lang w:eastAsia="en-US"/>
              </w:rPr>
            </w:pPr>
          </w:p>
          <w:p w14:paraId="0FE6EE3D">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lang w:eastAsia="en-US"/>
              </w:rPr>
            </w:pPr>
          </w:p>
          <w:p w14:paraId="5FE41D88">
            <w:pPr>
              <w:kinsoku w:val="0"/>
              <w:autoSpaceDE w:val="0"/>
              <w:autoSpaceDN w:val="0"/>
              <w:adjustRightInd w:val="0"/>
              <w:snapToGrid w:val="0"/>
              <w:spacing w:before="65" w:line="245"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905D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4098EE6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2F153F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73C9CD8">
            <w:pPr>
              <w:kinsoku w:val="0"/>
              <w:autoSpaceDE w:val="0"/>
              <w:autoSpaceDN w:val="0"/>
              <w:adjustRightInd w:val="0"/>
              <w:snapToGrid w:val="0"/>
              <w:spacing w:before="75" w:line="220" w:lineRule="auto"/>
              <w:ind w:left="108" w:right="97" w:firstLine="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6</w:t>
            </w:r>
            <w:r>
              <w:rPr>
                <w:rFonts w:ascii="宋体" w:hAnsi="宋体" w:eastAsia="宋体" w:cs="宋体"/>
                <w:snapToGrid w:val="0"/>
                <w:color w:val="000000"/>
                <w:spacing w:val="10"/>
                <w:kern w:val="0"/>
                <w:sz w:val="20"/>
                <w:szCs w:val="20"/>
                <w:lang w:val="en-US" w:eastAsia="en-US" w:bidi="ar-SA"/>
              </w:rPr>
              <w:t>）加油加气站罩棚顶棚的承重构件为钢结构时，其</w:t>
            </w:r>
            <w:r>
              <w:rPr>
                <w:rFonts w:ascii="宋体" w:hAnsi="宋体" w:eastAsia="宋体" w:cs="宋体"/>
                <w:snapToGrid w:val="0"/>
                <w:color w:val="000000"/>
                <w:spacing w:val="5"/>
                <w:kern w:val="0"/>
                <w:sz w:val="20"/>
                <w:szCs w:val="20"/>
                <w:lang w:val="en-US" w:eastAsia="en-US" w:bidi="ar-SA"/>
              </w:rPr>
              <w:t>耐火极限可为</w:t>
            </w:r>
            <w:r>
              <w:rPr>
                <w:rFonts w:ascii="宋体" w:hAnsi="宋体" w:eastAsia="宋体" w:cs="宋体"/>
                <w:snapToGrid w:val="0"/>
                <w:color w:val="000000"/>
                <w:spacing w:val="-35"/>
                <w:kern w:val="0"/>
                <w:sz w:val="20"/>
                <w:szCs w:val="20"/>
                <w:lang w:val="en-US" w:eastAsia="en-US" w:bidi="ar-SA"/>
              </w:rPr>
              <w:t xml:space="preserve"> </w:t>
            </w:r>
            <w:r>
              <w:rPr>
                <w:rFonts w:ascii="Times New Roman" w:hAnsi="Times New Roman" w:eastAsia="Times New Roman" w:cs="Times New Roman"/>
                <w:snapToGrid w:val="0"/>
                <w:color w:val="000000"/>
                <w:spacing w:val="5"/>
                <w:kern w:val="0"/>
                <w:sz w:val="20"/>
                <w:szCs w:val="20"/>
                <w:lang w:val="en-US" w:eastAsia="en-US" w:bidi="ar-SA"/>
              </w:rPr>
              <w:t>0.25h</w:t>
            </w:r>
            <w:r>
              <w:rPr>
                <w:rFonts w:ascii="宋体" w:hAnsi="宋体" w:eastAsia="宋体" w:cs="宋体"/>
                <w:snapToGrid w:val="0"/>
                <w:color w:val="000000"/>
                <w:spacing w:val="5"/>
                <w:kern w:val="0"/>
                <w:sz w:val="20"/>
                <w:szCs w:val="20"/>
                <w:lang w:val="en-US" w:eastAsia="en-US" w:bidi="ar-SA"/>
              </w:rPr>
              <w:t>。</w:t>
            </w:r>
          </w:p>
        </w:tc>
        <w:tc>
          <w:tcPr>
            <w:tcW w:w="1710" w:type="dxa"/>
            <w:vAlign w:val="top"/>
          </w:tcPr>
          <w:p w14:paraId="243A2694">
            <w:pPr>
              <w:kinsoku w:val="0"/>
              <w:autoSpaceDE w:val="0"/>
              <w:autoSpaceDN w:val="0"/>
              <w:adjustRightInd w:val="0"/>
              <w:snapToGrid w:val="0"/>
              <w:spacing w:before="215" w:line="228" w:lineRule="auto"/>
              <w:ind w:left="236"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罩棚为钢结构</w:t>
            </w:r>
          </w:p>
        </w:tc>
        <w:tc>
          <w:tcPr>
            <w:tcW w:w="1710" w:type="dxa"/>
            <w:vAlign w:val="top"/>
          </w:tcPr>
          <w:p w14:paraId="712F69AF">
            <w:pPr>
              <w:kinsoku w:val="0"/>
              <w:autoSpaceDE w:val="0"/>
              <w:autoSpaceDN w:val="0"/>
              <w:adjustRightInd w:val="0"/>
              <w:snapToGrid w:val="0"/>
              <w:spacing w:before="75" w:line="220"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12B7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13C0301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9D23B4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8F87222">
            <w:pPr>
              <w:keepNext w:val="0"/>
              <w:keepLines w:val="0"/>
              <w:pageBreakBefore w:val="0"/>
              <w:widowControl/>
              <w:kinsoku w:val="0"/>
              <w:wordWrap/>
              <w:overflowPunct/>
              <w:topLinePunct w:val="0"/>
              <w:autoSpaceDE w:val="0"/>
              <w:autoSpaceDN w:val="0"/>
              <w:bidi w:val="0"/>
              <w:adjustRightInd w:val="0"/>
              <w:snapToGrid w:val="0"/>
              <w:spacing w:before="0" w:line="240" w:lineRule="auto"/>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w:t>
            </w:r>
            <w:r>
              <w:rPr>
                <w:rFonts w:ascii="Times New Roman" w:hAnsi="Times New Roman" w:eastAsia="Times New Roman" w:cs="Times New Roman"/>
                <w:snapToGrid w:val="0"/>
                <w:color w:val="000000"/>
                <w:spacing w:val="5"/>
                <w:kern w:val="0"/>
                <w:sz w:val="20"/>
                <w:szCs w:val="20"/>
                <w:lang w:val="en-US" w:eastAsia="en-US" w:bidi="ar-SA"/>
              </w:rPr>
              <w:t>7</w:t>
            </w:r>
            <w:r>
              <w:rPr>
                <w:rFonts w:ascii="宋体" w:hAnsi="宋体" w:eastAsia="宋体" w:cs="宋体"/>
                <w:snapToGrid w:val="0"/>
                <w:color w:val="000000"/>
                <w:spacing w:val="5"/>
                <w:kern w:val="0"/>
                <w:sz w:val="20"/>
                <w:szCs w:val="20"/>
                <w:lang w:val="en-US" w:eastAsia="en-US" w:bidi="ar-SA"/>
              </w:rPr>
              <w:t>）站内不应设置住宿、餐饮和娱乐等场所（设</w:t>
            </w:r>
            <w:r>
              <w:rPr>
                <w:rFonts w:ascii="宋体" w:hAnsi="宋体" w:eastAsia="宋体" w:cs="宋体"/>
                <w:snapToGrid w:val="0"/>
                <w:color w:val="000000"/>
                <w:spacing w:val="4"/>
                <w:kern w:val="0"/>
                <w:sz w:val="20"/>
                <w:szCs w:val="20"/>
                <w:lang w:val="en-US" w:eastAsia="en-US" w:bidi="ar-SA"/>
              </w:rPr>
              <w:t>施）</w:t>
            </w:r>
          </w:p>
        </w:tc>
        <w:tc>
          <w:tcPr>
            <w:tcW w:w="1710" w:type="dxa"/>
            <w:vAlign w:val="top"/>
          </w:tcPr>
          <w:p w14:paraId="6EEF088B">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无住宿、餐饮和</w:t>
            </w:r>
            <w:r>
              <w:rPr>
                <w:rFonts w:ascii="宋体" w:hAnsi="宋体" w:eastAsia="宋体" w:cs="宋体"/>
                <w:snapToGrid w:val="0"/>
                <w:color w:val="000000"/>
                <w:spacing w:val="7"/>
                <w:kern w:val="0"/>
                <w:sz w:val="20"/>
                <w:szCs w:val="20"/>
                <w:lang w:val="en-US" w:eastAsia="en-US" w:bidi="ar-SA"/>
              </w:rPr>
              <w:t>娱乐场所</w:t>
            </w:r>
          </w:p>
        </w:tc>
        <w:tc>
          <w:tcPr>
            <w:tcW w:w="1710" w:type="dxa"/>
            <w:vAlign w:val="top"/>
          </w:tcPr>
          <w:p w14:paraId="7FA364AA">
            <w:pPr>
              <w:kinsoku w:val="0"/>
              <w:autoSpaceDE w:val="0"/>
              <w:autoSpaceDN w:val="0"/>
              <w:adjustRightInd w:val="0"/>
              <w:snapToGrid w:val="0"/>
              <w:spacing w:before="77" w:line="219"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EB14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699" w:type="dxa"/>
            <w:vMerge w:val="continue"/>
            <w:vAlign w:val="top"/>
          </w:tcPr>
          <w:p w14:paraId="073673B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2B3DF0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0DFF4F0">
            <w:pPr>
              <w:kinsoku w:val="0"/>
              <w:autoSpaceDE w:val="0"/>
              <w:autoSpaceDN w:val="0"/>
              <w:adjustRightInd w:val="0"/>
              <w:snapToGrid w:val="0"/>
              <w:spacing w:before="81" w:line="217" w:lineRule="auto"/>
              <w:ind w:left="109" w:right="99" w:firstLine="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w:t>
            </w:r>
            <w:r>
              <w:rPr>
                <w:rFonts w:ascii="Times New Roman" w:hAnsi="Times New Roman" w:eastAsia="Times New Roman" w:cs="Times New Roman"/>
                <w:snapToGrid w:val="0"/>
                <w:color w:val="000000"/>
                <w:spacing w:val="5"/>
                <w:kern w:val="0"/>
                <w:sz w:val="20"/>
                <w:szCs w:val="20"/>
                <w:lang w:val="en-US" w:eastAsia="en-US" w:bidi="ar-SA"/>
              </w:rPr>
              <w:t>8</w:t>
            </w:r>
            <w:r>
              <w:rPr>
                <w:rFonts w:ascii="宋体" w:hAnsi="宋体" w:eastAsia="宋体" w:cs="宋体"/>
                <w:snapToGrid w:val="0"/>
                <w:color w:val="000000"/>
                <w:spacing w:val="5"/>
                <w:kern w:val="0"/>
                <w:sz w:val="20"/>
                <w:szCs w:val="20"/>
                <w:lang w:val="en-US" w:eastAsia="en-US" w:bidi="ar-SA"/>
              </w:rPr>
              <w:t>）站内不应设置建筑面积大于</w:t>
            </w:r>
            <w:r>
              <w:rPr>
                <w:rFonts w:ascii="宋体" w:hAnsi="宋体" w:eastAsia="宋体" w:cs="宋体"/>
                <w:snapToGrid w:val="0"/>
                <w:color w:val="000000"/>
                <w:spacing w:val="-29"/>
                <w:kern w:val="0"/>
                <w:sz w:val="20"/>
                <w:szCs w:val="20"/>
                <w:lang w:val="en-US" w:eastAsia="en-US" w:bidi="ar-SA"/>
              </w:rPr>
              <w:t xml:space="preserve"> </w:t>
            </w:r>
            <w:r>
              <w:rPr>
                <w:rFonts w:ascii="Times New Roman" w:hAnsi="Times New Roman" w:eastAsia="Times New Roman" w:cs="Times New Roman"/>
                <w:snapToGrid w:val="0"/>
                <w:color w:val="000000"/>
                <w:spacing w:val="5"/>
                <w:kern w:val="0"/>
                <w:sz w:val="20"/>
                <w:szCs w:val="20"/>
                <w:lang w:val="en-US" w:eastAsia="en-US" w:bidi="ar-SA"/>
              </w:rPr>
              <w:t xml:space="preserve">50 </w:t>
            </w:r>
            <w:r>
              <w:rPr>
                <w:rFonts w:ascii="宋体" w:hAnsi="宋体" w:eastAsia="宋体" w:cs="宋体"/>
                <w:snapToGrid w:val="0"/>
                <w:color w:val="000000"/>
                <w:spacing w:val="5"/>
                <w:kern w:val="0"/>
                <w:sz w:val="20"/>
                <w:szCs w:val="20"/>
                <w:lang w:val="en-US" w:eastAsia="en-US" w:bidi="ar-SA"/>
              </w:rPr>
              <w:t>㎡的商店。商店内</w:t>
            </w:r>
            <w:r>
              <w:rPr>
                <w:rFonts w:ascii="宋体" w:hAnsi="宋体" w:eastAsia="宋体" w:cs="宋体"/>
                <w:snapToGrid w:val="0"/>
                <w:color w:val="000000"/>
                <w:spacing w:val="8"/>
                <w:kern w:val="0"/>
                <w:sz w:val="20"/>
                <w:szCs w:val="20"/>
                <w:lang w:val="en-US" w:eastAsia="en-US" w:bidi="ar-SA"/>
              </w:rPr>
              <w:t>不应经营易燃易爆危险品。</w:t>
            </w:r>
          </w:p>
        </w:tc>
        <w:tc>
          <w:tcPr>
            <w:tcW w:w="1710" w:type="dxa"/>
            <w:vAlign w:val="top"/>
          </w:tcPr>
          <w:p w14:paraId="410A8B48">
            <w:pPr>
              <w:kinsoku w:val="0"/>
              <w:autoSpaceDE w:val="0"/>
              <w:autoSpaceDN w:val="0"/>
              <w:adjustRightInd w:val="0"/>
              <w:snapToGrid w:val="0"/>
              <w:spacing w:before="221" w:line="228" w:lineRule="auto"/>
              <w:ind w:left="153"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已经过消防验收</w:t>
            </w:r>
          </w:p>
        </w:tc>
        <w:tc>
          <w:tcPr>
            <w:tcW w:w="1710" w:type="dxa"/>
            <w:vAlign w:val="top"/>
          </w:tcPr>
          <w:p w14:paraId="2FFA39B3">
            <w:pPr>
              <w:kinsoku w:val="0"/>
              <w:autoSpaceDE w:val="0"/>
              <w:autoSpaceDN w:val="0"/>
              <w:adjustRightInd w:val="0"/>
              <w:snapToGrid w:val="0"/>
              <w:spacing w:before="81" w:line="217"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DA8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1" w:hRule="atLeast"/>
        </w:trPr>
        <w:tc>
          <w:tcPr>
            <w:tcW w:w="699" w:type="dxa"/>
            <w:vMerge w:val="continue"/>
            <w:vAlign w:val="top"/>
          </w:tcPr>
          <w:p w14:paraId="769F1E1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B45FEE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08FD37B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9</w:t>
            </w:r>
            <w:r>
              <w:rPr>
                <w:rFonts w:ascii="宋体" w:hAnsi="宋体" w:eastAsia="宋体" w:cs="宋体"/>
                <w:snapToGrid w:val="0"/>
                <w:color w:val="000000"/>
                <w:spacing w:val="8"/>
                <w:kern w:val="0"/>
                <w:sz w:val="20"/>
                <w:szCs w:val="20"/>
                <w:lang w:val="en-US" w:eastAsia="en-US" w:bidi="ar-SA"/>
              </w:rPr>
              <w:t>）是否按要求进行消防设施、器材管理</w:t>
            </w:r>
          </w:p>
          <w:p w14:paraId="4140D826">
            <w:pPr>
              <w:kinsoku w:val="0"/>
              <w:autoSpaceDE w:val="0"/>
              <w:autoSpaceDN w:val="0"/>
              <w:adjustRightInd w:val="0"/>
              <w:snapToGrid w:val="0"/>
              <w:spacing w:before="32" w:line="253" w:lineRule="auto"/>
              <w:ind w:left="105" w:right="65" w:firstLine="16"/>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8"/>
                <w:kern w:val="0"/>
                <w:sz w:val="20"/>
                <w:szCs w:val="20"/>
                <w:lang w:val="en-US" w:eastAsia="en-US" w:bidi="ar-SA"/>
              </w:rPr>
              <w:t>1.</w:t>
            </w:r>
            <w:r>
              <w:rPr>
                <w:rFonts w:ascii="宋体" w:hAnsi="宋体" w:eastAsia="宋体" w:cs="宋体"/>
                <w:snapToGrid w:val="0"/>
                <w:color w:val="000000"/>
                <w:spacing w:val="8"/>
                <w:kern w:val="0"/>
                <w:sz w:val="20"/>
                <w:szCs w:val="20"/>
                <w:lang w:val="en-US" w:eastAsia="en-US" w:bidi="ar-SA"/>
              </w:rPr>
              <w:t>对消防设施、器材应加强日常管理和维护</w:t>
            </w:r>
            <w:r>
              <w:rPr>
                <w:rFonts w:ascii="宋体" w:hAnsi="宋体" w:eastAsia="宋体" w:cs="宋体"/>
                <w:snapToGrid w:val="0"/>
                <w:color w:val="000000"/>
                <w:spacing w:val="7"/>
                <w:kern w:val="0"/>
                <w:sz w:val="20"/>
                <w:szCs w:val="20"/>
                <w:lang w:val="en-US" w:eastAsia="en-US" w:bidi="ar-SA"/>
              </w:rPr>
              <w:t>，建立消防</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设施、器材的巡查、检测、维修保养等管理档案，记明</w:t>
            </w:r>
            <w:r>
              <w:rPr>
                <w:rFonts w:ascii="宋体" w:hAnsi="宋体" w:eastAsia="宋体" w:cs="宋体"/>
                <w:snapToGrid w:val="0"/>
                <w:color w:val="000000"/>
                <w:spacing w:val="17"/>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配置类型、数量、设置位置、检查维修单位（人员）、</w:t>
            </w:r>
            <w:r>
              <w:rPr>
                <w:rFonts w:ascii="宋体" w:hAnsi="宋体" w:eastAsia="宋体" w:cs="宋体"/>
                <w:snapToGrid w:val="0"/>
                <w:color w:val="000000"/>
                <w:spacing w:val="6"/>
                <w:kern w:val="0"/>
                <w:sz w:val="20"/>
                <w:szCs w:val="20"/>
                <w:lang w:val="en-US" w:eastAsia="en-US" w:bidi="ar-SA"/>
              </w:rPr>
              <w:t>更换药剂的时间等有关情况，严禁损坏、挪用或擅自拆</w:t>
            </w:r>
            <w:r>
              <w:rPr>
                <w:rFonts w:ascii="宋体" w:hAnsi="宋体" w:eastAsia="宋体" w:cs="宋体"/>
                <w:snapToGrid w:val="0"/>
                <w:color w:val="000000"/>
                <w:spacing w:val="5"/>
                <w:kern w:val="0"/>
                <w:sz w:val="20"/>
                <w:szCs w:val="20"/>
                <w:lang w:val="en-US" w:eastAsia="en-US" w:bidi="ar-SA"/>
              </w:rPr>
              <w:t>除、停用。</w:t>
            </w:r>
          </w:p>
          <w:p w14:paraId="11990F95">
            <w:pPr>
              <w:kinsoku w:val="0"/>
              <w:autoSpaceDE w:val="0"/>
              <w:autoSpaceDN w:val="0"/>
              <w:adjustRightInd w:val="0"/>
              <w:snapToGrid w:val="0"/>
              <w:spacing w:before="30" w:line="244" w:lineRule="auto"/>
              <w:ind w:left="103" w:right="99" w:hanging="2"/>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消火栓、灭火器、灭火毯、消防沙箱或沙池等消防设</w:t>
            </w:r>
            <w:r>
              <w:rPr>
                <w:rFonts w:ascii="宋体" w:hAnsi="宋体" w:eastAsia="宋体" w:cs="宋体"/>
                <w:snapToGrid w:val="0"/>
                <w:color w:val="000000"/>
                <w:spacing w:val="15"/>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施、器材应设置消防安全标志。</w:t>
            </w:r>
          </w:p>
          <w:p w14:paraId="117EFE8C">
            <w:pPr>
              <w:kinsoku w:val="0"/>
              <w:autoSpaceDE w:val="0"/>
              <w:autoSpaceDN w:val="0"/>
              <w:adjustRightInd w:val="0"/>
              <w:snapToGrid w:val="0"/>
              <w:spacing w:before="33" w:line="251" w:lineRule="auto"/>
              <w:ind w:left="105" w:right="65"/>
              <w:jc w:val="both"/>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8"/>
                <w:kern w:val="0"/>
                <w:sz w:val="20"/>
                <w:szCs w:val="20"/>
                <w:lang w:val="en-US" w:eastAsia="en-US" w:bidi="ar-SA"/>
              </w:rPr>
              <w:t>3.</w:t>
            </w:r>
            <w:r>
              <w:rPr>
                <w:rFonts w:ascii="宋体" w:hAnsi="宋体" w:eastAsia="宋体" w:cs="宋体"/>
                <w:snapToGrid w:val="0"/>
                <w:color w:val="000000"/>
                <w:spacing w:val="8"/>
                <w:kern w:val="0"/>
                <w:sz w:val="20"/>
                <w:szCs w:val="20"/>
                <w:lang w:val="en-US" w:eastAsia="en-US" w:bidi="ar-SA"/>
              </w:rPr>
              <w:t>灭火器、灭火毯应放置于醒目且便于取用位置。灭火器应保持标识清晰，各种部件不应有严重损伤、变形、</w:t>
            </w:r>
            <w:r>
              <w:rPr>
                <w:rFonts w:ascii="宋体" w:hAnsi="宋体" w:eastAsia="宋体" w:cs="宋体"/>
                <w:snapToGrid w:val="0"/>
                <w:color w:val="000000"/>
                <w:spacing w:val="6"/>
                <w:kern w:val="0"/>
                <w:sz w:val="20"/>
                <w:szCs w:val="20"/>
                <w:lang w:val="en-US" w:eastAsia="en-US" w:bidi="ar-SA"/>
              </w:rPr>
              <w:t>锈蚀等缺陷，存放地点及环境应符合要求，并定期进行检查、维保。</w:t>
            </w:r>
          </w:p>
          <w:p w14:paraId="4B6AC0AF">
            <w:pPr>
              <w:kinsoku w:val="0"/>
              <w:autoSpaceDE w:val="0"/>
              <w:autoSpaceDN w:val="0"/>
              <w:adjustRightInd w:val="0"/>
              <w:snapToGrid w:val="0"/>
              <w:spacing w:before="29" w:line="224" w:lineRule="auto"/>
              <w:ind w:left="104" w:right="64" w:hanging="4"/>
              <w:jc w:val="left"/>
              <w:textAlignment w:val="baseline"/>
              <w:rPr>
                <w:rFonts w:ascii="宋体" w:hAnsi="宋体" w:eastAsia="宋体" w:cs="宋体"/>
                <w:snapToGrid w:val="0"/>
                <w:color w:val="000000"/>
                <w:kern w:val="0"/>
                <w:sz w:val="20"/>
                <w:szCs w:val="20"/>
                <w:lang w:val="en-US" w:eastAsia="en-US" w:bidi="ar-SA"/>
              </w:rPr>
            </w:pPr>
            <w:r>
              <w:rPr>
                <w:rFonts w:ascii="Times New Roman" w:hAnsi="Times New Roman" w:eastAsia="Times New Roman" w:cs="Times New Roman"/>
                <w:snapToGrid w:val="0"/>
                <w:color w:val="000000"/>
                <w:spacing w:val="10"/>
                <w:kern w:val="0"/>
                <w:sz w:val="20"/>
                <w:szCs w:val="20"/>
                <w:lang w:val="en-US" w:eastAsia="en-US" w:bidi="ar-SA"/>
              </w:rPr>
              <w:t>4.</w:t>
            </w:r>
            <w:r>
              <w:rPr>
                <w:rFonts w:ascii="宋体" w:hAnsi="宋体" w:eastAsia="宋体" w:cs="宋体"/>
                <w:snapToGrid w:val="0"/>
                <w:color w:val="000000"/>
                <w:spacing w:val="10"/>
                <w:kern w:val="0"/>
                <w:sz w:val="20"/>
                <w:szCs w:val="20"/>
                <w:lang w:val="en-US" w:eastAsia="en-US" w:bidi="ar-SA"/>
              </w:rPr>
              <w:t>消防沙箱或沙池内应保持沙量充足，不应存</w:t>
            </w:r>
            <w:r>
              <w:rPr>
                <w:rFonts w:ascii="宋体" w:hAnsi="宋体" w:eastAsia="宋体" w:cs="宋体"/>
                <w:snapToGrid w:val="0"/>
                <w:color w:val="000000"/>
                <w:spacing w:val="9"/>
                <w:kern w:val="0"/>
                <w:sz w:val="20"/>
                <w:szCs w:val="20"/>
                <w:lang w:val="en-US" w:eastAsia="en-US" w:bidi="ar-SA"/>
              </w:rPr>
              <w:t>放杂物，</w:t>
            </w:r>
            <w:r>
              <w:rPr>
                <w:rFonts w:ascii="宋体" w:hAnsi="宋体" w:eastAsia="宋体" w:cs="宋体"/>
                <w:snapToGrid w:val="0"/>
                <w:color w:val="000000"/>
                <w:spacing w:val="6"/>
                <w:kern w:val="0"/>
                <w:sz w:val="20"/>
                <w:szCs w:val="20"/>
                <w:lang w:val="en-US" w:eastAsia="en-US" w:bidi="ar-SA"/>
              </w:rPr>
              <w:t>沙子应保持干燥不结块，不含树叶、石子等杂质，附近</w:t>
            </w:r>
            <w:r>
              <w:rPr>
                <w:rFonts w:ascii="宋体" w:hAnsi="宋体" w:eastAsia="宋体" w:cs="宋体"/>
                <w:snapToGrid w:val="0"/>
                <w:color w:val="000000"/>
                <w:spacing w:val="8"/>
                <w:kern w:val="0"/>
                <w:sz w:val="20"/>
                <w:szCs w:val="20"/>
                <w:lang w:val="en-US" w:eastAsia="en-US" w:bidi="ar-SA"/>
              </w:rPr>
              <w:t>应配置沙铲、沙桶、推车等灭火和应急处置辅助器材。</w:t>
            </w:r>
          </w:p>
        </w:tc>
        <w:tc>
          <w:tcPr>
            <w:tcW w:w="1710" w:type="dxa"/>
            <w:vAlign w:val="top"/>
          </w:tcPr>
          <w:p w14:paraId="023CB4C8">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7ED05A4D">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5DA2C1EE">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08D80342">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4C83C646">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49A0BF0B">
            <w:pPr>
              <w:widowControl/>
              <w:kinsoku w:val="0"/>
              <w:autoSpaceDE w:val="0"/>
              <w:autoSpaceDN w:val="0"/>
              <w:adjustRightInd w:val="0"/>
              <w:snapToGrid w:val="0"/>
              <w:spacing w:line="241" w:lineRule="auto"/>
              <w:jc w:val="left"/>
              <w:textAlignment w:val="baseline"/>
              <w:rPr>
                <w:rFonts w:ascii="Arial" w:hAnsi="Arial" w:eastAsia="Arial" w:cs="Arial"/>
                <w:snapToGrid w:val="0"/>
                <w:color w:val="000000"/>
                <w:kern w:val="0"/>
                <w:sz w:val="21"/>
                <w:lang w:eastAsia="en-US"/>
              </w:rPr>
            </w:pPr>
          </w:p>
          <w:p w14:paraId="06E1F305">
            <w:pPr>
              <w:widowControl/>
              <w:kinsoku w:val="0"/>
              <w:autoSpaceDE w:val="0"/>
              <w:autoSpaceDN w:val="0"/>
              <w:adjustRightInd w:val="0"/>
              <w:snapToGrid w:val="0"/>
              <w:spacing w:line="242" w:lineRule="auto"/>
              <w:jc w:val="left"/>
              <w:textAlignment w:val="baseline"/>
              <w:rPr>
                <w:rFonts w:ascii="Arial" w:hAnsi="Arial" w:eastAsia="Arial" w:cs="Arial"/>
                <w:snapToGrid w:val="0"/>
                <w:color w:val="000000"/>
                <w:kern w:val="0"/>
                <w:sz w:val="21"/>
                <w:lang w:eastAsia="en-US"/>
              </w:rPr>
            </w:pPr>
          </w:p>
          <w:p w14:paraId="108476D4">
            <w:pPr>
              <w:kinsoku w:val="0"/>
              <w:autoSpaceDE w:val="0"/>
              <w:autoSpaceDN w:val="0"/>
              <w:adjustRightInd w:val="0"/>
              <w:snapToGrid w:val="0"/>
              <w:spacing w:before="65" w:line="228" w:lineRule="auto"/>
              <w:ind w:left="132"/>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按要求设置灭火</w:t>
            </w:r>
          </w:p>
          <w:p w14:paraId="799B068B">
            <w:pPr>
              <w:kinsoku w:val="0"/>
              <w:autoSpaceDE w:val="0"/>
              <w:autoSpaceDN w:val="0"/>
              <w:adjustRightInd w:val="0"/>
              <w:snapToGrid w:val="0"/>
              <w:spacing w:before="33" w:line="228" w:lineRule="auto"/>
              <w:ind w:left="13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器、灭火毯、消</w:t>
            </w:r>
          </w:p>
          <w:p w14:paraId="0B534B02">
            <w:pPr>
              <w:kinsoku w:val="0"/>
              <w:autoSpaceDE w:val="0"/>
              <w:autoSpaceDN w:val="0"/>
              <w:adjustRightInd w:val="0"/>
              <w:snapToGrid w:val="0"/>
              <w:spacing w:before="33" w:line="228" w:lineRule="auto"/>
              <w:ind w:left="355"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防沙等设置</w:t>
            </w:r>
          </w:p>
        </w:tc>
        <w:tc>
          <w:tcPr>
            <w:tcW w:w="1710" w:type="dxa"/>
            <w:vAlign w:val="top"/>
          </w:tcPr>
          <w:p w14:paraId="1BF74891">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77E82B81">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7FDB2F67">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50D33D50">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231BDF1D">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7CF7C4DA">
            <w:pPr>
              <w:widowControl/>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lang w:eastAsia="en-US"/>
              </w:rPr>
            </w:pPr>
          </w:p>
          <w:p w14:paraId="754EE624">
            <w:pPr>
              <w:widowControl/>
              <w:kinsoku w:val="0"/>
              <w:autoSpaceDE w:val="0"/>
              <w:autoSpaceDN w:val="0"/>
              <w:adjustRightInd w:val="0"/>
              <w:snapToGrid w:val="0"/>
              <w:spacing w:line="262" w:lineRule="auto"/>
              <w:jc w:val="left"/>
              <w:textAlignment w:val="baseline"/>
              <w:rPr>
                <w:rFonts w:ascii="Arial" w:hAnsi="Arial" w:eastAsia="Arial" w:cs="Arial"/>
                <w:snapToGrid w:val="0"/>
                <w:color w:val="000000"/>
                <w:kern w:val="0"/>
                <w:sz w:val="21"/>
                <w:lang w:eastAsia="en-US"/>
              </w:rPr>
            </w:pPr>
          </w:p>
          <w:p w14:paraId="6A605790">
            <w:pPr>
              <w:kinsoku w:val="0"/>
              <w:autoSpaceDE w:val="0"/>
              <w:autoSpaceDN w:val="0"/>
              <w:adjustRightInd w:val="0"/>
              <w:snapToGrid w:val="0"/>
              <w:spacing w:before="65" w:line="243"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19AE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continue"/>
            <w:vAlign w:val="top"/>
          </w:tcPr>
          <w:p w14:paraId="6F02295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16EBEA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7AB03B65">
            <w:pPr>
              <w:kinsoku w:val="0"/>
              <w:autoSpaceDE w:val="0"/>
              <w:autoSpaceDN w:val="0"/>
              <w:adjustRightInd w:val="0"/>
              <w:snapToGrid w:val="0"/>
              <w:spacing w:before="108" w:line="222" w:lineRule="auto"/>
              <w:ind w:left="108" w:right="99" w:firstLine="7"/>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w:t>
            </w:r>
            <w:r>
              <w:rPr>
                <w:rFonts w:ascii="Times New Roman" w:hAnsi="Times New Roman" w:eastAsia="Times New Roman" w:cs="Times New Roman"/>
                <w:snapToGrid w:val="0"/>
                <w:color w:val="000000"/>
                <w:spacing w:val="4"/>
                <w:kern w:val="0"/>
                <w:sz w:val="20"/>
                <w:szCs w:val="20"/>
                <w:lang w:val="en-US" w:eastAsia="en-US" w:bidi="ar-SA"/>
              </w:rPr>
              <w:t>10</w:t>
            </w:r>
            <w:r>
              <w:rPr>
                <w:rFonts w:ascii="宋体" w:hAnsi="宋体" w:eastAsia="宋体" w:cs="宋体"/>
                <w:snapToGrid w:val="0"/>
                <w:color w:val="000000"/>
                <w:spacing w:val="4"/>
                <w:kern w:val="0"/>
                <w:sz w:val="20"/>
                <w:szCs w:val="20"/>
                <w:lang w:val="en-US" w:eastAsia="en-US" w:bidi="ar-SA"/>
              </w:rPr>
              <w:t>）加油站对每名员工应至少每年进行</w:t>
            </w:r>
            <w:r>
              <w:rPr>
                <w:rFonts w:ascii="Times New Roman" w:hAnsi="Times New Roman" w:eastAsia="Times New Roman" w:cs="Times New Roman"/>
                <w:snapToGrid w:val="0"/>
                <w:color w:val="000000"/>
                <w:spacing w:val="4"/>
                <w:kern w:val="0"/>
                <w:sz w:val="20"/>
                <w:szCs w:val="20"/>
                <w:lang w:val="en-US" w:eastAsia="en-US" w:bidi="ar-SA"/>
              </w:rPr>
              <w:t>1</w:t>
            </w:r>
            <w:r>
              <w:rPr>
                <w:rFonts w:ascii="宋体" w:hAnsi="宋体" w:eastAsia="宋体" w:cs="宋体"/>
                <w:snapToGrid w:val="0"/>
                <w:color w:val="000000"/>
                <w:spacing w:val="4"/>
                <w:kern w:val="0"/>
                <w:sz w:val="20"/>
                <w:szCs w:val="20"/>
                <w:lang w:val="en-US" w:eastAsia="en-US" w:bidi="ar-SA"/>
              </w:rPr>
              <w:t>次消防安全</w:t>
            </w:r>
            <w:r>
              <w:rPr>
                <w:rFonts w:ascii="宋体" w:hAnsi="宋体" w:eastAsia="宋体" w:cs="宋体"/>
                <w:snapToGrid w:val="0"/>
                <w:color w:val="000000"/>
                <w:spacing w:val="15"/>
                <w:kern w:val="0"/>
                <w:sz w:val="20"/>
                <w:szCs w:val="20"/>
                <w:lang w:val="en-US" w:eastAsia="en-US" w:bidi="ar-SA"/>
              </w:rPr>
              <w:t>教育培训，新员工经消防安全教育培训合格后方可上</w:t>
            </w:r>
            <w:r>
              <w:rPr>
                <w:rFonts w:ascii="宋体" w:hAnsi="宋体" w:eastAsia="宋体" w:cs="宋体"/>
                <w:snapToGrid w:val="0"/>
                <w:color w:val="000000"/>
                <w:spacing w:val="9"/>
                <w:kern w:val="0"/>
                <w:sz w:val="20"/>
                <w:szCs w:val="20"/>
                <w:lang w:val="en-US" w:eastAsia="en-US" w:bidi="ar-SA"/>
              </w:rPr>
              <w:t>岗。组织开展消防安全教育培训的情况应记录存</w:t>
            </w:r>
            <w:r>
              <w:rPr>
                <w:rFonts w:ascii="宋体" w:hAnsi="宋体" w:eastAsia="宋体" w:cs="宋体"/>
                <w:snapToGrid w:val="0"/>
                <w:color w:val="000000"/>
                <w:spacing w:val="8"/>
                <w:kern w:val="0"/>
                <w:sz w:val="20"/>
                <w:szCs w:val="20"/>
                <w:lang w:val="en-US" w:eastAsia="en-US" w:bidi="ar-SA"/>
              </w:rPr>
              <w:t>档。</w:t>
            </w:r>
          </w:p>
        </w:tc>
        <w:tc>
          <w:tcPr>
            <w:tcW w:w="1710" w:type="dxa"/>
            <w:vAlign w:val="top"/>
          </w:tcPr>
          <w:p w14:paraId="2A754AB9">
            <w:pPr>
              <w:kinsoku w:val="0"/>
              <w:autoSpaceDE w:val="0"/>
              <w:autoSpaceDN w:val="0"/>
              <w:adjustRightInd w:val="0"/>
              <w:snapToGrid w:val="0"/>
              <w:spacing w:before="109" w:line="228" w:lineRule="auto"/>
              <w:ind w:left="136"/>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定期进行教育培</w:t>
            </w:r>
          </w:p>
          <w:p w14:paraId="7C73BA4B">
            <w:pPr>
              <w:kinsoku w:val="0"/>
              <w:autoSpaceDE w:val="0"/>
              <w:autoSpaceDN w:val="0"/>
              <w:adjustRightInd w:val="0"/>
              <w:snapToGrid w:val="0"/>
              <w:spacing w:before="31" w:line="229" w:lineRule="auto"/>
              <w:ind w:right="3"/>
              <w:jc w:val="righ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训，有培训记录，</w:t>
            </w:r>
          </w:p>
          <w:p w14:paraId="64608B3F">
            <w:pPr>
              <w:kinsoku w:val="0"/>
              <w:autoSpaceDE w:val="0"/>
              <w:autoSpaceDN w:val="0"/>
              <w:adjustRightInd w:val="0"/>
              <w:snapToGrid w:val="0"/>
              <w:spacing w:before="32" w:line="161" w:lineRule="exact"/>
              <w:ind w:left="554"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position w:val="-1"/>
                <w:sz w:val="20"/>
                <w:szCs w:val="20"/>
                <w:lang w:val="en-US" w:eastAsia="en-US" w:bidi="ar-SA"/>
              </w:rPr>
              <w:t>见附件</w:t>
            </w:r>
          </w:p>
        </w:tc>
        <w:tc>
          <w:tcPr>
            <w:tcW w:w="1710" w:type="dxa"/>
            <w:vAlign w:val="top"/>
          </w:tcPr>
          <w:p w14:paraId="7F1ED6C5">
            <w:pPr>
              <w:kinsoku w:val="0"/>
              <w:autoSpaceDE w:val="0"/>
              <w:autoSpaceDN w:val="0"/>
              <w:adjustRightInd w:val="0"/>
              <w:snapToGrid w:val="0"/>
              <w:spacing w:before="248" w:line="245"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96D9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trPr>
        <w:tc>
          <w:tcPr>
            <w:tcW w:w="699" w:type="dxa"/>
            <w:vMerge w:val="restart"/>
            <w:vAlign w:val="top"/>
          </w:tcPr>
          <w:p w14:paraId="19D4FA61">
            <w:pPr>
              <w:widowControl/>
              <w:kinsoku w:val="0"/>
              <w:autoSpaceDE w:val="0"/>
              <w:autoSpaceDN w:val="0"/>
              <w:adjustRightInd w:val="0"/>
              <w:snapToGrid w:val="0"/>
              <w:spacing w:line="265" w:lineRule="auto"/>
              <w:jc w:val="left"/>
              <w:textAlignment w:val="baseline"/>
              <w:rPr>
                <w:rFonts w:ascii="Arial" w:hAnsi="Arial" w:eastAsia="Arial" w:cs="Arial"/>
                <w:snapToGrid w:val="0"/>
                <w:color w:val="000000"/>
                <w:kern w:val="0"/>
                <w:sz w:val="21"/>
                <w:lang w:eastAsia="en-US"/>
              </w:rPr>
            </w:pPr>
          </w:p>
          <w:p w14:paraId="646D10AF">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67DB60C2">
            <w:pPr>
              <w:widowControl/>
              <w:kinsoku w:val="0"/>
              <w:autoSpaceDE w:val="0"/>
              <w:autoSpaceDN w:val="0"/>
              <w:adjustRightInd w:val="0"/>
              <w:snapToGrid w:val="0"/>
              <w:spacing w:line="266" w:lineRule="auto"/>
              <w:jc w:val="left"/>
              <w:textAlignment w:val="baseline"/>
              <w:rPr>
                <w:rFonts w:ascii="Arial" w:hAnsi="Arial" w:eastAsia="Arial" w:cs="Arial"/>
                <w:snapToGrid w:val="0"/>
                <w:color w:val="000000"/>
                <w:kern w:val="0"/>
                <w:sz w:val="21"/>
                <w:lang w:eastAsia="en-US"/>
              </w:rPr>
            </w:pPr>
          </w:p>
          <w:p w14:paraId="58F2406B">
            <w:pPr>
              <w:widowControl/>
              <w:kinsoku w:val="0"/>
              <w:autoSpaceDE w:val="0"/>
              <w:autoSpaceDN w:val="0"/>
              <w:adjustRightInd w:val="0"/>
              <w:snapToGrid w:val="0"/>
              <w:spacing w:before="58" w:line="195" w:lineRule="auto"/>
              <w:ind w:left="224"/>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6</w:t>
            </w:r>
          </w:p>
        </w:tc>
        <w:tc>
          <w:tcPr>
            <w:tcW w:w="625" w:type="dxa"/>
            <w:vMerge w:val="restart"/>
            <w:vAlign w:val="top"/>
          </w:tcPr>
          <w:p w14:paraId="40321CE3">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lang w:eastAsia="en-US"/>
              </w:rPr>
            </w:pPr>
          </w:p>
          <w:p w14:paraId="4157D669">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lang w:eastAsia="en-US"/>
              </w:rPr>
            </w:pPr>
          </w:p>
          <w:p w14:paraId="22537852">
            <w:pPr>
              <w:widowControl/>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lang w:eastAsia="en-US"/>
              </w:rPr>
            </w:pPr>
          </w:p>
          <w:p w14:paraId="5E8B4149">
            <w:pPr>
              <w:kinsoku w:val="0"/>
              <w:autoSpaceDE w:val="0"/>
              <w:autoSpaceDN w:val="0"/>
              <w:adjustRightInd w:val="0"/>
              <w:snapToGrid w:val="0"/>
              <w:spacing w:before="65" w:line="229" w:lineRule="auto"/>
              <w:ind w:left="16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4"/>
                <w:kern w:val="0"/>
                <w:sz w:val="20"/>
                <w:szCs w:val="20"/>
                <w:lang w:val="en-US" w:eastAsia="en-US" w:bidi="ar-SA"/>
              </w:rPr>
              <w:t>标识</w:t>
            </w:r>
          </w:p>
        </w:tc>
        <w:tc>
          <w:tcPr>
            <w:tcW w:w="4745" w:type="dxa"/>
            <w:gridSpan w:val="2"/>
            <w:vAlign w:val="top"/>
          </w:tcPr>
          <w:p w14:paraId="3D9A9D93">
            <w:pPr>
              <w:kinsoku w:val="0"/>
              <w:autoSpaceDE w:val="0"/>
              <w:autoSpaceDN w:val="0"/>
              <w:adjustRightInd w:val="0"/>
              <w:snapToGrid w:val="0"/>
              <w:spacing w:before="114" w:line="220" w:lineRule="auto"/>
              <w:ind w:left="105" w:right="99" w:firstLine="10"/>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1</w:t>
            </w:r>
            <w:r>
              <w:rPr>
                <w:rFonts w:ascii="宋体" w:hAnsi="宋体" w:eastAsia="宋体" w:cs="宋体"/>
                <w:snapToGrid w:val="0"/>
                <w:color w:val="000000"/>
                <w:spacing w:val="10"/>
                <w:kern w:val="0"/>
                <w:sz w:val="20"/>
                <w:szCs w:val="20"/>
                <w:lang w:val="en-US" w:eastAsia="en-US" w:bidi="ar-SA"/>
              </w:rPr>
              <w:t>）加油站的车辆及人员进出口处应设置醒目的“进</w:t>
            </w:r>
            <w:r>
              <w:rPr>
                <w:rFonts w:ascii="宋体" w:hAnsi="宋体" w:eastAsia="宋体" w:cs="宋体"/>
                <w:snapToGrid w:val="0"/>
                <w:color w:val="000000"/>
                <w:spacing w:val="11"/>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站消防安全须知</w:t>
            </w:r>
            <w:r>
              <w:rPr>
                <w:rFonts w:ascii="宋体" w:hAnsi="宋体" w:eastAsia="宋体" w:cs="宋体"/>
                <w:snapToGrid w:val="0"/>
                <w:color w:val="000000"/>
                <w:spacing w:val="-59"/>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”标识，明确进入加油站的要求和注意</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3"/>
                <w:kern w:val="0"/>
                <w:sz w:val="20"/>
                <w:szCs w:val="20"/>
                <w:lang w:val="en-US" w:eastAsia="en-US" w:bidi="ar-SA"/>
              </w:rPr>
              <w:t>事项。</w:t>
            </w:r>
          </w:p>
        </w:tc>
        <w:tc>
          <w:tcPr>
            <w:tcW w:w="1710" w:type="dxa"/>
            <w:vAlign w:val="top"/>
          </w:tcPr>
          <w:p w14:paraId="44626E73">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加油站进出口有</w:t>
            </w:r>
          </w:p>
          <w:p w14:paraId="4CD40256">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安全警示标识和</w:t>
            </w:r>
          </w:p>
          <w:p w14:paraId="44BF1A63">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position w:val="-1"/>
                <w:sz w:val="20"/>
                <w:szCs w:val="20"/>
                <w:lang w:val="en-US" w:eastAsia="en-US" w:bidi="ar-SA"/>
              </w:rPr>
              <w:t>进站须知</w:t>
            </w:r>
          </w:p>
        </w:tc>
        <w:tc>
          <w:tcPr>
            <w:tcW w:w="1710" w:type="dxa"/>
            <w:vAlign w:val="top"/>
          </w:tcPr>
          <w:p w14:paraId="6DEC46AE">
            <w:pPr>
              <w:kinsoku w:val="0"/>
              <w:autoSpaceDE w:val="0"/>
              <w:autoSpaceDN w:val="0"/>
              <w:adjustRightInd w:val="0"/>
              <w:snapToGrid w:val="0"/>
              <w:spacing w:before="252" w:line="245"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E15D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02" w:hRule="atLeast"/>
        </w:trPr>
        <w:tc>
          <w:tcPr>
            <w:tcW w:w="699" w:type="dxa"/>
            <w:vMerge w:val="continue"/>
            <w:vAlign w:val="top"/>
          </w:tcPr>
          <w:p w14:paraId="70DA0C5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7E9518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F230E76">
            <w:pPr>
              <w:kinsoku w:val="0"/>
              <w:autoSpaceDE w:val="0"/>
              <w:autoSpaceDN w:val="0"/>
              <w:adjustRightInd w:val="0"/>
              <w:snapToGrid w:val="0"/>
              <w:spacing w:before="257" w:line="228" w:lineRule="auto"/>
              <w:ind w:left="115"/>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w:t>
            </w:r>
            <w:r>
              <w:rPr>
                <w:rFonts w:ascii="Times New Roman" w:hAnsi="Times New Roman" w:eastAsia="Times New Roman" w:cs="Times New Roman"/>
                <w:snapToGrid w:val="0"/>
                <w:color w:val="000000"/>
                <w:spacing w:val="7"/>
                <w:kern w:val="0"/>
                <w:sz w:val="20"/>
                <w:szCs w:val="20"/>
                <w:lang w:val="en-US" w:eastAsia="en-US" w:bidi="ar-SA"/>
              </w:rPr>
              <w:t>2</w:t>
            </w:r>
            <w:r>
              <w:rPr>
                <w:rFonts w:ascii="宋体" w:hAnsi="宋体" w:eastAsia="宋体" w:cs="宋体"/>
                <w:snapToGrid w:val="0"/>
                <w:color w:val="000000"/>
                <w:spacing w:val="7"/>
                <w:kern w:val="0"/>
                <w:sz w:val="20"/>
                <w:szCs w:val="20"/>
                <w:lang w:val="en-US" w:eastAsia="en-US" w:bidi="ar-SA"/>
              </w:rPr>
              <w:t>）加油机上应有油品标识。</w:t>
            </w:r>
          </w:p>
        </w:tc>
        <w:tc>
          <w:tcPr>
            <w:tcW w:w="1710" w:type="dxa"/>
            <w:vAlign w:val="top"/>
          </w:tcPr>
          <w:p w14:paraId="68BB8D62">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加油枪设置油品</w:t>
            </w:r>
            <w:r>
              <w:rPr>
                <w:rFonts w:ascii="宋体" w:hAnsi="宋体" w:eastAsia="宋体" w:cs="宋体"/>
                <w:snapToGrid w:val="0"/>
                <w:color w:val="000000"/>
                <w:spacing w:val="2"/>
                <w:kern w:val="0"/>
                <w:sz w:val="20"/>
                <w:szCs w:val="20"/>
                <w:lang w:val="en-US" w:eastAsia="en-US" w:bidi="ar-SA"/>
              </w:rPr>
              <w:t>标识。</w:t>
            </w:r>
          </w:p>
        </w:tc>
        <w:tc>
          <w:tcPr>
            <w:tcW w:w="1710" w:type="dxa"/>
            <w:vAlign w:val="top"/>
          </w:tcPr>
          <w:p w14:paraId="379810A4">
            <w:pPr>
              <w:kinsoku w:val="0"/>
              <w:autoSpaceDE w:val="0"/>
              <w:autoSpaceDN w:val="0"/>
              <w:adjustRightInd w:val="0"/>
              <w:snapToGrid w:val="0"/>
              <w:spacing w:before="118" w:line="200" w:lineRule="auto"/>
              <w:ind w:left="231" w:right="198"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42AA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699" w:type="dxa"/>
            <w:vMerge w:val="continue"/>
            <w:vAlign w:val="top"/>
          </w:tcPr>
          <w:p w14:paraId="5E94F19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0F58A0B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Merge w:val="restart"/>
            <w:vAlign w:val="top"/>
          </w:tcPr>
          <w:p w14:paraId="1E520C9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position w:val="-1"/>
                <w:sz w:val="20"/>
                <w:szCs w:val="20"/>
                <w:lang w:val="en-US" w:eastAsia="en-US" w:bidi="ar-SA"/>
              </w:rPr>
              <w:t>（</w:t>
            </w:r>
            <w:r>
              <w:rPr>
                <w:rFonts w:ascii="Times New Roman" w:hAnsi="Times New Roman" w:eastAsia="Times New Roman" w:cs="Times New Roman"/>
                <w:snapToGrid w:val="0"/>
                <w:color w:val="000000"/>
                <w:spacing w:val="9"/>
                <w:kern w:val="0"/>
                <w:position w:val="-1"/>
                <w:sz w:val="20"/>
                <w:szCs w:val="20"/>
                <w:lang w:val="en-US" w:eastAsia="en-US" w:bidi="ar-SA"/>
              </w:rPr>
              <w:t>3</w:t>
            </w:r>
            <w:r>
              <w:rPr>
                <w:rFonts w:ascii="宋体" w:hAnsi="宋体" w:eastAsia="宋体" w:cs="宋体"/>
                <w:snapToGrid w:val="0"/>
                <w:color w:val="000000"/>
                <w:spacing w:val="9"/>
                <w:kern w:val="0"/>
                <w:position w:val="-1"/>
                <w:sz w:val="20"/>
                <w:szCs w:val="20"/>
                <w:lang w:val="en-US" w:eastAsia="en-US" w:bidi="ar-SA"/>
              </w:rPr>
              <w:t>）加油区、油罐区应有“禁止吸烟</w:t>
            </w:r>
            <w:r>
              <w:rPr>
                <w:rFonts w:ascii="宋体" w:hAnsi="宋体" w:eastAsia="宋体" w:cs="宋体"/>
                <w:snapToGrid w:val="0"/>
                <w:color w:val="000000"/>
                <w:spacing w:val="-63"/>
                <w:kern w:val="0"/>
                <w:position w:val="-1"/>
                <w:sz w:val="20"/>
                <w:szCs w:val="20"/>
                <w:lang w:val="en-US" w:eastAsia="en-US" w:bidi="ar-SA"/>
              </w:rPr>
              <w:t xml:space="preserve"> </w:t>
            </w:r>
            <w:r>
              <w:rPr>
                <w:rFonts w:ascii="宋体" w:hAnsi="宋体" w:eastAsia="宋体" w:cs="宋体"/>
                <w:snapToGrid w:val="0"/>
                <w:color w:val="000000"/>
                <w:spacing w:val="9"/>
                <w:kern w:val="0"/>
                <w:position w:val="-1"/>
                <w:sz w:val="20"/>
                <w:szCs w:val="20"/>
                <w:lang w:val="en-US" w:eastAsia="en-US" w:bidi="ar-SA"/>
              </w:rPr>
              <w:t>”、“禁止打手</w:t>
            </w:r>
            <w:r>
              <w:rPr>
                <w:rFonts w:ascii="宋体" w:hAnsi="宋体" w:eastAsia="宋体" w:cs="宋体"/>
                <w:snapToGrid w:val="0"/>
                <w:color w:val="000000"/>
                <w:spacing w:val="6"/>
                <w:kern w:val="0"/>
                <w:sz w:val="20"/>
                <w:szCs w:val="20"/>
                <w:lang w:val="en-US" w:eastAsia="en-US" w:bidi="ar-SA"/>
              </w:rPr>
              <w:t>机</w:t>
            </w:r>
            <w:r>
              <w:rPr>
                <w:rFonts w:ascii="Times New Roman" w:hAnsi="Times New Roman" w:eastAsia="Times New Roman" w:cs="Times New Roman"/>
                <w:snapToGrid w:val="0"/>
                <w:color w:val="000000"/>
                <w:spacing w:val="6"/>
                <w:kern w:val="0"/>
                <w:sz w:val="20"/>
                <w:szCs w:val="20"/>
                <w:lang w:val="en-US" w:eastAsia="en-US" w:bidi="ar-SA"/>
              </w:rPr>
              <w:t>"</w:t>
            </w:r>
            <w:r>
              <w:rPr>
                <w:rFonts w:ascii="宋体" w:hAnsi="宋体" w:eastAsia="宋体" w:cs="宋体"/>
                <w:snapToGrid w:val="0"/>
                <w:color w:val="000000"/>
                <w:spacing w:val="6"/>
                <w:kern w:val="0"/>
                <w:sz w:val="20"/>
                <w:szCs w:val="20"/>
                <w:lang w:val="en-US" w:eastAsia="en-US" w:bidi="ar-SA"/>
              </w:rPr>
              <w:t>等安全标识。</w:t>
            </w:r>
          </w:p>
        </w:tc>
        <w:tc>
          <w:tcPr>
            <w:tcW w:w="1710" w:type="dxa"/>
            <w:vMerge w:val="restart"/>
            <w:vAlign w:val="top"/>
          </w:tcPr>
          <w:p w14:paraId="1DF309C0">
            <w:pPr>
              <w:kinsoku w:val="0"/>
              <w:autoSpaceDE w:val="0"/>
              <w:autoSpaceDN w:val="0"/>
              <w:adjustRightInd w:val="0"/>
              <w:snapToGrid w:val="0"/>
              <w:spacing w:before="120" w:line="151" w:lineRule="exact"/>
              <w:ind w:left="131"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position w:val="-1"/>
                <w:sz w:val="20"/>
                <w:szCs w:val="20"/>
                <w:lang w:val="en-US" w:eastAsia="en-US" w:bidi="ar-SA"/>
              </w:rPr>
              <w:t>有相关安全标识</w:t>
            </w:r>
          </w:p>
        </w:tc>
        <w:tc>
          <w:tcPr>
            <w:tcW w:w="1710" w:type="dxa"/>
            <w:vMerge w:val="restart"/>
            <w:vAlign w:val="top"/>
          </w:tcPr>
          <w:p w14:paraId="78FB882E">
            <w:pPr>
              <w:kinsoku w:val="0"/>
              <w:autoSpaceDE w:val="0"/>
              <w:autoSpaceDN w:val="0"/>
              <w:adjustRightInd w:val="0"/>
              <w:snapToGrid w:val="0"/>
              <w:spacing w:before="29" w:line="212" w:lineRule="auto"/>
              <w:ind w:left="228"/>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position w:val="-1"/>
                <w:sz w:val="20"/>
                <w:szCs w:val="20"/>
                <w:lang w:val="en-US" w:eastAsia="en-US" w:bidi="ar-SA"/>
              </w:rPr>
              <w:t>符合要求</w:t>
            </w:r>
          </w:p>
        </w:tc>
      </w:tr>
      <w:tr w14:paraId="61AEC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699" w:type="dxa"/>
            <w:vMerge w:val="restart"/>
            <w:vAlign w:val="top"/>
          </w:tcPr>
          <w:p w14:paraId="136C16DE">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restart"/>
            <w:vAlign w:val="top"/>
          </w:tcPr>
          <w:p w14:paraId="3465612C">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Merge w:val="continue"/>
            <w:vAlign w:val="top"/>
          </w:tcPr>
          <w:p w14:paraId="3542D688">
            <w:pPr>
              <w:kinsoku w:val="0"/>
              <w:autoSpaceDE w:val="0"/>
              <w:autoSpaceDN w:val="0"/>
              <w:adjustRightInd w:val="0"/>
              <w:snapToGrid w:val="0"/>
              <w:spacing w:before="29" w:line="212" w:lineRule="auto"/>
              <w:ind w:left="102"/>
              <w:jc w:val="left"/>
              <w:textAlignment w:val="baseline"/>
              <w:rPr>
                <w:rFonts w:ascii="宋体" w:hAnsi="宋体" w:eastAsia="宋体" w:cs="宋体"/>
                <w:snapToGrid w:val="0"/>
                <w:color w:val="000000"/>
                <w:kern w:val="0"/>
                <w:sz w:val="20"/>
                <w:szCs w:val="20"/>
                <w:lang w:val="en-US" w:eastAsia="en-US" w:bidi="ar-SA"/>
              </w:rPr>
            </w:pPr>
          </w:p>
        </w:tc>
        <w:tc>
          <w:tcPr>
            <w:tcW w:w="1710" w:type="dxa"/>
            <w:vMerge w:val="continue"/>
            <w:vAlign w:val="top"/>
          </w:tcPr>
          <w:p w14:paraId="56A8E79C">
            <w:pPr>
              <w:kinsoku w:val="0"/>
              <w:autoSpaceDE w:val="0"/>
              <w:autoSpaceDN w:val="0"/>
              <w:adjustRightInd w:val="0"/>
              <w:snapToGrid w:val="0"/>
              <w:spacing w:before="29" w:line="212" w:lineRule="auto"/>
              <w:ind w:left="228"/>
              <w:jc w:val="left"/>
              <w:textAlignment w:val="baseline"/>
              <w:rPr>
                <w:rFonts w:ascii="宋体" w:hAnsi="宋体" w:eastAsia="宋体" w:cs="宋体"/>
                <w:snapToGrid w:val="0"/>
                <w:color w:val="000000"/>
                <w:kern w:val="0"/>
                <w:sz w:val="20"/>
                <w:szCs w:val="20"/>
                <w:lang w:val="en-US" w:eastAsia="en-US" w:bidi="ar-SA"/>
              </w:rPr>
            </w:pPr>
          </w:p>
        </w:tc>
        <w:tc>
          <w:tcPr>
            <w:tcW w:w="1710" w:type="dxa"/>
            <w:vMerge w:val="continue"/>
            <w:vAlign w:val="top"/>
          </w:tcPr>
          <w:p w14:paraId="77FCE47F">
            <w:pPr>
              <w:kinsoku w:val="0"/>
              <w:autoSpaceDE w:val="0"/>
              <w:autoSpaceDN w:val="0"/>
              <w:adjustRightInd w:val="0"/>
              <w:snapToGrid w:val="0"/>
              <w:spacing w:before="29" w:line="212" w:lineRule="auto"/>
              <w:ind w:left="228"/>
              <w:jc w:val="left"/>
              <w:textAlignment w:val="baseline"/>
              <w:rPr>
                <w:rFonts w:ascii="宋体" w:hAnsi="宋体" w:eastAsia="宋体" w:cs="宋体"/>
                <w:snapToGrid w:val="0"/>
                <w:color w:val="000000"/>
                <w:kern w:val="0"/>
                <w:sz w:val="20"/>
                <w:szCs w:val="20"/>
                <w:lang w:val="en-US" w:eastAsia="en-US" w:bidi="ar-SA"/>
              </w:rPr>
            </w:pPr>
          </w:p>
        </w:tc>
      </w:tr>
      <w:tr w14:paraId="1B852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04DAEAE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570EAA9">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A719FF7">
            <w:pPr>
              <w:kinsoku w:val="0"/>
              <w:autoSpaceDE w:val="0"/>
              <w:autoSpaceDN w:val="0"/>
              <w:adjustRightInd w:val="0"/>
              <w:snapToGrid w:val="0"/>
              <w:spacing w:before="46" w:line="234" w:lineRule="auto"/>
              <w:ind w:left="91" w:right="100" w:firstLine="21"/>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4</w:t>
            </w:r>
            <w:r>
              <w:rPr>
                <w:rFonts w:ascii="宋体" w:hAnsi="宋体" w:eastAsia="宋体" w:cs="宋体"/>
                <w:snapToGrid w:val="0"/>
                <w:color w:val="000000"/>
                <w:spacing w:val="10"/>
                <w:kern w:val="0"/>
                <w:sz w:val="20"/>
                <w:szCs w:val="20"/>
                <w:lang w:val="en-US" w:eastAsia="en-US" w:bidi="ar-SA"/>
              </w:rPr>
              <w:t>）站房、变配电间等火灾危险区的明显部位应设置</w:t>
            </w:r>
            <w:r>
              <w:rPr>
                <w:rFonts w:ascii="宋体" w:hAnsi="宋体" w:eastAsia="宋体" w:cs="宋体"/>
                <w:snapToGrid w:val="0"/>
                <w:color w:val="000000"/>
                <w:spacing w:val="6"/>
                <w:kern w:val="0"/>
                <w:sz w:val="20"/>
                <w:szCs w:val="20"/>
                <w:lang w:val="en-US" w:eastAsia="en-US" w:bidi="ar-SA"/>
              </w:rPr>
              <w:t>“火灾危险区域</w:t>
            </w:r>
            <w:r>
              <w:rPr>
                <w:rFonts w:ascii="宋体" w:hAnsi="宋体" w:eastAsia="宋体" w:cs="宋体"/>
                <w:snapToGrid w:val="0"/>
                <w:color w:val="000000"/>
                <w:spacing w:val="-61"/>
                <w:kern w:val="0"/>
                <w:sz w:val="20"/>
                <w:szCs w:val="20"/>
                <w:lang w:val="en-US" w:eastAsia="en-US" w:bidi="ar-SA"/>
              </w:rPr>
              <w:t xml:space="preserve"> </w:t>
            </w:r>
            <w:r>
              <w:rPr>
                <w:rFonts w:ascii="宋体" w:hAnsi="宋体" w:eastAsia="宋体" w:cs="宋体"/>
                <w:snapToGrid w:val="0"/>
                <w:color w:val="000000"/>
                <w:spacing w:val="6"/>
                <w:kern w:val="0"/>
                <w:sz w:val="20"/>
                <w:szCs w:val="20"/>
                <w:lang w:val="en-US" w:eastAsia="en-US" w:bidi="ar-SA"/>
              </w:rPr>
              <w:t>”等标识。</w:t>
            </w:r>
          </w:p>
        </w:tc>
        <w:tc>
          <w:tcPr>
            <w:tcW w:w="1710" w:type="dxa"/>
            <w:vAlign w:val="top"/>
          </w:tcPr>
          <w:p w14:paraId="598E173F">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有“火灾危险区</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域</w:t>
            </w:r>
            <w:r>
              <w:rPr>
                <w:rFonts w:ascii="宋体" w:hAnsi="宋体" w:eastAsia="宋体" w:cs="宋体"/>
                <w:snapToGrid w:val="0"/>
                <w:color w:val="000000"/>
                <w:spacing w:val="-69"/>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”标识</w:t>
            </w:r>
          </w:p>
        </w:tc>
        <w:tc>
          <w:tcPr>
            <w:tcW w:w="1710" w:type="dxa"/>
            <w:vAlign w:val="top"/>
          </w:tcPr>
          <w:p w14:paraId="69BEF500">
            <w:pPr>
              <w:kinsoku w:val="0"/>
              <w:autoSpaceDE w:val="0"/>
              <w:autoSpaceDN w:val="0"/>
              <w:adjustRightInd w:val="0"/>
              <w:snapToGrid w:val="0"/>
              <w:spacing w:before="46" w:line="234" w:lineRule="auto"/>
              <w:ind w:left="228" w:right="201" w:hanging="3"/>
              <w:jc w:val="left"/>
              <w:textAlignment w:val="baseline"/>
              <w:rPr>
                <w:rFonts w:hint="eastAsia" w:ascii="宋体" w:hAnsi="宋体" w:eastAsia="宋体" w:cs="宋体"/>
                <w:snapToGrid w:val="0"/>
                <w:color w:val="000000"/>
                <w:kern w:val="0"/>
                <w:sz w:val="20"/>
                <w:szCs w:val="20"/>
                <w:lang w:val="en-US" w:eastAsia="zh-CN" w:bidi="ar-SA"/>
              </w:rPr>
            </w:pPr>
            <w:r>
              <w:rPr>
                <w:rFonts w:hint="eastAsia" w:ascii="宋体" w:hAnsi="宋体" w:eastAsia="宋体" w:cs="宋体"/>
                <w:snapToGrid w:val="0"/>
                <w:color w:val="000000"/>
                <w:spacing w:val="3"/>
                <w:kern w:val="0"/>
                <w:sz w:val="20"/>
                <w:szCs w:val="20"/>
                <w:lang w:val="en-US" w:eastAsia="en-US" w:bidi="ar-SA"/>
              </w:rPr>
              <w:t>符合要求</w:t>
            </w:r>
          </w:p>
        </w:tc>
      </w:tr>
      <w:tr w14:paraId="3A36D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56897D4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3DDB8C85">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02040EF">
            <w:pPr>
              <w:kinsoku w:val="0"/>
              <w:autoSpaceDE w:val="0"/>
              <w:autoSpaceDN w:val="0"/>
              <w:adjustRightInd w:val="0"/>
              <w:snapToGrid w:val="0"/>
              <w:spacing w:before="188"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5</w:t>
            </w:r>
            <w:r>
              <w:rPr>
                <w:rFonts w:ascii="宋体" w:hAnsi="宋体" w:eastAsia="宋体" w:cs="宋体"/>
                <w:snapToGrid w:val="0"/>
                <w:color w:val="000000"/>
                <w:spacing w:val="8"/>
                <w:kern w:val="0"/>
                <w:sz w:val="20"/>
                <w:szCs w:val="20"/>
                <w:lang w:val="en-US" w:eastAsia="en-US" w:bidi="ar-SA"/>
              </w:rPr>
              <w:t>）油品运输车辆应划定固定车位并设置明显标识。</w:t>
            </w:r>
          </w:p>
        </w:tc>
        <w:tc>
          <w:tcPr>
            <w:tcW w:w="1710" w:type="dxa"/>
            <w:vAlign w:val="top"/>
          </w:tcPr>
          <w:p w14:paraId="42E8CDBE">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卸车区有固定车</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8"/>
                <w:kern w:val="0"/>
                <w:sz w:val="20"/>
                <w:szCs w:val="20"/>
                <w:lang w:val="en-US" w:eastAsia="en-US" w:bidi="ar-SA"/>
              </w:rPr>
              <w:t>位停车标识</w:t>
            </w:r>
          </w:p>
        </w:tc>
        <w:tc>
          <w:tcPr>
            <w:tcW w:w="1710" w:type="dxa"/>
            <w:vAlign w:val="top"/>
          </w:tcPr>
          <w:p w14:paraId="1C40AFBC">
            <w:pPr>
              <w:kinsoku w:val="0"/>
              <w:autoSpaceDE w:val="0"/>
              <w:autoSpaceDN w:val="0"/>
              <w:adjustRightInd w:val="0"/>
              <w:snapToGrid w:val="0"/>
              <w:spacing w:before="46"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rPr>
              <w:t>符合要求</w:t>
            </w:r>
          </w:p>
        </w:tc>
      </w:tr>
      <w:tr w14:paraId="277CB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continue"/>
            <w:vAlign w:val="top"/>
          </w:tcPr>
          <w:p w14:paraId="6F925DF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05FA19D">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2CE7B695">
            <w:pPr>
              <w:kinsoku w:val="0"/>
              <w:autoSpaceDE w:val="0"/>
              <w:autoSpaceDN w:val="0"/>
              <w:adjustRightInd w:val="0"/>
              <w:snapToGrid w:val="0"/>
              <w:spacing w:before="188" w:line="245" w:lineRule="auto"/>
              <w:ind w:left="104" w:right="2" w:firstLine="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2"/>
                <w:kern w:val="0"/>
                <w:sz w:val="20"/>
                <w:szCs w:val="20"/>
                <w:lang w:val="en-US" w:eastAsia="en-US" w:bidi="ar-SA"/>
              </w:rPr>
              <w:t>（</w:t>
            </w:r>
            <w:r>
              <w:rPr>
                <w:rFonts w:ascii="Times New Roman" w:hAnsi="Times New Roman" w:eastAsia="Times New Roman" w:cs="Times New Roman"/>
                <w:snapToGrid w:val="0"/>
                <w:color w:val="000000"/>
                <w:spacing w:val="12"/>
                <w:kern w:val="0"/>
                <w:sz w:val="20"/>
                <w:szCs w:val="20"/>
                <w:lang w:val="en-US" w:eastAsia="en-US" w:bidi="ar-SA"/>
              </w:rPr>
              <w:t>6</w:t>
            </w:r>
            <w:r>
              <w:rPr>
                <w:rFonts w:ascii="宋体" w:hAnsi="宋体" w:eastAsia="宋体" w:cs="宋体"/>
                <w:snapToGrid w:val="0"/>
                <w:color w:val="000000"/>
                <w:spacing w:val="12"/>
                <w:kern w:val="0"/>
                <w:sz w:val="20"/>
                <w:szCs w:val="20"/>
                <w:lang w:val="en-US" w:eastAsia="en-US" w:bidi="ar-SA"/>
              </w:rPr>
              <w:t>）卫生间墙面上应设置“严禁烟火</w:t>
            </w:r>
            <w:r>
              <w:rPr>
                <w:rFonts w:ascii="宋体" w:hAnsi="宋体" w:eastAsia="宋体" w:cs="宋体"/>
                <w:snapToGrid w:val="0"/>
                <w:color w:val="000000"/>
                <w:spacing w:val="-65"/>
                <w:kern w:val="0"/>
                <w:sz w:val="20"/>
                <w:szCs w:val="20"/>
                <w:lang w:val="en-US" w:eastAsia="en-US" w:bidi="ar-SA"/>
              </w:rPr>
              <w:t xml:space="preserve"> </w:t>
            </w:r>
            <w:r>
              <w:rPr>
                <w:rFonts w:ascii="宋体" w:hAnsi="宋体" w:eastAsia="宋体" w:cs="宋体"/>
                <w:snapToGrid w:val="0"/>
                <w:color w:val="000000"/>
                <w:spacing w:val="12"/>
                <w:kern w:val="0"/>
                <w:sz w:val="20"/>
                <w:szCs w:val="20"/>
                <w:lang w:val="en-US" w:eastAsia="en-US" w:bidi="ar-SA"/>
              </w:rPr>
              <w:t>”“禁止吸烟</w:t>
            </w:r>
            <w:r>
              <w:rPr>
                <w:rFonts w:ascii="宋体" w:hAnsi="宋体" w:eastAsia="宋体" w:cs="宋体"/>
                <w:snapToGrid w:val="0"/>
                <w:color w:val="000000"/>
                <w:spacing w:val="-72"/>
                <w:kern w:val="0"/>
                <w:sz w:val="20"/>
                <w:szCs w:val="20"/>
                <w:lang w:val="en-US" w:eastAsia="en-US" w:bidi="ar-SA"/>
              </w:rPr>
              <w:t xml:space="preserve"> </w:t>
            </w:r>
            <w:r>
              <w:rPr>
                <w:rFonts w:ascii="宋体" w:hAnsi="宋体" w:eastAsia="宋体" w:cs="宋体"/>
                <w:snapToGrid w:val="0"/>
                <w:color w:val="000000"/>
                <w:spacing w:val="12"/>
                <w:kern w:val="0"/>
                <w:sz w:val="20"/>
                <w:szCs w:val="20"/>
                <w:lang w:val="en-US" w:eastAsia="en-US" w:bidi="ar-SA"/>
              </w:rPr>
              <w:t>”</w:t>
            </w:r>
            <w:r>
              <w:rPr>
                <w:rFonts w:ascii="宋体" w:hAnsi="宋体" w:eastAsia="宋体" w:cs="宋体"/>
                <w:snapToGrid w:val="0"/>
                <w:color w:val="000000"/>
                <w:spacing w:val="2"/>
                <w:kern w:val="0"/>
                <w:sz w:val="20"/>
                <w:szCs w:val="20"/>
                <w:lang w:val="en-US" w:eastAsia="en-US" w:bidi="ar-SA"/>
              </w:rPr>
              <w:t>标识。</w:t>
            </w:r>
          </w:p>
        </w:tc>
        <w:tc>
          <w:tcPr>
            <w:tcW w:w="1710" w:type="dxa"/>
            <w:vAlign w:val="top"/>
          </w:tcPr>
          <w:p w14:paraId="67106B9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卫生间有“严禁</w:t>
            </w:r>
            <w:r>
              <w:rPr>
                <w:rFonts w:ascii="宋体" w:hAnsi="宋体" w:eastAsia="宋体" w:cs="宋体"/>
                <w:snapToGrid w:val="0"/>
                <w:color w:val="000000"/>
                <w:spacing w:val="4"/>
                <w:kern w:val="0"/>
                <w:sz w:val="20"/>
                <w:szCs w:val="20"/>
                <w:lang w:val="en-US" w:eastAsia="en-US" w:bidi="ar-SA"/>
              </w:rPr>
              <w:t>烟火</w:t>
            </w:r>
            <w:r>
              <w:rPr>
                <w:rFonts w:ascii="宋体" w:hAnsi="宋体" w:eastAsia="宋体" w:cs="宋体"/>
                <w:snapToGrid w:val="0"/>
                <w:color w:val="000000"/>
                <w:spacing w:val="-70"/>
                <w:kern w:val="0"/>
                <w:sz w:val="20"/>
                <w:szCs w:val="20"/>
                <w:lang w:val="en-US" w:eastAsia="en-US" w:bidi="ar-SA"/>
              </w:rPr>
              <w:t xml:space="preserve"> </w:t>
            </w:r>
            <w:r>
              <w:rPr>
                <w:rFonts w:ascii="宋体" w:hAnsi="宋体" w:eastAsia="宋体" w:cs="宋体"/>
                <w:snapToGrid w:val="0"/>
                <w:color w:val="000000"/>
                <w:spacing w:val="4"/>
                <w:kern w:val="0"/>
                <w:sz w:val="20"/>
                <w:szCs w:val="20"/>
                <w:lang w:val="en-US" w:eastAsia="en-US" w:bidi="ar-SA"/>
              </w:rPr>
              <w:t>”“禁止吸</w:t>
            </w:r>
          </w:p>
          <w:p w14:paraId="780C4C8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烟</w:t>
            </w:r>
            <w:r>
              <w:rPr>
                <w:rFonts w:ascii="宋体" w:hAnsi="宋体" w:eastAsia="宋体" w:cs="宋体"/>
                <w:snapToGrid w:val="0"/>
                <w:color w:val="000000"/>
                <w:spacing w:val="-69"/>
                <w:kern w:val="0"/>
                <w:sz w:val="20"/>
                <w:szCs w:val="20"/>
                <w:lang w:val="en-US" w:eastAsia="en-US" w:bidi="ar-SA"/>
              </w:rPr>
              <w:t xml:space="preserve"> </w:t>
            </w:r>
            <w:r>
              <w:rPr>
                <w:rFonts w:ascii="宋体" w:hAnsi="宋体" w:eastAsia="宋体" w:cs="宋体"/>
                <w:snapToGrid w:val="0"/>
                <w:color w:val="000000"/>
                <w:spacing w:val="-1"/>
                <w:kern w:val="0"/>
                <w:sz w:val="20"/>
                <w:szCs w:val="20"/>
                <w:lang w:val="en-US" w:eastAsia="en-US" w:bidi="ar-SA"/>
              </w:rPr>
              <w:t>”标识</w:t>
            </w:r>
          </w:p>
        </w:tc>
        <w:tc>
          <w:tcPr>
            <w:tcW w:w="1710" w:type="dxa"/>
            <w:vAlign w:val="top"/>
          </w:tcPr>
          <w:p w14:paraId="1D52EA07">
            <w:pPr>
              <w:kinsoku w:val="0"/>
              <w:autoSpaceDE w:val="0"/>
              <w:autoSpaceDN w:val="0"/>
              <w:adjustRightInd w:val="0"/>
              <w:snapToGrid w:val="0"/>
              <w:spacing w:before="188"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59F65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6222924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9D64A4F">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4220F63">
            <w:pPr>
              <w:kinsoku w:val="0"/>
              <w:autoSpaceDE w:val="0"/>
              <w:autoSpaceDN w:val="0"/>
              <w:adjustRightInd w:val="0"/>
              <w:snapToGrid w:val="0"/>
              <w:spacing w:before="52" w:line="231" w:lineRule="auto"/>
              <w:ind w:left="104" w:right="100" w:firstLine="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7</w:t>
            </w:r>
            <w:r>
              <w:rPr>
                <w:rFonts w:ascii="宋体" w:hAnsi="宋体" w:eastAsia="宋体" w:cs="宋体"/>
                <w:snapToGrid w:val="0"/>
                <w:color w:val="000000"/>
                <w:spacing w:val="10"/>
                <w:kern w:val="0"/>
                <w:sz w:val="20"/>
                <w:szCs w:val="20"/>
                <w:lang w:val="en-US" w:eastAsia="en-US" w:bidi="ar-SA"/>
              </w:rPr>
              <w:t>）加油站作业区与辅助服务区之间应有明显的界限</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2"/>
                <w:kern w:val="0"/>
                <w:sz w:val="20"/>
                <w:szCs w:val="20"/>
                <w:lang w:val="en-US" w:eastAsia="en-US" w:bidi="ar-SA"/>
              </w:rPr>
              <w:t>标识。</w:t>
            </w:r>
          </w:p>
        </w:tc>
        <w:tc>
          <w:tcPr>
            <w:tcW w:w="1710" w:type="dxa"/>
            <w:vAlign w:val="top"/>
          </w:tcPr>
          <w:p w14:paraId="71FC9FEC">
            <w:pPr>
              <w:kinsoku w:val="0"/>
              <w:autoSpaceDE w:val="0"/>
              <w:autoSpaceDN w:val="0"/>
              <w:adjustRightInd w:val="0"/>
              <w:snapToGrid w:val="0"/>
              <w:spacing w:before="191" w:line="229" w:lineRule="auto"/>
              <w:ind w:left="34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有界限标识</w:t>
            </w:r>
          </w:p>
        </w:tc>
        <w:tc>
          <w:tcPr>
            <w:tcW w:w="1710" w:type="dxa"/>
            <w:vAlign w:val="top"/>
          </w:tcPr>
          <w:p w14:paraId="7CE012AC">
            <w:pPr>
              <w:kinsoku w:val="0"/>
              <w:autoSpaceDE w:val="0"/>
              <w:autoSpaceDN w:val="0"/>
              <w:adjustRightInd w:val="0"/>
              <w:snapToGrid w:val="0"/>
              <w:spacing w:before="52" w:line="231"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F332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Align w:val="top"/>
          </w:tcPr>
          <w:p w14:paraId="60DB05F6">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Align w:val="top"/>
          </w:tcPr>
          <w:p w14:paraId="00B419E1">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5519A0D5">
            <w:pPr>
              <w:kinsoku w:val="0"/>
              <w:autoSpaceDE w:val="0"/>
              <w:autoSpaceDN w:val="0"/>
              <w:adjustRightInd w:val="0"/>
              <w:snapToGrid w:val="0"/>
              <w:spacing w:before="52" w:line="231" w:lineRule="auto"/>
              <w:ind w:left="103"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8</w:t>
            </w:r>
            <w:r>
              <w:rPr>
                <w:rFonts w:ascii="宋体" w:hAnsi="宋体" w:eastAsia="宋体" w:cs="宋体"/>
                <w:snapToGrid w:val="0"/>
                <w:color w:val="000000"/>
                <w:spacing w:val="10"/>
                <w:kern w:val="0"/>
                <w:sz w:val="20"/>
                <w:szCs w:val="20"/>
                <w:lang w:val="en-US" w:eastAsia="en-US" w:bidi="ar-SA"/>
              </w:rPr>
              <w:t>）加油站应加强对消防安全标识的维护管理，如有</w:t>
            </w:r>
            <w:r>
              <w:rPr>
                <w:rFonts w:ascii="宋体" w:hAnsi="宋体" w:eastAsia="宋体" w:cs="宋体"/>
                <w:snapToGrid w:val="0"/>
                <w:color w:val="000000"/>
                <w:spacing w:val="8"/>
                <w:kern w:val="0"/>
                <w:sz w:val="20"/>
                <w:szCs w:val="20"/>
                <w:lang w:val="en-US" w:eastAsia="en-US" w:bidi="ar-SA"/>
              </w:rPr>
              <w:t>损坏、缺失的，应及时更换。</w:t>
            </w:r>
          </w:p>
        </w:tc>
        <w:tc>
          <w:tcPr>
            <w:tcW w:w="1710" w:type="dxa"/>
            <w:vAlign w:val="top"/>
          </w:tcPr>
          <w:p w14:paraId="2C9BA050">
            <w:pPr>
              <w:kinsoku w:val="0"/>
              <w:autoSpaceDE w:val="0"/>
              <w:autoSpaceDN w:val="0"/>
              <w:adjustRightInd w:val="0"/>
              <w:snapToGrid w:val="0"/>
              <w:spacing w:before="194" w:line="228" w:lineRule="auto"/>
              <w:ind w:left="128"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有维护保养制度</w:t>
            </w:r>
          </w:p>
        </w:tc>
        <w:tc>
          <w:tcPr>
            <w:tcW w:w="1710" w:type="dxa"/>
            <w:vAlign w:val="top"/>
          </w:tcPr>
          <w:p w14:paraId="7CBE643A">
            <w:pPr>
              <w:kinsoku w:val="0"/>
              <w:autoSpaceDE w:val="0"/>
              <w:autoSpaceDN w:val="0"/>
              <w:adjustRightInd w:val="0"/>
              <w:snapToGrid w:val="0"/>
              <w:spacing w:before="52" w:line="231"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F93C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restart"/>
            <w:vAlign w:val="top"/>
          </w:tcPr>
          <w:p w14:paraId="71C75164">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329B0DF5">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31450E7A">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777A9D19">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lang w:eastAsia="en-US"/>
              </w:rPr>
            </w:pPr>
          </w:p>
          <w:p w14:paraId="28501DFB">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E5276CA">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51B08086">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0F75E847">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5D997A5E">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27A23B8C">
            <w:pPr>
              <w:widowControl/>
              <w:kinsoku w:val="0"/>
              <w:autoSpaceDE w:val="0"/>
              <w:autoSpaceDN w:val="0"/>
              <w:adjustRightInd w:val="0"/>
              <w:snapToGrid w:val="0"/>
              <w:spacing w:line="244" w:lineRule="auto"/>
              <w:jc w:val="left"/>
              <w:textAlignment w:val="baseline"/>
              <w:rPr>
                <w:rFonts w:ascii="Arial" w:hAnsi="Arial" w:eastAsia="Arial" w:cs="Arial"/>
                <w:snapToGrid w:val="0"/>
                <w:color w:val="000000"/>
                <w:kern w:val="0"/>
                <w:sz w:val="21"/>
                <w:lang w:eastAsia="en-US"/>
              </w:rPr>
            </w:pPr>
          </w:p>
          <w:p w14:paraId="760EE57D">
            <w:pPr>
              <w:widowControl/>
              <w:kinsoku w:val="0"/>
              <w:autoSpaceDE w:val="0"/>
              <w:autoSpaceDN w:val="0"/>
              <w:adjustRightInd w:val="0"/>
              <w:snapToGrid w:val="0"/>
              <w:spacing w:before="57" w:line="192" w:lineRule="auto"/>
              <w:ind w:left="223"/>
              <w:jc w:val="left"/>
              <w:textAlignment w:val="baseline"/>
              <w:rPr>
                <w:rFonts w:ascii="Times New Roman" w:hAnsi="Times New Roman" w:eastAsia="Times New Roman" w:cs="Times New Roman"/>
                <w:snapToGrid w:val="0"/>
                <w:color w:val="000000"/>
                <w:kern w:val="0"/>
                <w:sz w:val="20"/>
                <w:szCs w:val="20"/>
                <w:lang w:eastAsia="en-US"/>
              </w:rPr>
            </w:pPr>
            <w:r>
              <w:rPr>
                <w:rFonts w:ascii="Times New Roman" w:hAnsi="Times New Roman" w:eastAsia="Times New Roman" w:cs="Times New Roman"/>
                <w:snapToGrid w:val="0"/>
                <w:color w:val="000000"/>
                <w:kern w:val="0"/>
                <w:sz w:val="20"/>
                <w:szCs w:val="20"/>
                <w:lang w:eastAsia="en-US"/>
              </w:rPr>
              <w:t>7</w:t>
            </w:r>
          </w:p>
        </w:tc>
        <w:tc>
          <w:tcPr>
            <w:tcW w:w="625" w:type="dxa"/>
            <w:vMerge w:val="restart"/>
            <w:vAlign w:val="top"/>
          </w:tcPr>
          <w:p w14:paraId="46F8B5F4">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0A85371F">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125CC857">
            <w:pPr>
              <w:widowControl/>
              <w:kinsoku w:val="0"/>
              <w:autoSpaceDE w:val="0"/>
              <w:autoSpaceDN w:val="0"/>
              <w:adjustRightInd w:val="0"/>
              <w:snapToGrid w:val="0"/>
              <w:spacing w:line="263" w:lineRule="auto"/>
              <w:jc w:val="left"/>
              <w:textAlignment w:val="baseline"/>
              <w:rPr>
                <w:rFonts w:ascii="Arial" w:hAnsi="Arial" w:eastAsia="Arial" w:cs="Arial"/>
                <w:snapToGrid w:val="0"/>
                <w:color w:val="000000"/>
                <w:kern w:val="0"/>
                <w:sz w:val="21"/>
                <w:lang w:eastAsia="en-US"/>
              </w:rPr>
            </w:pPr>
          </w:p>
          <w:p w14:paraId="36794FA3">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36604187">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6397B014">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1ADB8DD2">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09B9C4DE">
            <w:pPr>
              <w:widowControl/>
              <w:kinsoku w:val="0"/>
              <w:autoSpaceDE w:val="0"/>
              <w:autoSpaceDN w:val="0"/>
              <w:adjustRightInd w:val="0"/>
              <w:snapToGrid w:val="0"/>
              <w:spacing w:line="264" w:lineRule="auto"/>
              <w:jc w:val="left"/>
              <w:textAlignment w:val="baseline"/>
              <w:rPr>
                <w:rFonts w:ascii="Arial" w:hAnsi="Arial" w:eastAsia="Arial" w:cs="Arial"/>
                <w:snapToGrid w:val="0"/>
                <w:color w:val="000000"/>
                <w:kern w:val="0"/>
                <w:sz w:val="21"/>
                <w:lang w:eastAsia="en-US"/>
              </w:rPr>
            </w:pPr>
          </w:p>
          <w:p w14:paraId="7F02841C">
            <w:pPr>
              <w:kinsoku w:val="0"/>
              <w:autoSpaceDE w:val="0"/>
              <w:autoSpaceDN w:val="0"/>
              <w:adjustRightInd w:val="0"/>
              <w:snapToGrid w:val="0"/>
              <w:spacing w:before="65" w:line="250" w:lineRule="auto"/>
              <w:ind w:left="160" w:right="177" w:firstLine="5"/>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3"/>
                <w:kern w:val="0"/>
                <w:sz w:val="20"/>
                <w:szCs w:val="20"/>
                <w:lang w:val="en-US" w:eastAsia="en-US" w:bidi="ar-SA"/>
              </w:rPr>
              <w:t>企业</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经营</w:t>
            </w:r>
            <w:r>
              <w:rPr>
                <w:rFonts w:ascii="宋体" w:hAnsi="宋体" w:eastAsia="宋体" w:cs="宋体"/>
                <w:snapToGrid w:val="0"/>
                <w:color w:val="000000"/>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情况</w:t>
            </w:r>
          </w:p>
        </w:tc>
        <w:tc>
          <w:tcPr>
            <w:tcW w:w="4745" w:type="dxa"/>
            <w:gridSpan w:val="2"/>
            <w:vAlign w:val="top"/>
          </w:tcPr>
          <w:p w14:paraId="332A4265">
            <w:pPr>
              <w:kinsoku w:val="0"/>
              <w:autoSpaceDE w:val="0"/>
              <w:autoSpaceDN w:val="0"/>
              <w:adjustRightInd w:val="0"/>
              <w:snapToGrid w:val="0"/>
              <w:spacing w:before="56" w:line="239" w:lineRule="auto"/>
              <w:ind w:left="105" w:right="46" w:firstLine="8"/>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1</w:t>
            </w:r>
            <w:r>
              <w:rPr>
                <w:rFonts w:ascii="宋体" w:hAnsi="宋体" w:eastAsia="宋体" w:cs="宋体"/>
                <w:snapToGrid w:val="0"/>
                <w:color w:val="000000"/>
                <w:spacing w:val="10"/>
                <w:kern w:val="0"/>
                <w:sz w:val="20"/>
                <w:szCs w:val="20"/>
                <w:lang w:val="en-US" w:eastAsia="en-US" w:bidi="ar-SA"/>
              </w:rPr>
              <w:t>）企业经营进、销台账的明细、随货同行单（明确</w:t>
            </w:r>
            <w:r>
              <w:rPr>
                <w:rFonts w:ascii="宋体" w:hAnsi="宋体" w:eastAsia="宋体" w:cs="宋体"/>
                <w:snapToGrid w:val="0"/>
                <w:color w:val="000000"/>
                <w:kern w:val="0"/>
                <w:sz w:val="20"/>
                <w:szCs w:val="20"/>
                <w:lang w:val="en-US" w:eastAsia="en-US" w:bidi="ar-SA"/>
              </w:rPr>
              <w:t>车牌号、提货人、开票人、时间地点、货品数量和质量，</w:t>
            </w:r>
            <w:r>
              <w:rPr>
                <w:rFonts w:ascii="宋体" w:hAnsi="宋体" w:eastAsia="宋体" w:cs="宋体"/>
                <w:snapToGrid w:val="0"/>
                <w:color w:val="000000"/>
                <w:spacing w:val="3"/>
                <w:kern w:val="0"/>
                <w:sz w:val="20"/>
                <w:szCs w:val="20"/>
                <w:lang w:val="en-US" w:eastAsia="en-US" w:bidi="ar-SA"/>
              </w:rPr>
              <w:t>可朔源）。</w:t>
            </w:r>
          </w:p>
        </w:tc>
        <w:tc>
          <w:tcPr>
            <w:tcW w:w="1710" w:type="dxa"/>
            <w:vAlign w:val="top"/>
          </w:tcPr>
          <w:p w14:paraId="2E4512C3">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148E8AD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符合要求</w:t>
            </w:r>
          </w:p>
        </w:tc>
        <w:tc>
          <w:tcPr>
            <w:tcW w:w="1710" w:type="dxa"/>
            <w:vAlign w:val="top"/>
          </w:tcPr>
          <w:p w14:paraId="251CEAD5">
            <w:pPr>
              <w:kinsoku w:val="0"/>
              <w:autoSpaceDE w:val="0"/>
              <w:autoSpaceDN w:val="0"/>
              <w:adjustRightInd w:val="0"/>
              <w:snapToGrid w:val="0"/>
              <w:spacing w:before="194"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70EC2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1AFC414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2C1C1AE7">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44826635">
            <w:pPr>
              <w:kinsoku w:val="0"/>
              <w:autoSpaceDE w:val="0"/>
              <w:autoSpaceDN w:val="0"/>
              <w:adjustRightInd w:val="0"/>
              <w:snapToGrid w:val="0"/>
              <w:spacing w:before="196"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2</w:t>
            </w:r>
            <w:r>
              <w:rPr>
                <w:rFonts w:ascii="宋体" w:hAnsi="宋体" w:eastAsia="宋体" w:cs="宋体"/>
                <w:snapToGrid w:val="0"/>
                <w:color w:val="000000"/>
                <w:spacing w:val="8"/>
                <w:kern w:val="0"/>
                <w:sz w:val="20"/>
                <w:szCs w:val="20"/>
                <w:lang w:val="en-US" w:eastAsia="en-US" w:bidi="ar-SA"/>
              </w:rPr>
              <w:t>）企业运输车辆相关资质、信息。</w:t>
            </w:r>
          </w:p>
        </w:tc>
        <w:tc>
          <w:tcPr>
            <w:tcW w:w="1710" w:type="dxa"/>
            <w:vAlign w:val="top"/>
          </w:tcPr>
          <w:p w14:paraId="0F4955A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经有资质单位运</w:t>
            </w:r>
            <w:r>
              <w:rPr>
                <w:rFonts w:ascii="宋体" w:hAnsi="宋体" w:eastAsia="宋体" w:cs="宋体"/>
                <w:snapToGrid w:val="0"/>
                <w:color w:val="000000"/>
                <w:spacing w:val="1"/>
                <w:kern w:val="0"/>
                <w:sz w:val="20"/>
                <w:szCs w:val="20"/>
                <w:lang w:val="en-US" w:eastAsia="en-US" w:bidi="ar-SA"/>
              </w:rPr>
              <w:t>输</w:t>
            </w:r>
          </w:p>
        </w:tc>
        <w:tc>
          <w:tcPr>
            <w:tcW w:w="1710" w:type="dxa"/>
            <w:vAlign w:val="top"/>
          </w:tcPr>
          <w:p w14:paraId="0A92E589">
            <w:pPr>
              <w:kinsoku w:val="0"/>
              <w:autoSpaceDE w:val="0"/>
              <w:autoSpaceDN w:val="0"/>
              <w:adjustRightInd w:val="0"/>
              <w:snapToGrid w:val="0"/>
              <w:spacing w:before="56" w:line="229"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2B56A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3B54B8C3">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CE3BA4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32A71229">
            <w:pPr>
              <w:kinsoku w:val="0"/>
              <w:autoSpaceDE w:val="0"/>
              <w:autoSpaceDN w:val="0"/>
              <w:adjustRightInd w:val="0"/>
              <w:snapToGrid w:val="0"/>
              <w:spacing w:before="61" w:line="227" w:lineRule="auto"/>
              <w:ind w:left="106" w:right="100" w:firstLine="7"/>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3</w:t>
            </w:r>
            <w:r>
              <w:rPr>
                <w:rFonts w:ascii="宋体" w:hAnsi="宋体" w:eastAsia="宋体" w:cs="宋体"/>
                <w:snapToGrid w:val="0"/>
                <w:color w:val="000000"/>
                <w:spacing w:val="10"/>
                <w:kern w:val="0"/>
                <w:sz w:val="20"/>
                <w:szCs w:val="20"/>
                <w:lang w:val="en-US" w:eastAsia="en-US" w:bidi="ar-SA"/>
              </w:rPr>
              <w:t>）企业对货物的信息、数量、品种等工作的安全管</w:t>
            </w:r>
            <w:r>
              <w:rPr>
                <w:rFonts w:ascii="宋体" w:hAnsi="宋体" w:eastAsia="宋体" w:cs="宋体"/>
                <w:snapToGrid w:val="0"/>
                <w:color w:val="000000"/>
                <w:spacing w:val="4"/>
                <w:kern w:val="0"/>
                <w:sz w:val="20"/>
                <w:szCs w:val="20"/>
                <w:lang w:val="en-US" w:eastAsia="en-US" w:bidi="ar-SA"/>
              </w:rPr>
              <w:t>理台账。</w:t>
            </w:r>
          </w:p>
        </w:tc>
        <w:tc>
          <w:tcPr>
            <w:tcW w:w="1710" w:type="dxa"/>
            <w:vAlign w:val="top"/>
          </w:tcPr>
          <w:p w14:paraId="469E435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6"/>
                <w:kern w:val="0"/>
                <w:sz w:val="20"/>
                <w:szCs w:val="20"/>
                <w:lang w:val="en-US" w:eastAsia="en-US" w:bidi="ar-SA"/>
              </w:rPr>
              <w:t>有台账</w:t>
            </w:r>
          </w:p>
        </w:tc>
        <w:tc>
          <w:tcPr>
            <w:tcW w:w="1710" w:type="dxa"/>
            <w:vAlign w:val="top"/>
          </w:tcPr>
          <w:p w14:paraId="42AF34A3">
            <w:pPr>
              <w:kinsoku w:val="0"/>
              <w:autoSpaceDE w:val="0"/>
              <w:autoSpaceDN w:val="0"/>
              <w:adjustRightInd w:val="0"/>
              <w:snapToGrid w:val="0"/>
              <w:spacing w:before="61" w:line="227"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1B136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00EE5E1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888B99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4EB5999">
            <w:pPr>
              <w:kinsoku w:val="0"/>
              <w:autoSpaceDE w:val="0"/>
              <w:autoSpaceDN w:val="0"/>
              <w:adjustRightInd w:val="0"/>
              <w:snapToGrid w:val="0"/>
              <w:spacing w:before="200" w:line="228" w:lineRule="auto"/>
              <w:ind w:left="113"/>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w:t>
            </w:r>
            <w:r>
              <w:rPr>
                <w:rFonts w:ascii="Times New Roman" w:hAnsi="Times New Roman" w:eastAsia="Times New Roman" w:cs="Times New Roman"/>
                <w:snapToGrid w:val="0"/>
                <w:color w:val="000000"/>
                <w:spacing w:val="8"/>
                <w:kern w:val="0"/>
                <w:sz w:val="20"/>
                <w:szCs w:val="20"/>
                <w:lang w:val="en-US" w:eastAsia="en-US" w:bidi="ar-SA"/>
              </w:rPr>
              <w:t>4</w:t>
            </w:r>
            <w:r>
              <w:rPr>
                <w:rFonts w:ascii="宋体" w:hAnsi="宋体" w:eastAsia="宋体" w:cs="宋体"/>
                <w:snapToGrid w:val="0"/>
                <w:color w:val="000000"/>
                <w:spacing w:val="8"/>
                <w:kern w:val="0"/>
                <w:sz w:val="20"/>
                <w:szCs w:val="20"/>
                <w:lang w:val="en-US" w:eastAsia="en-US" w:bidi="ar-SA"/>
              </w:rPr>
              <w:t>）企业进货发票、售出发票资料等</w:t>
            </w:r>
          </w:p>
        </w:tc>
        <w:tc>
          <w:tcPr>
            <w:tcW w:w="1710" w:type="dxa"/>
            <w:vAlign w:val="top"/>
          </w:tcPr>
          <w:p w14:paraId="7300FF2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有进货发票、售</w:t>
            </w:r>
            <w:r>
              <w:rPr>
                <w:rFonts w:ascii="宋体" w:hAnsi="宋体" w:eastAsia="宋体" w:cs="宋体"/>
                <w:snapToGrid w:val="0"/>
                <w:color w:val="000000"/>
                <w:spacing w:val="2"/>
                <w:kern w:val="0"/>
                <w:sz w:val="20"/>
                <w:szCs w:val="20"/>
                <w:lang w:val="en-US" w:eastAsia="en-US" w:bidi="ar-SA"/>
              </w:rPr>
              <w:t xml:space="preserve"> </w:t>
            </w:r>
            <w:r>
              <w:rPr>
                <w:rFonts w:ascii="宋体" w:hAnsi="宋体" w:eastAsia="宋体" w:cs="宋体"/>
                <w:snapToGrid w:val="0"/>
                <w:color w:val="000000"/>
                <w:spacing w:val="5"/>
                <w:kern w:val="0"/>
                <w:sz w:val="20"/>
                <w:szCs w:val="20"/>
                <w:lang w:val="en-US" w:eastAsia="en-US" w:bidi="ar-SA"/>
              </w:rPr>
              <w:t>出发票等资料</w:t>
            </w:r>
          </w:p>
        </w:tc>
        <w:tc>
          <w:tcPr>
            <w:tcW w:w="1710" w:type="dxa"/>
            <w:vAlign w:val="top"/>
          </w:tcPr>
          <w:p w14:paraId="3440D3DF">
            <w:pPr>
              <w:kinsoku w:val="0"/>
              <w:autoSpaceDE w:val="0"/>
              <w:autoSpaceDN w:val="0"/>
              <w:adjustRightInd w:val="0"/>
              <w:snapToGrid w:val="0"/>
              <w:spacing w:before="61" w:line="227"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44916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rPr>
        <w:tc>
          <w:tcPr>
            <w:tcW w:w="699" w:type="dxa"/>
            <w:vMerge w:val="continue"/>
            <w:vAlign w:val="top"/>
          </w:tcPr>
          <w:p w14:paraId="38839FC2">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5005619B">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19B9B0E1">
            <w:pPr>
              <w:kinsoku w:val="0"/>
              <w:autoSpaceDE w:val="0"/>
              <w:autoSpaceDN w:val="0"/>
              <w:adjustRightInd w:val="0"/>
              <w:snapToGrid w:val="0"/>
              <w:spacing w:before="65" w:line="225" w:lineRule="auto"/>
              <w:ind w:left="113" w:right="10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5</w:t>
            </w:r>
            <w:r>
              <w:rPr>
                <w:rFonts w:ascii="宋体" w:hAnsi="宋体" w:eastAsia="宋体" w:cs="宋体"/>
                <w:snapToGrid w:val="0"/>
                <w:color w:val="000000"/>
                <w:spacing w:val="10"/>
                <w:kern w:val="0"/>
                <w:sz w:val="20"/>
                <w:szCs w:val="20"/>
                <w:lang w:val="en-US" w:eastAsia="en-US" w:bidi="ar-SA"/>
              </w:rPr>
              <w:t>）企业是否存在租赁，租赁单位是否获得相关资质</w:t>
            </w:r>
            <w:r>
              <w:rPr>
                <w:rFonts w:ascii="宋体" w:hAnsi="宋体" w:eastAsia="宋体" w:cs="宋体"/>
                <w:snapToGrid w:val="0"/>
                <w:color w:val="000000"/>
                <w:spacing w:val="8"/>
                <w:kern w:val="0"/>
                <w:sz w:val="20"/>
                <w:szCs w:val="20"/>
                <w:lang w:val="en-US" w:eastAsia="en-US" w:bidi="ar-SA"/>
              </w:rPr>
              <w:t>（营业执照、危化品经营许可等相关同等资质）</w:t>
            </w:r>
          </w:p>
        </w:tc>
        <w:tc>
          <w:tcPr>
            <w:tcW w:w="1710" w:type="dxa"/>
            <w:vAlign w:val="top"/>
          </w:tcPr>
          <w:p w14:paraId="6E050CB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不存在租赁</w:t>
            </w:r>
          </w:p>
        </w:tc>
        <w:tc>
          <w:tcPr>
            <w:tcW w:w="1710" w:type="dxa"/>
            <w:vAlign w:val="top"/>
          </w:tcPr>
          <w:p w14:paraId="763A08CE">
            <w:pPr>
              <w:kinsoku w:val="0"/>
              <w:autoSpaceDE w:val="0"/>
              <w:autoSpaceDN w:val="0"/>
              <w:adjustRightInd w:val="0"/>
              <w:snapToGrid w:val="0"/>
              <w:spacing w:before="65" w:line="22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24F9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699" w:type="dxa"/>
            <w:vMerge w:val="continue"/>
            <w:vAlign w:val="top"/>
          </w:tcPr>
          <w:p w14:paraId="6F1F088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4DDB2FD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13BAEBA1">
            <w:pPr>
              <w:kinsoku w:val="0"/>
              <w:autoSpaceDE w:val="0"/>
              <w:autoSpaceDN w:val="0"/>
              <w:adjustRightInd w:val="0"/>
              <w:snapToGrid w:val="0"/>
              <w:spacing w:before="64" w:line="226" w:lineRule="auto"/>
              <w:ind w:left="103" w:right="100" w:firstLine="10"/>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6</w:t>
            </w:r>
            <w:r>
              <w:rPr>
                <w:rFonts w:ascii="宋体" w:hAnsi="宋体" w:eastAsia="宋体" w:cs="宋体"/>
                <w:snapToGrid w:val="0"/>
                <w:color w:val="000000"/>
                <w:spacing w:val="10"/>
                <w:kern w:val="0"/>
                <w:sz w:val="20"/>
                <w:szCs w:val="20"/>
                <w:lang w:val="en-US" w:eastAsia="en-US" w:bidi="ar-SA"/>
              </w:rPr>
              <w:t>）是否存在买卖、转让、出租、出借或伪造安全生</w:t>
            </w:r>
            <w:r>
              <w:rPr>
                <w:rFonts w:ascii="宋体" w:hAnsi="宋体" w:eastAsia="宋体" w:cs="宋体"/>
                <w:snapToGrid w:val="0"/>
                <w:color w:val="000000"/>
                <w:spacing w:val="8"/>
                <w:kern w:val="0"/>
                <w:sz w:val="20"/>
                <w:szCs w:val="20"/>
                <w:lang w:val="en-US" w:eastAsia="en-US" w:bidi="ar-SA"/>
              </w:rPr>
              <w:t>产或经营许可证的行为</w:t>
            </w:r>
          </w:p>
        </w:tc>
        <w:tc>
          <w:tcPr>
            <w:tcW w:w="1710" w:type="dxa"/>
            <w:vAlign w:val="top"/>
          </w:tcPr>
          <w:p w14:paraId="725C39A6">
            <w:pPr>
              <w:keepNext w:val="0"/>
              <w:keepLines w:val="0"/>
              <w:pageBreakBefore w:val="0"/>
              <w:widowControl/>
              <w:kinsoku w:val="0"/>
              <w:wordWrap/>
              <w:overflowPunct/>
              <w:topLinePunct w:val="0"/>
              <w:autoSpaceDE w:val="0"/>
              <w:autoSpaceDN w:val="0"/>
              <w:bidi w:val="0"/>
              <w:adjustRightInd w:val="0"/>
              <w:snapToGrid w:val="0"/>
              <w:spacing w:before="204" w:line="240" w:lineRule="auto"/>
              <w:ind w:left="131"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不存在以上行为</w:t>
            </w:r>
          </w:p>
        </w:tc>
        <w:tc>
          <w:tcPr>
            <w:tcW w:w="1710" w:type="dxa"/>
            <w:vAlign w:val="top"/>
          </w:tcPr>
          <w:p w14:paraId="7D6CE16F">
            <w:pPr>
              <w:kinsoku w:val="0"/>
              <w:autoSpaceDE w:val="0"/>
              <w:autoSpaceDN w:val="0"/>
              <w:adjustRightInd w:val="0"/>
              <w:snapToGrid w:val="0"/>
              <w:spacing w:before="64" w:line="226"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0BDE6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trPr>
        <w:tc>
          <w:tcPr>
            <w:tcW w:w="699" w:type="dxa"/>
            <w:vMerge w:val="continue"/>
            <w:vAlign w:val="top"/>
          </w:tcPr>
          <w:p w14:paraId="179206EA">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1456DA80">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14F45577">
            <w:pPr>
              <w:kinsoku w:val="0"/>
              <w:autoSpaceDE w:val="0"/>
              <w:autoSpaceDN w:val="0"/>
              <w:adjustRightInd w:val="0"/>
              <w:snapToGrid w:val="0"/>
              <w:spacing w:before="65" w:line="236" w:lineRule="auto"/>
              <w:ind w:left="106" w:right="100" w:firstLine="7"/>
              <w:jc w:val="both"/>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7</w:t>
            </w:r>
            <w:r>
              <w:rPr>
                <w:rFonts w:ascii="宋体" w:hAnsi="宋体" w:eastAsia="宋体" w:cs="宋体"/>
                <w:snapToGrid w:val="0"/>
                <w:color w:val="000000"/>
                <w:spacing w:val="10"/>
                <w:kern w:val="0"/>
                <w:sz w:val="20"/>
                <w:szCs w:val="20"/>
                <w:lang w:val="en-US" w:eastAsia="en-US" w:bidi="ar-SA"/>
              </w:rPr>
              <w:t>）是否存在非法将生产经营项目、场所、设备发包</w:t>
            </w:r>
            <w:r>
              <w:rPr>
                <w:rFonts w:ascii="宋体" w:hAnsi="宋体" w:eastAsia="宋体" w:cs="宋体"/>
                <w:snapToGrid w:val="0"/>
                <w:color w:val="000000"/>
                <w:spacing w:val="13"/>
                <w:kern w:val="0"/>
                <w:sz w:val="20"/>
                <w:szCs w:val="20"/>
                <w:lang w:val="en-US" w:eastAsia="en-US" w:bidi="ar-SA"/>
              </w:rPr>
              <w:t xml:space="preserve"> </w:t>
            </w:r>
            <w:r>
              <w:rPr>
                <w:rFonts w:ascii="宋体" w:hAnsi="宋体" w:eastAsia="宋体" w:cs="宋体"/>
                <w:snapToGrid w:val="0"/>
                <w:color w:val="000000"/>
                <w:spacing w:val="15"/>
                <w:kern w:val="0"/>
                <w:sz w:val="20"/>
                <w:szCs w:val="20"/>
                <w:lang w:val="en-US" w:eastAsia="en-US" w:bidi="ar-SA"/>
              </w:rPr>
              <w:t>或者出租给不具备安全生产条件或者相应资质的单位</w:t>
            </w:r>
            <w:r>
              <w:rPr>
                <w:rFonts w:ascii="宋体" w:hAnsi="宋体" w:eastAsia="宋体" w:cs="宋体"/>
                <w:snapToGrid w:val="0"/>
                <w:color w:val="000000"/>
                <w:spacing w:val="8"/>
                <w:kern w:val="0"/>
                <w:sz w:val="20"/>
                <w:szCs w:val="20"/>
                <w:lang w:val="en-US" w:eastAsia="en-US" w:bidi="ar-SA"/>
              </w:rPr>
              <w:t>或者个人的行为</w:t>
            </w:r>
          </w:p>
        </w:tc>
        <w:tc>
          <w:tcPr>
            <w:tcW w:w="1710" w:type="dxa"/>
            <w:vAlign w:val="top"/>
          </w:tcPr>
          <w:p w14:paraId="07F8013A">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ascii="Arial" w:hAnsi="Arial" w:eastAsia="Arial" w:cs="Arial"/>
                <w:snapToGrid w:val="0"/>
                <w:color w:val="000000"/>
                <w:kern w:val="0"/>
                <w:sz w:val="21"/>
                <w:lang w:eastAsia="en-US"/>
              </w:rPr>
            </w:pPr>
          </w:p>
          <w:p w14:paraId="137B14F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c>
          <w:tcPr>
            <w:tcW w:w="1710" w:type="dxa"/>
            <w:vAlign w:val="top"/>
          </w:tcPr>
          <w:p w14:paraId="12BC2113">
            <w:pPr>
              <w:kinsoku w:val="0"/>
              <w:autoSpaceDE w:val="0"/>
              <w:autoSpaceDN w:val="0"/>
              <w:adjustRightInd w:val="0"/>
              <w:snapToGrid w:val="0"/>
              <w:spacing w:before="206" w:line="245"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r w14:paraId="3B102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7" w:hRule="atLeast"/>
        </w:trPr>
        <w:tc>
          <w:tcPr>
            <w:tcW w:w="699" w:type="dxa"/>
            <w:vMerge w:val="continue"/>
            <w:vAlign w:val="top"/>
          </w:tcPr>
          <w:p w14:paraId="48CE9C2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625" w:type="dxa"/>
            <w:vMerge w:val="continue"/>
            <w:vAlign w:val="top"/>
          </w:tcPr>
          <w:p w14:paraId="0F5668F4">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lang w:eastAsia="en-US"/>
              </w:rPr>
            </w:pPr>
          </w:p>
        </w:tc>
        <w:tc>
          <w:tcPr>
            <w:tcW w:w="4745" w:type="dxa"/>
            <w:gridSpan w:val="2"/>
            <w:vAlign w:val="top"/>
          </w:tcPr>
          <w:p w14:paraId="689347FC">
            <w:pPr>
              <w:kinsoku w:val="0"/>
              <w:autoSpaceDE w:val="0"/>
              <w:autoSpaceDN w:val="0"/>
              <w:adjustRightInd w:val="0"/>
              <w:snapToGrid w:val="0"/>
              <w:spacing w:before="70" w:line="234" w:lineRule="auto"/>
              <w:ind w:left="104" w:right="100" w:firstLine="9"/>
              <w:jc w:val="left"/>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0"/>
                <w:kern w:val="0"/>
                <w:sz w:val="20"/>
                <w:szCs w:val="20"/>
                <w:lang w:val="en-US" w:eastAsia="en-US" w:bidi="ar-SA"/>
              </w:rPr>
              <w:t>（</w:t>
            </w:r>
            <w:r>
              <w:rPr>
                <w:rFonts w:ascii="Times New Roman" w:hAnsi="Times New Roman" w:eastAsia="Times New Roman" w:cs="Times New Roman"/>
                <w:snapToGrid w:val="0"/>
                <w:color w:val="000000"/>
                <w:spacing w:val="10"/>
                <w:kern w:val="0"/>
                <w:sz w:val="20"/>
                <w:szCs w:val="20"/>
                <w:lang w:val="en-US" w:eastAsia="en-US" w:bidi="ar-SA"/>
              </w:rPr>
              <w:t>8</w:t>
            </w:r>
            <w:r>
              <w:rPr>
                <w:rFonts w:ascii="宋体" w:hAnsi="宋体" w:eastAsia="宋体" w:cs="宋体"/>
                <w:snapToGrid w:val="0"/>
                <w:color w:val="000000"/>
                <w:spacing w:val="10"/>
                <w:kern w:val="0"/>
                <w:sz w:val="20"/>
                <w:szCs w:val="20"/>
                <w:lang w:val="en-US" w:eastAsia="en-US" w:bidi="ar-SA"/>
              </w:rPr>
              <w:t>）是否违规建设内部加油设施、非法储存设施、非</w:t>
            </w:r>
            <w:r>
              <w:rPr>
                <w:rFonts w:ascii="宋体" w:hAnsi="宋体" w:eastAsia="宋体" w:cs="宋体"/>
                <w:snapToGrid w:val="0"/>
                <w:color w:val="000000"/>
                <w:spacing w:val="9"/>
                <w:kern w:val="0"/>
                <w:sz w:val="20"/>
                <w:szCs w:val="20"/>
                <w:lang w:val="en-US" w:eastAsia="en-US" w:bidi="ar-SA"/>
              </w:rPr>
              <w:t>法改装油罐车移动加油行为</w:t>
            </w:r>
          </w:p>
        </w:tc>
        <w:tc>
          <w:tcPr>
            <w:tcW w:w="1710" w:type="dxa"/>
            <w:vAlign w:val="top"/>
          </w:tcPr>
          <w:p w14:paraId="1BB66EB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jc w:val="left"/>
              <w:textAlignment w:val="baseline"/>
              <w:rPr>
                <w:rFonts w:hint="eastAsia"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5"/>
                <w:kern w:val="0"/>
                <w:sz w:val="20"/>
                <w:szCs w:val="20"/>
                <w:lang w:val="en-US" w:eastAsia="en-US" w:bidi="ar-SA"/>
              </w:rPr>
              <w:t>不涉及</w:t>
            </w:r>
          </w:p>
        </w:tc>
        <w:tc>
          <w:tcPr>
            <w:tcW w:w="1710" w:type="dxa"/>
            <w:vAlign w:val="top"/>
          </w:tcPr>
          <w:p w14:paraId="3EECACF7">
            <w:pPr>
              <w:kinsoku w:val="0"/>
              <w:autoSpaceDE w:val="0"/>
              <w:autoSpaceDN w:val="0"/>
              <w:adjustRightInd w:val="0"/>
              <w:snapToGrid w:val="0"/>
              <w:spacing w:before="70" w:line="234" w:lineRule="auto"/>
              <w:ind w:left="228" w:right="201" w:hanging="3"/>
              <w:jc w:val="left"/>
              <w:textAlignment w:val="baseline"/>
              <w:rPr>
                <w:rFonts w:ascii="宋体" w:hAnsi="宋体" w:eastAsia="宋体" w:cs="宋体"/>
                <w:snapToGrid w:val="0"/>
                <w:color w:val="000000"/>
                <w:kern w:val="0"/>
                <w:sz w:val="20"/>
                <w:szCs w:val="20"/>
                <w:lang w:val="en-US" w:eastAsia="en-US" w:bidi="ar-SA"/>
              </w:rPr>
            </w:pPr>
            <w:r>
              <w:rPr>
                <w:rFonts w:hint="eastAsia" w:ascii="宋体" w:hAnsi="宋体" w:eastAsia="宋体" w:cs="宋体"/>
                <w:snapToGrid w:val="0"/>
                <w:color w:val="000000"/>
                <w:spacing w:val="3"/>
                <w:kern w:val="0"/>
                <w:sz w:val="20"/>
                <w:szCs w:val="20"/>
                <w:lang w:val="en-US" w:eastAsia="en-US" w:bidi="ar-SA"/>
              </w:rPr>
              <w:t>符合要求</w:t>
            </w:r>
          </w:p>
        </w:tc>
      </w:tr>
    </w:tbl>
    <w:p w14:paraId="4AEF47ED"/>
    <w:p w14:paraId="2515548B">
      <w:pPr>
        <w:keepNext w:val="0"/>
        <w:keepLines w:val="0"/>
        <w:pageBreakBefore w:val="0"/>
        <w:widowControl/>
        <w:kinsoku w:val="0"/>
        <w:wordWrap/>
        <w:overflowPunct/>
        <w:topLinePunct w:val="0"/>
        <w:autoSpaceDE w:val="0"/>
        <w:autoSpaceDN w:val="0"/>
        <w:bidi w:val="0"/>
        <w:adjustRightInd w:val="0"/>
        <w:snapToGrid w:val="0"/>
        <w:spacing w:before="172" w:line="219" w:lineRule="auto"/>
        <w:ind w:right="0"/>
        <w:jc w:val="both"/>
        <w:textAlignment w:val="baseline"/>
        <w:rPr>
          <w:rFonts w:ascii="宋体" w:hAnsi="宋体" w:eastAsia="宋体" w:cs="宋体"/>
          <w:snapToGrid w:val="0"/>
          <w:color w:val="000000"/>
          <w:kern w:val="0"/>
          <w:sz w:val="28"/>
          <w:szCs w:val="28"/>
          <w:lang w:eastAsia="en-US"/>
        </w:rPr>
      </w:pPr>
      <w:r>
        <w:rPr>
          <w:rFonts w:ascii="宋体" w:hAnsi="宋体" w:eastAsia="宋体" w:cs="宋体"/>
          <w:snapToGrid w:val="0"/>
          <w:color w:val="000000"/>
          <w:spacing w:val="1"/>
          <w:kern w:val="0"/>
          <w:sz w:val="28"/>
          <w:szCs w:val="28"/>
          <w:lang w:eastAsia="en-US"/>
        </w:rPr>
        <w:t>评价结果：加油站安全检查表涉及</w:t>
      </w:r>
      <w:r>
        <w:rPr>
          <w:rFonts w:ascii="Times New Roman" w:hAnsi="Times New Roman" w:eastAsia="Times New Roman" w:cs="Times New Roman"/>
          <w:snapToGrid w:val="0"/>
          <w:color w:val="000000"/>
          <w:spacing w:val="1"/>
          <w:kern w:val="0"/>
          <w:sz w:val="28"/>
          <w:szCs w:val="28"/>
          <w:lang w:eastAsia="en-US"/>
        </w:rPr>
        <w:t>131</w:t>
      </w:r>
      <w:r>
        <w:rPr>
          <w:rFonts w:ascii="宋体" w:hAnsi="宋体" w:eastAsia="宋体" w:cs="宋体"/>
          <w:snapToGrid w:val="0"/>
          <w:color w:val="000000"/>
          <w:spacing w:val="1"/>
          <w:kern w:val="0"/>
          <w:sz w:val="28"/>
          <w:szCs w:val="28"/>
          <w:lang w:eastAsia="en-US"/>
        </w:rPr>
        <w:t>项检查内容，经检查，全部符</w:t>
      </w:r>
      <w:r>
        <w:rPr>
          <w:rFonts w:ascii="宋体" w:hAnsi="宋体" w:eastAsia="宋体" w:cs="宋体"/>
          <w:snapToGrid w:val="0"/>
          <w:color w:val="000000"/>
          <w:spacing w:val="-3"/>
          <w:kern w:val="0"/>
          <w:sz w:val="28"/>
          <w:szCs w:val="28"/>
          <w:lang w:eastAsia="en-US"/>
        </w:rPr>
        <w:t>合要求</w:t>
      </w:r>
    </w:p>
    <w:bookmarkEnd w:id="226"/>
    <w:bookmarkEnd w:id="227"/>
    <w:p w14:paraId="6F4A2125">
      <w:pPr>
        <w:keepNext w:val="0"/>
        <w:keepLines w:val="0"/>
        <w:pageBreakBefore w:val="0"/>
        <w:wordWrap/>
        <w:overflowPunct/>
        <w:topLinePunct w:val="0"/>
        <w:bidi w:val="0"/>
        <w:rPr>
          <w:rFonts w:hint="eastAsia" w:ascii="楷体" w:hAnsi="楷体" w:eastAsia="楷体" w:cs="楷体"/>
          <w:sz w:val="32"/>
          <w:szCs w:val="32"/>
          <w:lang w:val="en-US" w:eastAsia="zh-CN"/>
        </w:rPr>
      </w:pPr>
      <w:bookmarkStart w:id="241" w:name="_Toc25950"/>
      <w:bookmarkStart w:id="242" w:name="_Toc31581"/>
      <w:r>
        <w:rPr>
          <w:rFonts w:hint="eastAsia" w:ascii="楷体" w:hAnsi="楷体" w:eastAsia="楷体" w:cs="楷体"/>
          <w:sz w:val="32"/>
          <w:szCs w:val="32"/>
          <w:lang w:val="en-US" w:eastAsia="zh-CN"/>
        </w:rPr>
        <w:br w:type="page"/>
      </w:r>
    </w:p>
    <w:bookmarkEnd w:id="241"/>
    <w:bookmarkEnd w:id="242"/>
    <w:p w14:paraId="59EE6F9C">
      <w:pPr>
        <w:pStyle w:val="4"/>
        <w:bidi w:val="0"/>
        <w:rPr>
          <w:rFonts w:hint="eastAsia" w:ascii="楷体" w:hAnsi="楷体" w:eastAsia="楷体" w:cs="楷体"/>
          <w:sz w:val="32"/>
          <w:szCs w:val="32"/>
        </w:rPr>
      </w:pPr>
      <w:bookmarkStart w:id="243" w:name="_Toc32611"/>
      <w:r>
        <w:rPr>
          <w:rFonts w:hint="eastAsia" w:ascii="楷体" w:hAnsi="楷体" w:eastAsia="楷体" w:cs="楷体"/>
          <w:sz w:val="32"/>
          <w:szCs w:val="32"/>
          <w:lang w:val="en-US" w:eastAsia="zh-CN"/>
        </w:rPr>
        <w:t>6</w:t>
      </w:r>
      <w:r>
        <w:rPr>
          <w:rFonts w:hint="eastAsia" w:ascii="楷体" w:hAnsi="楷体" w:eastAsia="楷体" w:cs="楷体"/>
          <w:sz w:val="32"/>
          <w:szCs w:val="32"/>
        </w:rPr>
        <w:t>安全对策措施及建议</w:t>
      </w:r>
      <w:bookmarkEnd w:id="243"/>
    </w:p>
    <w:p w14:paraId="2B3B7133">
      <w:pPr>
        <w:pStyle w:val="5"/>
        <w:bidi w:val="0"/>
        <w:rPr>
          <w:rFonts w:hint="eastAsia" w:ascii="楷体" w:hAnsi="楷体" w:eastAsia="楷体" w:cs="楷体"/>
          <w:sz w:val="32"/>
          <w:szCs w:val="32"/>
          <w:lang w:val="en-US" w:eastAsia="zh-CN"/>
        </w:rPr>
      </w:pPr>
      <w:bookmarkStart w:id="244" w:name="_Toc23177"/>
      <w:r>
        <w:rPr>
          <w:rFonts w:hint="eastAsia" w:ascii="楷体" w:hAnsi="楷体" w:eastAsia="楷体" w:cs="楷体"/>
          <w:sz w:val="32"/>
          <w:szCs w:val="32"/>
          <w:lang w:val="en-US" w:eastAsia="zh-CN"/>
        </w:rPr>
        <w:t>6.1存在的问题</w:t>
      </w:r>
      <w:bookmarkEnd w:id="244"/>
    </w:p>
    <w:p w14:paraId="14E4CB65">
      <w:pPr>
        <w:spacing w:line="600" w:lineRule="exact"/>
        <w:ind w:firstLine="560" w:firstLineChars="200"/>
        <w:rPr>
          <w:rFonts w:hint="eastAsia" w:eastAsia="宋体" w:cs="宋体"/>
          <w:sz w:val="28"/>
          <w:szCs w:val="28"/>
          <w:lang w:eastAsia="zh-CN"/>
        </w:rPr>
      </w:pPr>
      <w:r>
        <w:rPr>
          <w:rFonts w:hint="eastAsia" w:cs="宋体"/>
          <w:sz w:val="28"/>
          <w:szCs w:val="28"/>
        </w:rPr>
        <w:t>通过对该加油站现场检查，</w:t>
      </w:r>
      <w:r>
        <w:rPr>
          <w:rFonts w:hint="eastAsia" w:cs="宋体"/>
          <w:sz w:val="28"/>
          <w:szCs w:val="28"/>
          <w:lang w:val="en-US" w:eastAsia="zh-CN"/>
        </w:rPr>
        <w:t>发现</w:t>
      </w:r>
      <w:r>
        <w:rPr>
          <w:rFonts w:hint="eastAsia" w:cs="宋体"/>
          <w:sz w:val="28"/>
          <w:szCs w:val="28"/>
        </w:rPr>
        <w:t>储油罐人孔操作井盖未张贴油品信息</w:t>
      </w:r>
      <w:r>
        <w:rPr>
          <w:rFonts w:hint="eastAsia" w:cs="宋体"/>
          <w:sz w:val="28"/>
          <w:szCs w:val="28"/>
          <w:lang w:eastAsia="zh-CN"/>
        </w:rPr>
        <w:t>。</w:t>
      </w:r>
    </w:p>
    <w:p w14:paraId="3D989062">
      <w:pPr>
        <w:pStyle w:val="5"/>
        <w:bidi w:val="0"/>
        <w:rPr>
          <w:rFonts w:hint="eastAsia" w:ascii="楷体" w:hAnsi="楷体" w:eastAsia="楷体" w:cs="楷体"/>
          <w:sz w:val="32"/>
          <w:szCs w:val="32"/>
          <w:lang w:val="en-US" w:eastAsia="zh-CN"/>
        </w:rPr>
      </w:pPr>
      <w:bookmarkStart w:id="245" w:name="_Toc23032"/>
      <w:r>
        <w:rPr>
          <w:rFonts w:hint="eastAsia" w:ascii="楷体" w:hAnsi="楷体" w:eastAsia="楷体" w:cs="楷体"/>
          <w:sz w:val="32"/>
          <w:szCs w:val="32"/>
          <w:lang w:val="en-US" w:eastAsia="zh-CN"/>
        </w:rPr>
        <w:t>6.2整改落实情况</w:t>
      </w:r>
      <w:bookmarkEnd w:id="245"/>
    </w:p>
    <w:p w14:paraId="278EE9C8">
      <w:pPr>
        <w:spacing w:line="600" w:lineRule="exact"/>
        <w:ind w:firstLine="560" w:firstLineChars="200"/>
        <w:rPr>
          <w:rFonts w:hint="eastAsia" w:cs="宋体"/>
          <w:sz w:val="28"/>
          <w:szCs w:val="28"/>
          <w:lang w:val="en-US" w:eastAsia="zh-CN"/>
        </w:rPr>
      </w:pPr>
      <w:r>
        <w:rPr>
          <w:rFonts w:hint="eastAsia" w:cs="宋体"/>
          <w:sz w:val="28"/>
          <w:szCs w:val="28"/>
          <w:lang w:val="en-US" w:eastAsia="zh-CN"/>
        </w:rPr>
        <w:t>针对在现场安全检查中发现的问题，评价组通知中国石化销售有限公司江西余干石油分公司社庚加油站进行了整改。该加油站对评价组在现场提出的整改意见，认真进行了整改。</w:t>
      </w:r>
    </w:p>
    <w:p w14:paraId="02E5624A">
      <w:pPr>
        <w:spacing w:line="600" w:lineRule="exact"/>
        <w:ind w:firstLine="560" w:firstLineChars="200"/>
        <w:rPr>
          <w:rFonts w:hint="eastAsia" w:cs="宋体"/>
          <w:sz w:val="28"/>
          <w:szCs w:val="28"/>
        </w:rPr>
      </w:pPr>
      <w:r>
        <w:rPr>
          <w:rFonts w:hint="default" w:cs="宋体"/>
          <w:sz w:val="28"/>
          <w:szCs w:val="28"/>
          <w:lang w:val="en-US"/>
        </w:rPr>
        <w:t>隐患及整改措施如下表所示。</w:t>
      </w:r>
    </w:p>
    <w:p w14:paraId="7DEF6EDC">
      <w:pPr>
        <w:spacing w:line="600" w:lineRule="exact"/>
        <w:ind w:firstLine="562" w:firstLineChars="200"/>
        <w:jc w:val="center"/>
        <w:rPr>
          <w:rFonts w:hint="eastAsia"/>
          <w:b/>
          <w:bCs/>
        </w:rPr>
      </w:pPr>
      <w:r>
        <w:rPr>
          <w:rFonts w:hint="eastAsia" w:cs="宋体"/>
          <w:b/>
          <w:bCs/>
          <w:sz w:val="28"/>
          <w:szCs w:val="28"/>
        </w:rPr>
        <w:t>表</w:t>
      </w:r>
      <w:r>
        <w:rPr>
          <w:rFonts w:hint="eastAsia" w:cs="宋体"/>
          <w:b/>
          <w:bCs/>
          <w:sz w:val="28"/>
          <w:szCs w:val="28"/>
          <w:lang w:val="en-US" w:eastAsia="zh-CN"/>
        </w:rPr>
        <w:t>6</w:t>
      </w:r>
      <w:r>
        <w:rPr>
          <w:rFonts w:hint="eastAsia" w:cs="宋体"/>
          <w:b/>
          <w:bCs/>
          <w:sz w:val="28"/>
          <w:szCs w:val="28"/>
        </w:rPr>
        <w:t>-1隐患整改措施（见附图）</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4192"/>
        <w:gridCol w:w="4201"/>
      </w:tblGrid>
      <w:tr w14:paraId="5784D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480" w:type="pct"/>
            <w:vAlign w:val="center"/>
          </w:tcPr>
          <w:p w14:paraId="4F0825A8">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序号</w:t>
            </w:r>
          </w:p>
        </w:tc>
        <w:tc>
          <w:tcPr>
            <w:tcW w:w="2257" w:type="pct"/>
            <w:vAlign w:val="center"/>
          </w:tcPr>
          <w:p w14:paraId="4B076389">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不合格项（隐患）</w:t>
            </w:r>
          </w:p>
        </w:tc>
        <w:tc>
          <w:tcPr>
            <w:tcW w:w="2262" w:type="pct"/>
            <w:vAlign w:val="center"/>
          </w:tcPr>
          <w:p w14:paraId="65900274">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措施建议</w:t>
            </w:r>
          </w:p>
        </w:tc>
      </w:tr>
      <w:tr w14:paraId="096D2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480" w:type="pct"/>
            <w:vAlign w:val="center"/>
          </w:tcPr>
          <w:p w14:paraId="2EED7DDE">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eastAsia" w:ascii="宋体" w:hAnsi="宋体" w:eastAsia="宋体" w:cs="宋体"/>
                <w:color w:val="C00000"/>
                <w:sz w:val="21"/>
                <w:szCs w:val="21"/>
              </w:rPr>
            </w:pPr>
            <w:r>
              <w:rPr>
                <w:rFonts w:hint="eastAsia" w:ascii="宋体" w:hAnsi="宋体" w:eastAsia="宋体" w:cs="宋体"/>
                <w:color w:val="C00000"/>
                <w:sz w:val="21"/>
                <w:szCs w:val="21"/>
              </w:rPr>
              <w:t>1</w:t>
            </w:r>
          </w:p>
        </w:tc>
        <w:tc>
          <w:tcPr>
            <w:tcW w:w="2257" w:type="pct"/>
            <w:vAlign w:val="center"/>
          </w:tcPr>
          <w:p w14:paraId="37D5697E">
            <w:pPr>
              <w:keepNext w:val="0"/>
              <w:keepLines w:val="0"/>
              <w:pageBreakBefore w:val="0"/>
              <w:widowControl w:val="0"/>
              <w:kinsoku/>
              <w:wordWrap/>
              <w:overflowPunct/>
              <w:topLinePunct w:val="0"/>
              <w:autoSpaceDE/>
              <w:autoSpaceDN/>
              <w:bidi w:val="0"/>
              <w:adjustRightInd/>
              <w:snapToGrid/>
              <w:spacing w:before="313" w:beforeLines="100" w:line="600" w:lineRule="exact"/>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储油罐人孔操作井盖未张贴油品信息</w:t>
            </w:r>
          </w:p>
        </w:tc>
        <w:tc>
          <w:tcPr>
            <w:tcW w:w="2262" w:type="pct"/>
            <w:vAlign w:val="center"/>
          </w:tcPr>
          <w:p w14:paraId="00943233">
            <w:pPr>
              <w:keepNext w:val="0"/>
              <w:keepLines w:val="0"/>
              <w:pageBreakBefore w:val="0"/>
              <w:widowControl w:val="0"/>
              <w:kinsoku/>
              <w:wordWrap/>
              <w:overflowPunct/>
              <w:topLinePunct w:val="0"/>
              <w:autoSpaceDE/>
              <w:autoSpaceDN/>
              <w:bidi w:val="0"/>
              <w:adjustRightInd/>
              <w:snapToGrid/>
              <w:spacing w:before="313" w:beforeLines="100" w:line="600" w:lineRule="exact"/>
              <w:ind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储油罐人孔操作井</w:t>
            </w:r>
            <w:r>
              <w:rPr>
                <w:rFonts w:hint="eastAsia" w:ascii="宋体" w:hAnsi="宋体" w:cs="宋体"/>
                <w:sz w:val="21"/>
                <w:szCs w:val="21"/>
                <w:lang w:val="en-US" w:eastAsia="zh-CN"/>
              </w:rPr>
              <w:t>盖</w:t>
            </w:r>
            <w:r>
              <w:rPr>
                <w:rFonts w:hint="eastAsia" w:ascii="宋体" w:hAnsi="宋体" w:eastAsia="宋体" w:cs="宋体"/>
                <w:sz w:val="21"/>
                <w:szCs w:val="21"/>
                <w:lang w:val="en-US" w:eastAsia="zh-CN"/>
              </w:rPr>
              <w:t>未张贴油品信息</w:t>
            </w:r>
          </w:p>
        </w:tc>
      </w:tr>
    </w:tbl>
    <w:p w14:paraId="3698D025">
      <w:pPr>
        <w:pStyle w:val="5"/>
        <w:bidi w:val="0"/>
        <w:rPr>
          <w:rFonts w:hint="eastAsia" w:ascii="楷体" w:hAnsi="楷体" w:eastAsia="楷体" w:cs="楷体"/>
          <w:sz w:val="32"/>
          <w:szCs w:val="32"/>
        </w:rPr>
      </w:pPr>
      <w:bookmarkStart w:id="246" w:name="_Toc16566"/>
      <w:r>
        <w:rPr>
          <w:rFonts w:hint="eastAsia" w:ascii="楷体" w:hAnsi="楷体" w:eastAsia="楷体" w:cs="楷体"/>
          <w:sz w:val="32"/>
          <w:szCs w:val="32"/>
        </w:rPr>
        <w:t>6.3建议补充的安全对策措施</w:t>
      </w:r>
      <w:bookmarkEnd w:id="246"/>
    </w:p>
    <w:p w14:paraId="608BC17A">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1）加强现场管理工作，定期对员工进行消防知识培训，使员工达到懂得如何预防火灾，发生火灾时如何使用消防器材。</w:t>
      </w:r>
    </w:p>
    <w:p w14:paraId="25FD4A18">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2）从业人员应熟练掌握本岗位的技能，并认真学习安全管理制度。</w:t>
      </w:r>
    </w:p>
    <w:p w14:paraId="68A206F4">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3）加油站对将来到本单位工作的新员工要进行安全教育，并对所从事的职业进行培训考核（并进行记录），合格后，持证上岗。</w:t>
      </w:r>
    </w:p>
    <w:p w14:paraId="365B8BC4">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rPr>
        <w:t>4）控制电气点火源：加油站爆炸危险区域禁用移动式和携带式电器，严禁使用手机、寻呼机、电脑等非防爆电器，应加强对加油站电器使用情况的审查监督，禁止私拉乱接、违章用电</w:t>
      </w:r>
      <w:r>
        <w:rPr>
          <w:rFonts w:hint="eastAsia" w:ascii="宋体" w:hAnsi="宋体" w:cs="宋体"/>
          <w:sz w:val="28"/>
          <w:szCs w:val="28"/>
          <w:lang w:eastAsia="zh-CN"/>
        </w:rPr>
        <w:t>。</w:t>
      </w:r>
    </w:p>
    <w:p w14:paraId="608E82CD">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5）控制明火源：控制固定明火源，根据规范控制安全间距，增设安全间隔，使油气不能向火源处积聚，火源不能向爆炸危险区域散发。控制修理和烟火，营业期间不得使用电气焊、气割，动火修理时须备有消防器材、消防人员监护到位；加油区必须禁止吸烟，禁止明火。</w:t>
      </w:r>
    </w:p>
    <w:p w14:paraId="661DDDD2">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6）卸油严格按操作规程进行，防止卸错油罐出现混油情况，造成安全事故。</w:t>
      </w:r>
    </w:p>
    <w:p w14:paraId="0072FC6E">
      <w:pPr>
        <w:spacing w:line="600" w:lineRule="exact"/>
        <w:ind w:firstLine="560" w:firstLineChars="200"/>
        <w:rPr>
          <w:rFonts w:hint="eastAsia" w:cs="Times New Roman"/>
          <w:sz w:val="28"/>
          <w:szCs w:val="28"/>
        </w:rPr>
      </w:pPr>
      <w:r>
        <w:rPr>
          <w:rFonts w:hint="eastAsia" w:ascii="宋体" w:hAnsi="宋体" w:eastAsia="宋体" w:cs="宋体"/>
          <w:sz w:val="28"/>
          <w:szCs w:val="28"/>
        </w:rPr>
        <w:t>7）</w:t>
      </w:r>
      <w:r>
        <w:rPr>
          <w:rFonts w:hint="eastAsia" w:cs="Times New Roman"/>
          <w:sz w:val="28"/>
          <w:szCs w:val="28"/>
        </w:rPr>
        <w:t>进一步加强相关人员的安全培训和安全技能教育。完善安全检测、控制设施，进一步提高本质安全度，达到安全生产的目的。</w:t>
      </w:r>
    </w:p>
    <w:p w14:paraId="58A64789">
      <w:pPr>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br w:type="page"/>
      </w:r>
    </w:p>
    <w:p w14:paraId="18A7D9EF">
      <w:pPr>
        <w:pStyle w:val="4"/>
        <w:bidi w:val="0"/>
        <w:rPr>
          <w:rFonts w:hint="eastAsia" w:ascii="楷体" w:hAnsi="楷体" w:eastAsia="楷体" w:cs="楷体"/>
          <w:sz w:val="32"/>
          <w:szCs w:val="32"/>
          <w:lang w:val="en-US" w:eastAsia="zh-CN"/>
        </w:rPr>
      </w:pPr>
      <w:bookmarkStart w:id="247" w:name="_Toc22094"/>
      <w:r>
        <w:rPr>
          <w:rFonts w:hint="eastAsia" w:ascii="楷体" w:hAnsi="楷体" w:eastAsia="楷体" w:cs="楷体"/>
          <w:sz w:val="32"/>
          <w:szCs w:val="32"/>
          <w:lang w:val="en-US" w:eastAsia="zh-CN"/>
        </w:rPr>
        <w:t>7评价结论</w:t>
      </w:r>
      <w:bookmarkEnd w:id="247"/>
    </w:p>
    <w:p w14:paraId="6FEE84B6">
      <w:pPr>
        <w:pStyle w:val="5"/>
        <w:bidi w:val="0"/>
        <w:rPr>
          <w:rFonts w:hint="eastAsia" w:ascii="楷体" w:hAnsi="楷体" w:eastAsia="楷体" w:cs="楷体"/>
          <w:sz w:val="32"/>
          <w:szCs w:val="32"/>
          <w:lang w:val="en-US" w:eastAsia="zh-CN"/>
        </w:rPr>
      </w:pPr>
      <w:bookmarkStart w:id="248" w:name="_Toc3387"/>
      <w:r>
        <w:rPr>
          <w:rFonts w:hint="eastAsia" w:ascii="楷体" w:hAnsi="楷体" w:eastAsia="楷体" w:cs="楷体"/>
          <w:sz w:val="32"/>
          <w:szCs w:val="32"/>
          <w:lang w:val="en-US" w:eastAsia="zh-CN"/>
        </w:rPr>
        <w:t>7.1符合性评价的综合结果</w:t>
      </w:r>
      <w:bookmarkEnd w:id="248"/>
    </w:p>
    <w:p w14:paraId="2EF33141">
      <w:pPr>
        <w:spacing w:line="600" w:lineRule="exact"/>
        <w:ind w:firstLine="560" w:firstLineChars="200"/>
        <w:rPr>
          <w:rFonts w:hint="eastAsia" w:cs="Times New Roman"/>
          <w:sz w:val="28"/>
          <w:szCs w:val="28"/>
          <w:lang w:val="en-US" w:eastAsia="zh-CN"/>
        </w:rPr>
      </w:pPr>
      <w:r>
        <w:rPr>
          <w:rFonts w:hint="eastAsia" w:cs="Times New Roman"/>
          <w:sz w:val="28"/>
          <w:szCs w:val="28"/>
          <w:lang w:val="en-US" w:eastAsia="zh-CN"/>
        </w:rPr>
        <w:t>评价组根据国家和地方政府有关法律、法规、条例和标准，对该加油站的安全现状进行了全面评价。评价情况如下：</w:t>
      </w:r>
    </w:p>
    <w:p w14:paraId="0D50A7DD">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中国石化销售有限公司江西余干石油分公司社庚加油站为成品油零售三级站，主要危险有害因素为火灾、爆炸、中毒窒息、触电、车辆伤害等。该加油站涉及的汽油、柴油属于《危险化学品目录》（2022年版）内危险化学品，汽油属于重点监管的危险化学品。该站不涉及监控化学品，不涉及易制毒化学品，不涉及易制爆化学品，不涉及高毒、剧毒化学品。该加油站经营储存的汽油属于重点监管危险化学品、特别管控危险化学品。经营、储存过程中采用的设备及工艺不属于淘汰落后设备及工艺、不涉及危险化工工艺。危险化学品生产单元和储存单元均未构成重大危险源。</w:t>
      </w:r>
    </w:p>
    <w:p w14:paraId="543A939C">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该加油站存在的危险、有害因素有：火灾爆炸、中毒和窒息、车辆伤害、触电、高处坠落、坍塌、物体打击和有害因素高温、噪声、毒害等；其中主要的危险有害因素是火灾爆炸、中毒、窒息、车辆伤害和触电。该项目的作业条件相对较安全，在选定的4个评价单元中均未出现可能危险或稍有危险作业环境，且可能危险作业环境的出现均由物料和特殊条件的危险程度所决定。</w:t>
      </w:r>
    </w:p>
    <w:p w14:paraId="2940BDF5">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3）通过危险度评价，该站油罐区的危险等级为Ⅲ级，属低度危险。</w:t>
      </w:r>
    </w:p>
    <w:p w14:paraId="498E3023">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4）根据《国</w:t>
      </w:r>
      <w:r>
        <w:rPr>
          <w:rFonts w:hint="eastAsia" w:cs="Times New Roman"/>
          <w:sz w:val="28"/>
          <w:szCs w:val="28"/>
          <w:lang w:val="en-US" w:eastAsia="zh-CN"/>
        </w:rPr>
        <w:t>务院安全生产委员会关于印发</w:t>
      </w:r>
      <w:r>
        <w:rPr>
          <w:rFonts w:hint="eastAsia" w:ascii="宋体" w:hAnsi="宋体" w:eastAsia="宋体" w:cs="宋体"/>
          <w:sz w:val="28"/>
          <w:szCs w:val="28"/>
          <w:lang w:val="en-US" w:eastAsia="zh-CN"/>
        </w:rPr>
        <w:t>&lt;</w:t>
      </w:r>
      <w:r>
        <w:rPr>
          <w:rFonts w:hint="eastAsia" w:cs="Times New Roman"/>
          <w:sz w:val="28"/>
          <w:szCs w:val="28"/>
          <w:lang w:val="en-US" w:eastAsia="zh-CN"/>
        </w:rPr>
        <w:t>涉及危险化学品安全风险的行业品种目</w:t>
      </w:r>
      <w:r>
        <w:rPr>
          <w:rFonts w:hint="eastAsia" w:ascii="宋体" w:hAnsi="宋体" w:eastAsia="宋体" w:cs="宋体"/>
          <w:sz w:val="28"/>
          <w:szCs w:val="28"/>
          <w:lang w:val="en-US" w:eastAsia="zh-CN"/>
        </w:rPr>
        <w:t>录&gt;的通知》</w:t>
      </w:r>
      <w:r>
        <w:rPr>
          <w:rFonts w:hint="eastAsia" w:cs="Times New Roman"/>
          <w:sz w:val="28"/>
          <w:szCs w:val="28"/>
          <w:lang w:val="en-US" w:eastAsia="zh-CN"/>
        </w:rPr>
        <w:t>（安委</w:t>
      </w:r>
      <w:r>
        <w:rPr>
          <w:rFonts w:hint="eastAsia" w:ascii="宋体" w:hAnsi="宋体" w:eastAsia="宋体" w:cs="宋体"/>
          <w:sz w:val="28"/>
          <w:szCs w:val="28"/>
          <w:lang w:val="en-US" w:eastAsia="zh-CN"/>
        </w:rPr>
        <w:t>〔2016〕7</w:t>
      </w:r>
      <w:r>
        <w:rPr>
          <w:rFonts w:hint="eastAsia" w:cs="Times New Roman"/>
          <w:sz w:val="28"/>
          <w:szCs w:val="28"/>
          <w:lang w:val="en-US" w:eastAsia="zh-CN"/>
        </w:rPr>
        <w:t>号），该站所涉及的危险化学品为“零售业”中的危险化学品汽油、柴油，主要安全风险为“爆炸、火灾、中毒、腐蚀”。该加油站的埋地油罐内部、人孔井、隔油池、化粪池、</w:t>
      </w:r>
      <w:r>
        <w:rPr>
          <w:rFonts w:hint="eastAsia" w:ascii="宋体" w:hAnsi="宋体" w:eastAsia="宋体" w:cs="宋体"/>
          <w:sz w:val="28"/>
          <w:szCs w:val="28"/>
          <w:lang w:val="en-US" w:eastAsia="zh-CN"/>
        </w:rPr>
        <w:t>水封井构成受限空间，进入上述区域作业属于有限空间作业。</w:t>
      </w:r>
    </w:p>
    <w:p w14:paraId="575E3647">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en-US"/>
        </w:rPr>
        <w:t>5）评价组依据《化工和危险化学品生产经营单位重大生产安全事故隐患判定标准（试行）》（原安监总管三[2017]121号）判定：该加油站无重大生产安全事故隐患。</w:t>
      </w:r>
    </w:p>
    <w:p w14:paraId="45676500">
      <w:pPr>
        <w:spacing w:line="600" w:lineRule="exact"/>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6）该加油站平面布置符合规范要求，建筑结构、消防方面符合国家和行业相关标准、规范的要求。</w:t>
      </w:r>
    </w:p>
    <w:p w14:paraId="1C06784E">
      <w:pPr>
        <w:spacing w:line="600" w:lineRule="exact"/>
        <w:ind w:firstLine="560" w:firstLineChars="200"/>
        <w:rPr>
          <w:rFonts w:hint="eastAsia" w:cs="Times New Roman"/>
          <w:sz w:val="28"/>
          <w:szCs w:val="28"/>
        </w:rPr>
      </w:pPr>
      <w:r>
        <w:rPr>
          <w:rFonts w:hint="eastAsia" w:ascii="宋体" w:hAnsi="宋体" w:cs="宋体"/>
          <w:sz w:val="28"/>
          <w:szCs w:val="28"/>
          <w:lang w:val="en-US" w:eastAsia="zh-CN"/>
        </w:rPr>
        <w:t>7</w:t>
      </w:r>
      <w:r>
        <w:rPr>
          <w:rFonts w:hint="eastAsia" w:ascii="宋体" w:hAnsi="宋体" w:eastAsia="宋体" w:cs="宋体"/>
          <w:sz w:val="28"/>
          <w:szCs w:val="28"/>
          <w:lang w:val="en-US" w:eastAsia="zh-CN"/>
        </w:rPr>
        <w:t>）该加</w:t>
      </w:r>
      <w:r>
        <w:rPr>
          <w:rFonts w:hint="eastAsia" w:cs="Times New Roman"/>
          <w:sz w:val="28"/>
          <w:szCs w:val="28"/>
          <w:lang w:val="en-US" w:eastAsia="zh-CN"/>
        </w:rPr>
        <w:t>油站安全生产管理制度齐全，安全管理制度及劳动保护用品管理制度执行情况较好，可以满足在正常运行过程中的安全生产需要。</w:t>
      </w:r>
    </w:p>
    <w:p w14:paraId="17885DDB">
      <w:pPr>
        <w:pStyle w:val="5"/>
        <w:bidi w:val="0"/>
        <w:rPr>
          <w:rFonts w:hint="eastAsia" w:ascii="楷体" w:hAnsi="楷体" w:eastAsia="楷体" w:cs="楷体"/>
          <w:sz w:val="32"/>
          <w:szCs w:val="32"/>
          <w:lang w:val="en-US" w:eastAsia="zh-CN"/>
        </w:rPr>
      </w:pPr>
      <w:bookmarkStart w:id="249" w:name="_Toc16838"/>
      <w:r>
        <w:rPr>
          <w:rFonts w:hint="eastAsia" w:ascii="楷体" w:hAnsi="楷体" w:eastAsia="楷体" w:cs="楷体"/>
          <w:sz w:val="32"/>
          <w:szCs w:val="32"/>
          <w:lang w:val="en-US" w:eastAsia="zh-CN"/>
        </w:rPr>
        <w:t>7.2评价结论</w:t>
      </w:r>
      <w:bookmarkEnd w:id="249"/>
    </w:p>
    <w:p w14:paraId="70EEB0BE">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1、该加油站为成品油零售企业，属三级加油站，加油站加油区（经营）和储油罐区均未超过《危险化学品重大危险源辨识》（GB18218-2018）规定的临界量，</w:t>
      </w:r>
      <w:r>
        <w:rPr>
          <w:rFonts w:hint="eastAsia" w:ascii="宋体" w:hAnsi="宋体" w:cs="宋体"/>
          <w:sz w:val="28"/>
          <w:szCs w:val="28"/>
          <w:lang w:val="en-US" w:eastAsia="zh-CN"/>
        </w:rPr>
        <w:t>生产单元和储存单元均</w:t>
      </w:r>
      <w:r>
        <w:rPr>
          <w:rFonts w:hint="eastAsia" w:ascii="宋体" w:hAnsi="宋体" w:eastAsia="宋体" w:cs="宋体"/>
          <w:sz w:val="28"/>
          <w:szCs w:val="28"/>
        </w:rPr>
        <w:t>不构成重大危险源。</w:t>
      </w:r>
    </w:p>
    <w:p w14:paraId="68135C09">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2、该加油站危险度评价，储油罐区为低度危险，由于采用埋地油罐、密封操作等措施，危险有害程度能控制在可接受的范围；加油站安全现场检查经整改后符合要求。</w:t>
      </w:r>
    </w:p>
    <w:p w14:paraId="3CDBFB50">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3、该加油站平面布置、建筑结构、消防、安全设施符合国家和行业相关标准、规范的要求。</w:t>
      </w:r>
    </w:p>
    <w:p w14:paraId="75DF69A5">
      <w:pPr>
        <w:spacing w:line="600" w:lineRule="exact"/>
        <w:ind w:firstLine="560" w:firstLineChars="200"/>
        <w:rPr>
          <w:rFonts w:cs="Times New Roman"/>
          <w:sz w:val="28"/>
          <w:szCs w:val="28"/>
        </w:rPr>
      </w:pPr>
      <w:r>
        <w:rPr>
          <w:rFonts w:hint="eastAsia" w:ascii="宋体" w:hAnsi="宋体" w:eastAsia="宋体" w:cs="宋体"/>
          <w:sz w:val="28"/>
          <w:szCs w:val="28"/>
        </w:rPr>
        <w:t>4、该</w:t>
      </w:r>
      <w:r>
        <w:rPr>
          <w:rFonts w:hint="eastAsia" w:cs="宋体"/>
          <w:sz w:val="28"/>
          <w:szCs w:val="28"/>
        </w:rPr>
        <w:t>加油站安全生产管理制度齐全，安全管理制度及劳动保护用品管理制度执行情况良好，可以满足正常运行过程中的安全生产的需要。</w:t>
      </w:r>
    </w:p>
    <w:p w14:paraId="2168C653">
      <w:pPr>
        <w:spacing w:line="600" w:lineRule="exact"/>
        <w:ind w:firstLine="562" w:firstLineChars="200"/>
        <w:rPr>
          <w:rFonts w:ascii="宋体" w:cs="Times New Roman"/>
          <w:b/>
          <w:bCs/>
          <w:sz w:val="28"/>
          <w:szCs w:val="28"/>
        </w:rPr>
      </w:pPr>
      <w:r>
        <w:rPr>
          <w:rFonts w:hint="eastAsia" w:ascii="宋体" w:hAnsi="宋体" w:cs="宋体"/>
          <w:b/>
          <w:bCs/>
          <w:sz w:val="28"/>
          <w:szCs w:val="28"/>
        </w:rPr>
        <w:t>综合所述：中国石化销售有限公司江西余干石油分公司社庚加油站符合危险化学品经营单位安全的条件。</w:t>
      </w:r>
    </w:p>
    <w:p w14:paraId="6AE0D95E">
      <w:pPr>
        <w:rPr>
          <w:rFonts w:hint="eastAsia" w:ascii="楷体" w:hAnsi="楷体" w:eastAsia="楷体" w:cs="楷体"/>
          <w:sz w:val="32"/>
          <w:szCs w:val="32"/>
          <w:lang w:val="en-US" w:eastAsia="zh-CN"/>
        </w:rPr>
      </w:pPr>
      <w:bookmarkStart w:id="250" w:name="_Toc698"/>
      <w:r>
        <w:rPr>
          <w:rFonts w:hint="eastAsia" w:ascii="楷体" w:hAnsi="楷体" w:eastAsia="楷体" w:cs="楷体"/>
          <w:sz w:val="32"/>
          <w:szCs w:val="32"/>
          <w:lang w:val="en-US" w:eastAsia="zh-CN"/>
        </w:rPr>
        <w:br w:type="page"/>
      </w:r>
    </w:p>
    <w:p w14:paraId="450CC3AC">
      <w:pPr>
        <w:pStyle w:val="4"/>
        <w:bidi w:val="0"/>
        <w:rPr>
          <w:rFonts w:hint="eastAsia" w:ascii="楷体" w:hAnsi="楷体" w:eastAsia="楷体" w:cs="楷体"/>
          <w:sz w:val="32"/>
          <w:szCs w:val="32"/>
          <w:lang w:val="en-US" w:eastAsia="zh-CN"/>
        </w:rPr>
      </w:pPr>
      <w:bookmarkStart w:id="251" w:name="_Toc5861"/>
      <w:r>
        <w:rPr>
          <w:rFonts w:hint="eastAsia" w:ascii="楷体" w:hAnsi="楷体" w:eastAsia="楷体" w:cs="楷体"/>
          <w:sz w:val="32"/>
          <w:szCs w:val="32"/>
          <w:lang w:val="en-US" w:eastAsia="zh-CN"/>
        </w:rPr>
        <w:t>8附件</w:t>
      </w:r>
      <w:bookmarkEnd w:id="250"/>
      <w:bookmarkEnd w:id="251"/>
    </w:p>
    <w:p w14:paraId="07CFCEC0">
      <w:pPr>
        <w:spacing w:line="600" w:lineRule="exact"/>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（1）</w:t>
      </w:r>
      <w:r>
        <w:rPr>
          <w:rFonts w:hint="eastAsia" w:ascii="宋体" w:hAnsi="宋体" w:eastAsia="宋体" w:cs="宋体"/>
          <w:sz w:val="28"/>
          <w:szCs w:val="28"/>
        </w:rPr>
        <w:t>现场</w:t>
      </w:r>
      <w:r>
        <w:rPr>
          <w:rFonts w:hint="eastAsia" w:ascii="宋体" w:hAnsi="宋体" w:eastAsia="宋体" w:cs="宋体"/>
          <w:sz w:val="28"/>
          <w:szCs w:val="28"/>
          <w:lang w:val="en-US" w:eastAsia="zh-CN"/>
        </w:rPr>
        <w:t>勘察</w:t>
      </w:r>
      <w:r>
        <w:rPr>
          <w:rFonts w:hint="eastAsia" w:ascii="宋体" w:hAnsi="宋体" w:eastAsia="宋体" w:cs="宋体"/>
          <w:sz w:val="28"/>
          <w:szCs w:val="28"/>
        </w:rPr>
        <w:t>照片</w:t>
      </w:r>
    </w:p>
    <w:p w14:paraId="11B4F28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2</w:t>
      </w:r>
      <w:r>
        <w:rPr>
          <w:rFonts w:hint="eastAsia" w:ascii="宋体" w:hAnsi="宋体" w:eastAsia="宋体" w:cs="宋体"/>
          <w:sz w:val="28"/>
          <w:szCs w:val="28"/>
        </w:rPr>
        <w:t>）整改回复</w:t>
      </w:r>
    </w:p>
    <w:p w14:paraId="38302C1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3</w:t>
      </w:r>
      <w:r>
        <w:rPr>
          <w:rFonts w:hint="eastAsia" w:ascii="宋体" w:hAnsi="宋体" w:eastAsia="宋体" w:cs="宋体"/>
          <w:sz w:val="28"/>
          <w:szCs w:val="28"/>
        </w:rPr>
        <w:t>）营</w:t>
      </w:r>
      <w:r>
        <w:rPr>
          <w:rFonts w:hint="eastAsia" w:cs="宋体"/>
          <w:sz w:val="28"/>
          <w:szCs w:val="28"/>
        </w:rPr>
        <w:t>业执照、</w:t>
      </w:r>
      <w:r>
        <w:rPr>
          <w:rFonts w:hint="eastAsia" w:ascii="宋体" w:hAnsi="宋体" w:eastAsia="宋体" w:cs="宋体"/>
          <w:sz w:val="28"/>
          <w:szCs w:val="28"/>
        </w:rPr>
        <w:t>危化经营许可证、成品油经营许可证</w:t>
      </w:r>
    </w:p>
    <w:p w14:paraId="32FD064C">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4</w:t>
      </w:r>
      <w:r>
        <w:rPr>
          <w:rFonts w:hint="eastAsia" w:ascii="宋体" w:hAnsi="宋体" w:eastAsia="宋体" w:cs="宋体"/>
          <w:sz w:val="28"/>
          <w:szCs w:val="28"/>
        </w:rPr>
        <w:t>）建设工程消防验收意见书</w:t>
      </w:r>
    </w:p>
    <w:p w14:paraId="5320646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w:t>
      </w:r>
      <w:r>
        <w:rPr>
          <w:rFonts w:hint="eastAsia" w:ascii="宋体" w:hAnsi="宋体" w:eastAsia="宋体" w:cs="宋体"/>
          <w:sz w:val="28"/>
          <w:szCs w:val="28"/>
          <w:lang w:val="en-US" w:eastAsia="zh-CN"/>
        </w:rPr>
        <w:t>5</w:t>
      </w:r>
      <w:r>
        <w:rPr>
          <w:rFonts w:hint="eastAsia" w:ascii="宋体" w:hAnsi="宋体" w:eastAsia="宋体" w:cs="宋体"/>
          <w:sz w:val="28"/>
          <w:szCs w:val="28"/>
        </w:rPr>
        <w:t>）</w:t>
      </w:r>
      <w:r>
        <w:rPr>
          <w:rFonts w:hint="eastAsia" w:ascii="宋体" w:hAnsi="宋体" w:cs="宋体"/>
          <w:sz w:val="28"/>
          <w:szCs w:val="28"/>
          <w:lang w:val="en-US" w:eastAsia="zh-CN"/>
        </w:rPr>
        <w:t>安全管理机构组成及安全管理人员任命书</w:t>
      </w:r>
    </w:p>
    <w:p w14:paraId="7B1042E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6</w:t>
      </w:r>
      <w:r>
        <w:rPr>
          <w:rFonts w:hint="eastAsia" w:ascii="宋体" w:hAnsi="宋体" w:eastAsia="宋体" w:cs="宋体"/>
          <w:sz w:val="28"/>
          <w:szCs w:val="28"/>
        </w:rPr>
        <w:t>）主要负责人及安全管理人员证</w:t>
      </w:r>
    </w:p>
    <w:p w14:paraId="06C5265C">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lang w:val="en-US" w:eastAsia="zh-CN"/>
        </w:rPr>
      </w:pPr>
      <w:r>
        <w:rPr>
          <w:rFonts w:hint="eastAsia" w:ascii="宋体" w:hAnsi="宋体" w:cs="宋体"/>
          <w:sz w:val="28"/>
          <w:szCs w:val="28"/>
          <w:lang w:eastAsia="zh-CN"/>
        </w:rPr>
        <w:t>（</w:t>
      </w:r>
      <w:r>
        <w:rPr>
          <w:rFonts w:hint="eastAsia" w:ascii="宋体" w:hAnsi="宋体" w:cs="宋体"/>
          <w:sz w:val="28"/>
          <w:szCs w:val="28"/>
          <w:lang w:val="en-US" w:eastAsia="zh-CN"/>
        </w:rPr>
        <w:t>7</w:t>
      </w:r>
      <w:r>
        <w:rPr>
          <w:rFonts w:hint="eastAsia" w:ascii="宋体" w:hAnsi="宋体" w:cs="宋体"/>
          <w:sz w:val="28"/>
          <w:szCs w:val="28"/>
          <w:lang w:eastAsia="zh-CN"/>
        </w:rPr>
        <w:t>）</w:t>
      </w:r>
      <w:r>
        <w:rPr>
          <w:rFonts w:hint="eastAsia" w:ascii="宋体" w:hAnsi="宋体" w:eastAsia="宋体" w:cs="宋体"/>
          <w:sz w:val="28"/>
          <w:szCs w:val="28"/>
        </w:rPr>
        <w:t>应急预案备案登记表</w:t>
      </w:r>
      <w:r>
        <w:rPr>
          <w:rFonts w:hint="eastAsia" w:ascii="宋体" w:hAnsi="宋体" w:cs="宋体"/>
          <w:sz w:val="28"/>
          <w:szCs w:val="28"/>
          <w:lang w:val="en-US" w:eastAsia="zh-CN"/>
        </w:rPr>
        <w:t>及</w:t>
      </w:r>
      <w:r>
        <w:rPr>
          <w:rFonts w:hint="eastAsia" w:ascii="宋体" w:hAnsi="宋体" w:cs="宋体"/>
          <w:sz w:val="28"/>
          <w:szCs w:val="28"/>
          <w:lang w:eastAsia="zh-CN"/>
        </w:rPr>
        <w:t>应急演练记录</w:t>
      </w:r>
    </w:p>
    <w:p w14:paraId="2CA27F5A">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8</w:t>
      </w:r>
      <w:r>
        <w:rPr>
          <w:rFonts w:hint="eastAsia" w:ascii="宋体" w:hAnsi="宋体" w:eastAsia="宋体" w:cs="宋体"/>
          <w:sz w:val="28"/>
          <w:szCs w:val="28"/>
        </w:rPr>
        <w:t>）应急教育培训记录</w:t>
      </w:r>
    </w:p>
    <w:p w14:paraId="1000B2F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9</w:t>
      </w:r>
      <w:r>
        <w:rPr>
          <w:rFonts w:hint="eastAsia" w:ascii="宋体" w:hAnsi="宋体" w:eastAsia="宋体" w:cs="宋体"/>
          <w:sz w:val="28"/>
          <w:szCs w:val="28"/>
        </w:rPr>
        <w:t>）土地证</w:t>
      </w:r>
    </w:p>
    <w:p w14:paraId="636FC45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10</w:t>
      </w:r>
      <w:r>
        <w:rPr>
          <w:rFonts w:hint="eastAsia" w:ascii="宋体" w:hAnsi="宋体" w:eastAsia="宋体" w:cs="宋体"/>
          <w:sz w:val="28"/>
          <w:szCs w:val="28"/>
        </w:rPr>
        <w:t>）安全管理制度和安全操作规程目录</w:t>
      </w:r>
    </w:p>
    <w:p w14:paraId="58A76D4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11</w:t>
      </w:r>
      <w:r>
        <w:rPr>
          <w:rFonts w:hint="eastAsia" w:ascii="宋体" w:hAnsi="宋体" w:eastAsia="宋体" w:cs="宋体"/>
          <w:sz w:val="28"/>
          <w:szCs w:val="28"/>
        </w:rPr>
        <w:t>）工伤保险凭证</w:t>
      </w:r>
    </w:p>
    <w:p w14:paraId="3D9AF63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12</w:t>
      </w:r>
      <w:r>
        <w:rPr>
          <w:rFonts w:hint="eastAsia" w:ascii="宋体" w:hAnsi="宋体" w:eastAsia="宋体" w:cs="宋体"/>
          <w:sz w:val="28"/>
          <w:szCs w:val="28"/>
        </w:rPr>
        <w:t>）油罐产品合格证</w:t>
      </w:r>
    </w:p>
    <w:p w14:paraId="4FFC66A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13</w:t>
      </w:r>
      <w:r>
        <w:rPr>
          <w:rFonts w:hint="eastAsia" w:ascii="宋体" w:hAnsi="宋体" w:eastAsia="宋体" w:cs="宋体"/>
          <w:sz w:val="28"/>
          <w:szCs w:val="28"/>
        </w:rPr>
        <w:t>）劳动防护用品发放记录</w:t>
      </w:r>
    </w:p>
    <w:p w14:paraId="75534DA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14</w:t>
      </w:r>
      <w:r>
        <w:rPr>
          <w:rFonts w:hint="eastAsia" w:ascii="宋体" w:hAnsi="宋体" w:eastAsia="宋体" w:cs="宋体"/>
          <w:sz w:val="28"/>
          <w:szCs w:val="28"/>
        </w:rPr>
        <w:t>）加油站岗位职责分工</w:t>
      </w:r>
    </w:p>
    <w:p w14:paraId="64CDB98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15</w:t>
      </w:r>
      <w:r>
        <w:rPr>
          <w:rFonts w:hint="eastAsia" w:ascii="宋体" w:hAnsi="宋体" w:eastAsia="宋体" w:cs="宋体"/>
          <w:sz w:val="28"/>
          <w:szCs w:val="28"/>
        </w:rPr>
        <w:t>）加油站从业人员名册</w:t>
      </w:r>
    </w:p>
    <w:p w14:paraId="1A7510E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16</w:t>
      </w:r>
      <w:r>
        <w:rPr>
          <w:rFonts w:hint="eastAsia" w:ascii="宋体" w:hAnsi="宋体" w:eastAsia="宋体" w:cs="宋体"/>
          <w:sz w:val="28"/>
          <w:szCs w:val="28"/>
        </w:rPr>
        <w:t>）加油机产品合格证</w:t>
      </w:r>
    </w:p>
    <w:p w14:paraId="3635CF1A">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17</w:t>
      </w:r>
      <w:r>
        <w:rPr>
          <w:rFonts w:hint="eastAsia" w:ascii="宋体" w:hAnsi="宋体" w:eastAsia="宋体" w:cs="宋体"/>
          <w:sz w:val="28"/>
          <w:szCs w:val="28"/>
        </w:rPr>
        <w:t>）防雷装置检测报告</w:t>
      </w:r>
    </w:p>
    <w:p w14:paraId="38F8EBB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cs="宋体"/>
          <w:sz w:val="28"/>
          <w:szCs w:val="28"/>
          <w:lang w:val="en-US" w:eastAsia="zh-CN"/>
        </w:rPr>
        <w:t>18</w:t>
      </w:r>
      <w:r>
        <w:rPr>
          <w:rFonts w:hint="eastAsia" w:ascii="宋体" w:hAnsi="宋体" w:eastAsia="宋体" w:cs="宋体"/>
          <w:sz w:val="28"/>
          <w:szCs w:val="28"/>
        </w:rPr>
        <w:t>）总平面布置图</w:t>
      </w:r>
    </w:p>
    <w:p w14:paraId="35CDCC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s="宋体"/>
          <w:szCs w:val="28"/>
        </w:rPr>
      </w:pPr>
      <w:r>
        <w:rPr>
          <w:rFonts w:hint="eastAsia" w:cs="宋体"/>
          <w:szCs w:val="28"/>
        </w:rPr>
        <w:br w:type="page"/>
      </w:r>
    </w:p>
    <w:p w14:paraId="3213EC62">
      <w:pPr>
        <w:spacing w:line="600" w:lineRule="exact"/>
        <w:jc w:val="both"/>
        <w:rPr>
          <w:rFonts w:hint="eastAsia" w:ascii="楷体" w:hAnsi="楷体" w:eastAsia="楷体" w:cs="楷体"/>
          <w:b/>
          <w:bCs/>
          <w:sz w:val="32"/>
          <w:szCs w:val="32"/>
        </w:rPr>
      </w:pPr>
    </w:p>
    <w:p w14:paraId="5E6BD13F">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drawing>
          <wp:inline distT="0" distB="0" distL="114300" distR="114300">
            <wp:extent cx="6048375" cy="5809615"/>
            <wp:effectExtent l="0" t="0" r="9525" b="635"/>
            <wp:docPr id="76" name="图片 6" descr="微信图片_2024042211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descr="微信图片_20240422113457"/>
                    <pic:cNvPicPr>
                      <a:picLocks noChangeAspect="1"/>
                    </pic:cNvPicPr>
                  </pic:nvPicPr>
                  <pic:blipFill>
                    <a:blip r:embed="rId19"/>
                    <a:stretch>
                      <a:fillRect/>
                    </a:stretch>
                  </pic:blipFill>
                  <pic:spPr>
                    <a:xfrm>
                      <a:off x="0" y="0"/>
                      <a:ext cx="6048375" cy="5809615"/>
                    </a:xfrm>
                    <a:prstGeom prst="rect">
                      <a:avLst/>
                    </a:prstGeom>
                    <a:noFill/>
                    <a:ln>
                      <a:noFill/>
                    </a:ln>
                  </pic:spPr>
                </pic:pic>
              </a:graphicData>
            </a:graphic>
          </wp:inline>
        </w:drawing>
      </w:r>
    </w:p>
    <w:p w14:paraId="467ACA42">
      <w:pPr>
        <w:rPr>
          <w:rFonts w:hint="eastAsia"/>
          <w:lang w:eastAsia="zh-CN"/>
        </w:rPr>
      </w:pPr>
      <w:r>
        <w:rPr>
          <w:rFonts w:hint="eastAsia"/>
          <w:lang w:eastAsia="zh-CN"/>
        </w:rPr>
        <w:br w:type="page"/>
      </w:r>
    </w:p>
    <w:p w14:paraId="3ECE10D5">
      <w:pPr>
        <w:bidi w:val="0"/>
        <w:rPr>
          <w:rFonts w:hint="eastAsia"/>
          <w:lang w:eastAsia="zh-CN"/>
        </w:rPr>
      </w:pPr>
      <w:r>
        <w:rPr>
          <w:rFonts w:hint="eastAsia"/>
          <w:lang w:eastAsia="zh-CN"/>
        </w:rPr>
        <w:drawing>
          <wp:inline distT="0" distB="0" distL="114300" distR="114300">
            <wp:extent cx="5751830" cy="7898765"/>
            <wp:effectExtent l="0" t="0" r="1270" b="6985"/>
            <wp:docPr id="117" name="图片 117" descr="通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通知"/>
                    <pic:cNvPicPr>
                      <a:picLocks noChangeAspect="1"/>
                    </pic:cNvPicPr>
                  </pic:nvPicPr>
                  <pic:blipFill>
                    <a:blip r:embed="rId20"/>
                    <a:stretch>
                      <a:fillRect/>
                    </a:stretch>
                  </pic:blipFill>
                  <pic:spPr>
                    <a:xfrm>
                      <a:off x="0" y="0"/>
                      <a:ext cx="5751830" cy="7898765"/>
                    </a:xfrm>
                    <a:prstGeom prst="rect">
                      <a:avLst/>
                    </a:prstGeom>
                  </pic:spPr>
                </pic:pic>
              </a:graphicData>
            </a:graphic>
          </wp:inline>
        </w:drawing>
      </w:r>
    </w:p>
    <w:p w14:paraId="6F77E614">
      <w:pPr>
        <w:rPr>
          <w:rFonts w:hint="eastAsia"/>
          <w:lang w:eastAsia="zh-CN"/>
        </w:rPr>
      </w:pPr>
      <w:r>
        <w:rPr>
          <w:rFonts w:hint="eastAsia"/>
          <w:lang w:eastAsia="zh-CN"/>
        </w:rPr>
        <w:br w:type="page"/>
      </w:r>
    </w:p>
    <w:p w14:paraId="400A1F63">
      <w:pPr>
        <w:bidi w:val="0"/>
        <w:rPr>
          <w:rFonts w:hint="eastAsia"/>
          <w:lang w:eastAsia="zh-CN"/>
        </w:rPr>
      </w:pPr>
      <w:r>
        <w:rPr>
          <w:rFonts w:hint="eastAsia"/>
          <w:lang w:eastAsia="zh-CN"/>
        </w:rPr>
        <w:drawing>
          <wp:inline distT="0" distB="0" distL="114300" distR="114300">
            <wp:extent cx="5758180" cy="4102735"/>
            <wp:effectExtent l="0" t="0" r="13970" b="12065"/>
            <wp:docPr id="92" name="图片 9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营业执照"/>
                    <pic:cNvPicPr>
                      <a:picLocks noChangeAspect="1"/>
                    </pic:cNvPicPr>
                  </pic:nvPicPr>
                  <pic:blipFill>
                    <a:blip r:embed="rId21"/>
                    <a:stretch>
                      <a:fillRect/>
                    </a:stretch>
                  </pic:blipFill>
                  <pic:spPr>
                    <a:xfrm>
                      <a:off x="0" y="0"/>
                      <a:ext cx="5758180" cy="4102735"/>
                    </a:xfrm>
                    <a:prstGeom prst="rect">
                      <a:avLst/>
                    </a:prstGeom>
                  </pic:spPr>
                </pic:pic>
              </a:graphicData>
            </a:graphic>
          </wp:inline>
        </w:drawing>
      </w:r>
      <w:r>
        <w:rPr>
          <w:rFonts w:hint="eastAsia"/>
          <w:lang w:eastAsia="zh-CN"/>
        </w:rPr>
        <w:drawing>
          <wp:inline distT="0" distB="0" distL="114300" distR="114300">
            <wp:extent cx="5759450" cy="3977005"/>
            <wp:effectExtent l="0" t="0" r="12700" b="4445"/>
            <wp:docPr id="91" name="图片 91" descr="危化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危化品"/>
                    <pic:cNvPicPr>
                      <a:picLocks noChangeAspect="1"/>
                    </pic:cNvPicPr>
                  </pic:nvPicPr>
                  <pic:blipFill>
                    <a:blip r:embed="rId22"/>
                    <a:stretch>
                      <a:fillRect/>
                    </a:stretch>
                  </pic:blipFill>
                  <pic:spPr>
                    <a:xfrm>
                      <a:off x="0" y="0"/>
                      <a:ext cx="5759450" cy="3977005"/>
                    </a:xfrm>
                    <a:prstGeom prst="rect">
                      <a:avLst/>
                    </a:prstGeom>
                  </pic:spPr>
                </pic:pic>
              </a:graphicData>
            </a:graphic>
          </wp:inline>
        </w:drawing>
      </w:r>
    </w:p>
    <w:p w14:paraId="3036D076">
      <w:pPr>
        <w:rPr>
          <w:rFonts w:hint="eastAsia"/>
          <w:lang w:eastAsia="zh-CN"/>
        </w:rPr>
      </w:pPr>
      <w:r>
        <w:rPr>
          <w:rFonts w:hint="eastAsia"/>
          <w:lang w:eastAsia="zh-CN"/>
        </w:rPr>
        <w:br w:type="page"/>
      </w:r>
    </w:p>
    <w:p w14:paraId="2F7DF195">
      <w:pPr>
        <w:bidi w:val="0"/>
        <w:rPr>
          <w:rFonts w:hint="eastAsia"/>
          <w:lang w:eastAsia="zh-CN"/>
        </w:rPr>
      </w:pPr>
      <w:r>
        <w:rPr>
          <w:rFonts w:hint="eastAsia"/>
          <w:lang w:eastAsia="zh-CN"/>
        </w:rPr>
        <w:drawing>
          <wp:inline distT="0" distB="0" distL="114300" distR="114300">
            <wp:extent cx="5751830" cy="7849870"/>
            <wp:effectExtent l="0" t="0" r="1270" b="17780"/>
            <wp:docPr id="88" name="图片 88" descr="成品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成品油"/>
                    <pic:cNvPicPr>
                      <a:picLocks noChangeAspect="1"/>
                    </pic:cNvPicPr>
                  </pic:nvPicPr>
                  <pic:blipFill>
                    <a:blip r:embed="rId23"/>
                    <a:stretch>
                      <a:fillRect/>
                    </a:stretch>
                  </pic:blipFill>
                  <pic:spPr>
                    <a:xfrm rot="10800000">
                      <a:off x="0" y="0"/>
                      <a:ext cx="5751830" cy="7849870"/>
                    </a:xfrm>
                    <a:prstGeom prst="rect">
                      <a:avLst/>
                    </a:prstGeom>
                  </pic:spPr>
                </pic:pic>
              </a:graphicData>
            </a:graphic>
          </wp:inline>
        </w:drawing>
      </w:r>
    </w:p>
    <w:p w14:paraId="6F70A379">
      <w:pPr>
        <w:rPr>
          <w:rFonts w:hint="eastAsia"/>
          <w:lang w:eastAsia="zh-CN"/>
        </w:rPr>
      </w:pPr>
      <w:r>
        <w:rPr>
          <w:rFonts w:hint="eastAsia"/>
          <w:lang w:eastAsia="zh-CN"/>
        </w:rPr>
        <w:br w:type="page"/>
      </w:r>
    </w:p>
    <w:p w14:paraId="1F334942">
      <w:pPr>
        <w:bidi w:val="0"/>
        <w:rPr>
          <w:rFonts w:hint="eastAsia"/>
          <w:lang w:eastAsia="zh-CN"/>
        </w:rPr>
      </w:pPr>
      <w:r>
        <w:rPr>
          <w:rFonts w:hint="eastAsia"/>
          <w:lang w:eastAsia="zh-CN"/>
        </w:rPr>
        <w:drawing>
          <wp:inline distT="0" distB="0" distL="114300" distR="114300">
            <wp:extent cx="5615305" cy="8214995"/>
            <wp:effectExtent l="0" t="0" r="4445" b="14605"/>
            <wp:docPr id="148" name="图片 148" descr="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88888"/>
                    <pic:cNvPicPr>
                      <a:picLocks noChangeAspect="1"/>
                    </pic:cNvPicPr>
                  </pic:nvPicPr>
                  <pic:blipFill>
                    <a:blip r:embed="rId24"/>
                    <a:stretch>
                      <a:fillRect/>
                    </a:stretch>
                  </pic:blipFill>
                  <pic:spPr>
                    <a:xfrm>
                      <a:off x="0" y="0"/>
                      <a:ext cx="5615305" cy="8214995"/>
                    </a:xfrm>
                    <a:prstGeom prst="rect">
                      <a:avLst/>
                    </a:prstGeom>
                  </pic:spPr>
                </pic:pic>
              </a:graphicData>
            </a:graphic>
          </wp:inline>
        </w:drawing>
      </w:r>
    </w:p>
    <w:p w14:paraId="68EEA9F0">
      <w:pPr>
        <w:rPr>
          <w:rFonts w:hint="eastAsia"/>
          <w:lang w:eastAsia="zh-CN"/>
        </w:rPr>
      </w:pPr>
      <w:r>
        <w:rPr>
          <w:rFonts w:hint="eastAsia"/>
          <w:lang w:eastAsia="zh-CN"/>
        </w:rPr>
        <w:br w:type="page"/>
      </w:r>
    </w:p>
    <w:p w14:paraId="389D5CD4">
      <w:pPr>
        <w:bidi w:val="0"/>
        <w:rPr>
          <w:rFonts w:hint="eastAsia"/>
          <w:lang w:eastAsia="zh-CN"/>
        </w:rPr>
      </w:pPr>
      <w:r>
        <w:rPr>
          <w:rFonts w:hint="eastAsia"/>
          <w:lang w:eastAsia="zh-CN"/>
        </w:rPr>
        <w:drawing>
          <wp:inline distT="0" distB="0" distL="114300" distR="114300">
            <wp:extent cx="5753735" cy="8132445"/>
            <wp:effectExtent l="0" t="0" r="18415" b="1905"/>
            <wp:docPr id="104" name="图片 104" descr="通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通知"/>
                    <pic:cNvPicPr>
                      <a:picLocks noChangeAspect="1"/>
                    </pic:cNvPicPr>
                  </pic:nvPicPr>
                  <pic:blipFill>
                    <a:blip r:embed="rId25"/>
                    <a:stretch>
                      <a:fillRect/>
                    </a:stretch>
                  </pic:blipFill>
                  <pic:spPr>
                    <a:xfrm>
                      <a:off x="0" y="0"/>
                      <a:ext cx="5753735" cy="8132445"/>
                    </a:xfrm>
                    <a:prstGeom prst="rect">
                      <a:avLst/>
                    </a:prstGeom>
                  </pic:spPr>
                </pic:pic>
              </a:graphicData>
            </a:graphic>
          </wp:inline>
        </w:drawing>
      </w:r>
    </w:p>
    <w:p w14:paraId="0A08C31B">
      <w:pPr>
        <w:rPr>
          <w:rFonts w:hint="eastAsia" w:ascii="楷体" w:hAnsi="楷体" w:eastAsia="楷体" w:cs="楷体"/>
          <w:b/>
          <w:bCs/>
          <w:sz w:val="32"/>
          <w:szCs w:val="32"/>
          <w:lang w:val="en-US" w:eastAsia="zh-CN"/>
        </w:rPr>
      </w:pPr>
      <w:r>
        <w:rPr>
          <w:rFonts w:hint="eastAsia"/>
          <w:lang w:eastAsia="zh-CN"/>
        </w:rPr>
        <w:br w:type="page"/>
      </w:r>
    </w:p>
    <w:p w14:paraId="08668B23">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drawing>
          <wp:inline distT="0" distB="0" distL="114300" distR="114300">
            <wp:extent cx="5967095" cy="8448040"/>
            <wp:effectExtent l="0" t="0" r="14605" b="10160"/>
            <wp:docPr id="140" name="图片 140" descr="任命书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任命书2png"/>
                    <pic:cNvPicPr>
                      <a:picLocks noChangeAspect="1"/>
                    </pic:cNvPicPr>
                  </pic:nvPicPr>
                  <pic:blipFill>
                    <a:blip r:embed="rId26"/>
                    <a:stretch>
                      <a:fillRect/>
                    </a:stretch>
                  </pic:blipFill>
                  <pic:spPr>
                    <a:xfrm>
                      <a:off x="0" y="0"/>
                      <a:ext cx="5967095" cy="8448040"/>
                    </a:xfrm>
                    <a:prstGeom prst="rect">
                      <a:avLst/>
                    </a:prstGeom>
                  </pic:spPr>
                </pic:pic>
              </a:graphicData>
            </a:graphic>
          </wp:inline>
        </w:drawing>
      </w:r>
    </w:p>
    <w:p w14:paraId="121B17CC">
      <w:pPr>
        <w:rPr>
          <w:rFonts w:hint="eastAsia"/>
          <w:lang w:eastAsia="zh-CN"/>
        </w:rPr>
      </w:pPr>
      <w:r>
        <w:rPr>
          <w:rFonts w:hint="eastAsia"/>
          <w:lang w:eastAsia="zh-CN"/>
        </w:rPr>
        <w:br w:type="page"/>
      </w:r>
    </w:p>
    <w:p w14:paraId="2DAB9EA8">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bookmarkStart w:id="252" w:name="_Toc24244"/>
      <w:r>
        <w:rPr>
          <w:rFonts w:hint="eastAsia"/>
          <w:lang w:eastAsia="zh-CN"/>
        </w:rPr>
        <w:drawing>
          <wp:inline distT="0" distB="0" distL="114300" distR="114300">
            <wp:extent cx="5763260" cy="3870325"/>
            <wp:effectExtent l="0" t="0" r="8890" b="15875"/>
            <wp:docPr id="79" name="图片 79" descr="a06eb0bcfa6f07439c8b0fa9536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a06eb0bcfa6f07439c8b0fa95362048"/>
                    <pic:cNvPicPr>
                      <a:picLocks noChangeAspect="1"/>
                    </pic:cNvPicPr>
                  </pic:nvPicPr>
                  <pic:blipFill>
                    <a:blip r:embed="rId27"/>
                    <a:stretch>
                      <a:fillRect/>
                    </a:stretch>
                  </pic:blipFill>
                  <pic:spPr>
                    <a:xfrm>
                      <a:off x="0" y="0"/>
                      <a:ext cx="5763260" cy="3870325"/>
                    </a:xfrm>
                    <a:prstGeom prst="rect">
                      <a:avLst/>
                    </a:prstGeom>
                  </pic:spPr>
                </pic:pic>
              </a:graphicData>
            </a:graphic>
          </wp:inline>
        </w:drawing>
      </w:r>
      <w:bookmarkEnd w:id="252"/>
    </w:p>
    <w:p w14:paraId="67BD6FA1">
      <w:pPr>
        <w:keepNext w:val="0"/>
        <w:keepLines w:val="0"/>
        <w:pageBreakBefore w:val="0"/>
        <w:widowControl w:val="0"/>
        <w:kinsoku/>
        <w:wordWrap/>
        <w:overflowPunct/>
        <w:topLinePunct w:val="0"/>
        <w:autoSpaceDE/>
        <w:autoSpaceDN/>
        <w:bidi w:val="0"/>
        <w:adjustRightInd/>
        <w:snapToGrid/>
        <w:jc w:val="center"/>
        <w:textAlignment w:val="auto"/>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drawing>
          <wp:inline distT="0" distB="0" distL="114300" distR="114300">
            <wp:extent cx="5800090" cy="4290060"/>
            <wp:effectExtent l="0" t="0" r="10160" b="15240"/>
            <wp:docPr id="85" name="图片 85" descr="f1f0230434a128e7ff34587692dd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f1f0230434a128e7ff34587692dd945"/>
                    <pic:cNvPicPr>
                      <a:picLocks noChangeAspect="1"/>
                    </pic:cNvPicPr>
                  </pic:nvPicPr>
                  <pic:blipFill>
                    <a:blip r:embed="rId28"/>
                    <a:stretch>
                      <a:fillRect/>
                    </a:stretch>
                  </pic:blipFill>
                  <pic:spPr>
                    <a:xfrm>
                      <a:off x="0" y="0"/>
                      <a:ext cx="5800090" cy="4290060"/>
                    </a:xfrm>
                    <a:prstGeom prst="rect">
                      <a:avLst/>
                    </a:prstGeom>
                  </pic:spPr>
                </pic:pic>
              </a:graphicData>
            </a:graphic>
          </wp:inline>
        </w:drawing>
      </w:r>
    </w:p>
    <w:p w14:paraId="6F3549B1">
      <w:pPr>
        <w:rPr>
          <w:rFonts w:hint="eastAsia" w:ascii="楷体" w:hAnsi="楷体" w:eastAsia="楷体" w:cs="楷体"/>
          <w:b/>
          <w:bCs/>
          <w:sz w:val="32"/>
          <w:szCs w:val="32"/>
          <w:lang w:eastAsia="zh-CN"/>
        </w:rPr>
      </w:pPr>
      <w:r>
        <w:rPr>
          <w:rFonts w:hint="eastAsia" w:ascii="楷体" w:hAnsi="楷体" w:eastAsia="楷体" w:cs="楷体"/>
          <w:b/>
          <w:bCs/>
          <w:sz w:val="32"/>
          <w:szCs w:val="32"/>
          <w:lang w:eastAsia="zh-CN"/>
        </w:rPr>
        <w:br w:type="page"/>
      </w:r>
    </w:p>
    <w:p w14:paraId="38AEE4A5">
      <w:pPr>
        <w:keepNext w:val="0"/>
        <w:keepLines w:val="0"/>
        <w:pageBreakBefore w:val="0"/>
        <w:widowControl w:val="0"/>
        <w:kinsoku/>
        <w:wordWrap/>
        <w:overflowPunct/>
        <w:topLinePunct w:val="0"/>
        <w:autoSpaceDE/>
        <w:autoSpaceDN/>
        <w:bidi w:val="0"/>
        <w:adjustRightInd/>
        <w:snapToGrid/>
        <w:jc w:val="center"/>
        <w:textAlignment w:val="auto"/>
        <w:rPr>
          <w:rFonts w:hint="eastAsia"/>
          <w:lang w:eastAsia="zh-CN"/>
        </w:rPr>
      </w:pPr>
      <w:r>
        <w:rPr>
          <w:rFonts w:hint="eastAsia"/>
          <w:lang w:eastAsia="zh-CN"/>
        </w:rPr>
        <w:drawing>
          <wp:inline distT="0" distB="0" distL="114300" distR="114300">
            <wp:extent cx="5192395" cy="3894455"/>
            <wp:effectExtent l="0" t="0" r="8255" b="10795"/>
            <wp:docPr id="139" name="图片 139"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111"/>
                    <pic:cNvPicPr>
                      <a:picLocks noChangeAspect="1"/>
                    </pic:cNvPicPr>
                  </pic:nvPicPr>
                  <pic:blipFill>
                    <a:blip r:embed="rId29"/>
                    <a:stretch>
                      <a:fillRect/>
                    </a:stretch>
                  </pic:blipFill>
                  <pic:spPr>
                    <a:xfrm>
                      <a:off x="0" y="0"/>
                      <a:ext cx="5192395" cy="3894455"/>
                    </a:xfrm>
                    <a:prstGeom prst="rect">
                      <a:avLst/>
                    </a:prstGeom>
                  </pic:spPr>
                </pic:pic>
              </a:graphicData>
            </a:graphic>
          </wp:inline>
        </w:drawing>
      </w:r>
      <w:r>
        <w:rPr>
          <w:rFonts w:hint="eastAsia"/>
          <w:lang w:eastAsia="zh-CN"/>
        </w:rPr>
        <w:drawing>
          <wp:inline distT="0" distB="0" distL="114300" distR="114300">
            <wp:extent cx="5179695" cy="3867150"/>
            <wp:effectExtent l="0" t="0" r="1905" b="0"/>
            <wp:docPr id="142" name="图片 142"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22222"/>
                    <pic:cNvPicPr>
                      <a:picLocks noChangeAspect="1"/>
                    </pic:cNvPicPr>
                  </pic:nvPicPr>
                  <pic:blipFill>
                    <a:blip r:embed="rId30"/>
                    <a:stretch>
                      <a:fillRect/>
                    </a:stretch>
                  </pic:blipFill>
                  <pic:spPr>
                    <a:xfrm>
                      <a:off x="0" y="0"/>
                      <a:ext cx="5179695" cy="3867150"/>
                    </a:xfrm>
                    <a:prstGeom prst="rect">
                      <a:avLst/>
                    </a:prstGeom>
                  </pic:spPr>
                </pic:pic>
              </a:graphicData>
            </a:graphic>
          </wp:inline>
        </w:drawing>
      </w:r>
      <w:r>
        <w:rPr>
          <w:rFonts w:hint="eastAsia"/>
          <w:lang w:eastAsia="zh-CN"/>
        </w:rPr>
        <w:br w:type="page"/>
      </w:r>
    </w:p>
    <w:p w14:paraId="4278FC8E">
      <w:pPr>
        <w:bidi w:val="0"/>
        <w:jc w:val="center"/>
        <w:rPr>
          <w:rFonts w:hint="eastAsia" w:ascii="楷体" w:hAnsi="楷体" w:eastAsia="楷体" w:cs="楷体"/>
          <w:b/>
          <w:bCs/>
          <w:sz w:val="32"/>
          <w:szCs w:val="32"/>
          <w:lang w:eastAsia="zh-CN"/>
        </w:rPr>
      </w:pPr>
    </w:p>
    <w:p w14:paraId="531D4E18">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lang w:eastAsia="zh-CN"/>
        </w:rPr>
      </w:pPr>
      <w:r>
        <w:rPr>
          <w:rFonts w:hint="eastAsia"/>
          <w:lang w:eastAsia="zh-CN"/>
        </w:rPr>
        <w:drawing>
          <wp:inline distT="0" distB="0" distL="114300" distR="114300">
            <wp:extent cx="5447665" cy="8074025"/>
            <wp:effectExtent l="0" t="0" r="635" b="3175"/>
            <wp:docPr id="131" name="图片 1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3"/>
                    <pic:cNvPicPr>
                      <a:picLocks noChangeAspect="1"/>
                    </pic:cNvPicPr>
                  </pic:nvPicPr>
                  <pic:blipFill>
                    <a:blip r:embed="rId31"/>
                    <a:srcRect/>
                    <a:stretch>
                      <a:fillRect/>
                    </a:stretch>
                  </pic:blipFill>
                  <pic:spPr>
                    <a:xfrm>
                      <a:off x="0" y="0"/>
                      <a:ext cx="5447665" cy="8074025"/>
                    </a:xfrm>
                    <a:prstGeom prst="rect">
                      <a:avLst/>
                    </a:prstGeom>
                  </pic:spPr>
                </pic:pic>
              </a:graphicData>
            </a:graphic>
          </wp:inline>
        </w:drawing>
      </w:r>
    </w:p>
    <w:p w14:paraId="2CEF5546">
      <w:pPr>
        <w:keepNext w:val="0"/>
        <w:keepLines w:val="0"/>
        <w:pageBreakBefore w:val="0"/>
        <w:widowControl w:val="0"/>
        <w:kinsoku/>
        <w:wordWrap/>
        <w:overflowPunct/>
        <w:topLinePunct w:val="0"/>
        <w:autoSpaceDE/>
        <w:autoSpaceDN/>
        <w:bidi w:val="0"/>
        <w:adjustRightInd/>
        <w:snapToGrid/>
        <w:jc w:val="center"/>
        <w:textAlignment w:val="auto"/>
        <w:rPr>
          <w:rFonts w:hint="eastAsia"/>
          <w:lang w:eastAsia="zh-CN"/>
        </w:rPr>
      </w:pPr>
      <w:r>
        <w:rPr>
          <w:rFonts w:hint="eastAsia"/>
          <w:lang w:eastAsia="zh-CN"/>
        </w:rPr>
        <w:drawing>
          <wp:inline distT="0" distB="0" distL="114300" distR="114300">
            <wp:extent cx="5556250" cy="7666990"/>
            <wp:effectExtent l="0" t="0" r="6350" b="10160"/>
            <wp:docPr id="133" name="图片 1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4"/>
                    <pic:cNvPicPr>
                      <a:picLocks noChangeAspect="1"/>
                    </pic:cNvPicPr>
                  </pic:nvPicPr>
                  <pic:blipFill>
                    <a:blip r:embed="rId32"/>
                    <a:stretch>
                      <a:fillRect/>
                    </a:stretch>
                  </pic:blipFill>
                  <pic:spPr>
                    <a:xfrm>
                      <a:off x="0" y="0"/>
                      <a:ext cx="5556250" cy="7666990"/>
                    </a:xfrm>
                    <a:prstGeom prst="rect">
                      <a:avLst/>
                    </a:prstGeom>
                  </pic:spPr>
                </pic:pic>
              </a:graphicData>
            </a:graphic>
          </wp:inline>
        </w:drawing>
      </w:r>
    </w:p>
    <w:p w14:paraId="3D07CE6A">
      <w:pPr>
        <w:rPr>
          <w:rFonts w:hint="eastAsia"/>
          <w:lang w:eastAsia="zh-CN"/>
        </w:rPr>
      </w:pPr>
      <w:r>
        <w:rPr>
          <w:rFonts w:hint="eastAsia"/>
          <w:lang w:eastAsia="zh-CN"/>
        </w:rPr>
        <w:br w:type="page"/>
      </w:r>
    </w:p>
    <w:p w14:paraId="22C9E311">
      <w:pPr>
        <w:bidi w:val="0"/>
        <w:jc w:val="center"/>
        <w:rPr>
          <w:rFonts w:hint="eastAsia"/>
          <w:lang w:eastAsia="zh-CN"/>
        </w:rPr>
      </w:pPr>
      <w:r>
        <w:rPr>
          <w:rFonts w:hint="eastAsia"/>
          <w:lang w:eastAsia="zh-CN"/>
        </w:rPr>
        <w:drawing>
          <wp:inline distT="0" distB="0" distL="114300" distR="114300">
            <wp:extent cx="5772150" cy="7686675"/>
            <wp:effectExtent l="0" t="0" r="0" b="9525"/>
            <wp:docPr id="132" name="图片 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
                    <pic:cNvPicPr>
                      <a:picLocks noChangeAspect="1"/>
                    </pic:cNvPicPr>
                  </pic:nvPicPr>
                  <pic:blipFill>
                    <a:blip r:embed="rId33"/>
                    <a:stretch>
                      <a:fillRect/>
                    </a:stretch>
                  </pic:blipFill>
                  <pic:spPr>
                    <a:xfrm>
                      <a:off x="0" y="0"/>
                      <a:ext cx="5772150" cy="7686675"/>
                    </a:xfrm>
                    <a:prstGeom prst="rect">
                      <a:avLst/>
                    </a:prstGeom>
                  </pic:spPr>
                </pic:pic>
              </a:graphicData>
            </a:graphic>
          </wp:inline>
        </w:drawing>
      </w:r>
    </w:p>
    <w:p w14:paraId="7D03F147">
      <w:pPr>
        <w:rPr>
          <w:rFonts w:hint="eastAsia"/>
          <w:lang w:eastAsia="zh-CN"/>
        </w:rPr>
      </w:pPr>
      <w:r>
        <w:rPr>
          <w:rFonts w:hint="eastAsia"/>
          <w:lang w:eastAsia="zh-CN"/>
        </w:rPr>
        <w:br w:type="page"/>
      </w:r>
    </w:p>
    <w:p w14:paraId="02B14FEE">
      <w:pPr>
        <w:bidi w:val="0"/>
        <w:jc w:val="center"/>
        <w:rPr>
          <w:rFonts w:hint="eastAsia"/>
          <w:lang w:eastAsia="zh-CN"/>
        </w:rPr>
      </w:pPr>
      <w:r>
        <w:rPr>
          <w:rFonts w:hint="eastAsia"/>
          <w:lang w:eastAsia="zh-CN"/>
        </w:rPr>
        <w:drawing>
          <wp:inline distT="0" distB="0" distL="114300" distR="114300">
            <wp:extent cx="5567680" cy="7686675"/>
            <wp:effectExtent l="0" t="0" r="13970" b="9525"/>
            <wp:docPr id="134" name="图片 13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5"/>
                    <pic:cNvPicPr>
                      <a:picLocks noChangeAspect="1"/>
                    </pic:cNvPicPr>
                  </pic:nvPicPr>
                  <pic:blipFill>
                    <a:blip r:embed="rId34"/>
                    <a:stretch>
                      <a:fillRect/>
                    </a:stretch>
                  </pic:blipFill>
                  <pic:spPr>
                    <a:xfrm>
                      <a:off x="0" y="0"/>
                      <a:ext cx="5567680" cy="7686675"/>
                    </a:xfrm>
                    <a:prstGeom prst="rect">
                      <a:avLst/>
                    </a:prstGeom>
                  </pic:spPr>
                </pic:pic>
              </a:graphicData>
            </a:graphic>
          </wp:inline>
        </w:drawing>
      </w:r>
    </w:p>
    <w:p w14:paraId="5EE1E2FC">
      <w:pPr>
        <w:rPr>
          <w:rFonts w:hint="eastAsia" w:eastAsia="宋体" w:cs="Times New Roman"/>
          <w:lang w:eastAsia="zh-CN"/>
        </w:rPr>
      </w:pPr>
      <w:r>
        <w:rPr>
          <w:rFonts w:hint="eastAsia"/>
          <w:lang w:eastAsia="zh-CN"/>
        </w:rPr>
        <w:br w:type="page"/>
      </w:r>
    </w:p>
    <w:p w14:paraId="67F56298">
      <w:pPr>
        <w:jc w:val="center"/>
        <w:rPr>
          <w:rFonts w:hint="eastAsia" w:eastAsia="宋体" w:cs="Times New Roman"/>
          <w:lang w:eastAsia="zh-CN"/>
        </w:rPr>
      </w:pPr>
      <w:r>
        <w:rPr>
          <w:rFonts w:hint="eastAsia" w:eastAsia="宋体" w:cs="Times New Roman"/>
          <w:lang w:eastAsia="zh-CN"/>
        </w:rPr>
        <w:drawing>
          <wp:inline distT="0" distB="0" distL="114300" distR="114300">
            <wp:extent cx="5434965" cy="7660640"/>
            <wp:effectExtent l="0" t="0" r="13335" b="16510"/>
            <wp:docPr id="135" name="图片 13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1"/>
                    <pic:cNvPicPr>
                      <a:picLocks noChangeAspect="1"/>
                    </pic:cNvPicPr>
                  </pic:nvPicPr>
                  <pic:blipFill>
                    <a:blip r:embed="rId35"/>
                    <a:srcRect/>
                    <a:stretch>
                      <a:fillRect/>
                    </a:stretch>
                  </pic:blipFill>
                  <pic:spPr>
                    <a:xfrm>
                      <a:off x="0" y="0"/>
                      <a:ext cx="5434965" cy="7660640"/>
                    </a:xfrm>
                    <a:prstGeom prst="rect">
                      <a:avLst/>
                    </a:prstGeom>
                  </pic:spPr>
                </pic:pic>
              </a:graphicData>
            </a:graphic>
          </wp:inline>
        </w:drawing>
      </w:r>
    </w:p>
    <w:p w14:paraId="159D7BAD">
      <w:pPr>
        <w:rPr>
          <w:rFonts w:hint="eastAsia" w:eastAsia="宋体" w:cs="Times New Roman"/>
          <w:lang w:eastAsia="zh-CN"/>
        </w:rPr>
      </w:pPr>
      <w:r>
        <w:rPr>
          <w:rFonts w:hint="eastAsia" w:eastAsia="宋体" w:cs="Times New Roman"/>
          <w:lang w:eastAsia="zh-CN"/>
        </w:rPr>
        <w:br w:type="page"/>
      </w:r>
    </w:p>
    <w:p w14:paraId="1F9239AD">
      <w:pPr>
        <w:tabs>
          <w:tab w:val="left" w:pos="8199"/>
        </w:tabs>
        <w:jc w:val="center"/>
        <w:rPr>
          <w:rFonts w:hint="eastAsia" w:eastAsia="宋体" w:cs="Times New Roman"/>
          <w:lang w:eastAsia="zh-CN"/>
        </w:rPr>
      </w:pPr>
      <w:r>
        <w:rPr>
          <w:rFonts w:hint="eastAsia" w:eastAsia="宋体" w:cs="Times New Roman"/>
          <w:lang w:eastAsia="zh-CN"/>
        </w:rPr>
        <w:drawing>
          <wp:inline distT="0" distB="0" distL="114300" distR="114300">
            <wp:extent cx="5619115" cy="7853680"/>
            <wp:effectExtent l="0" t="0" r="635" b="13970"/>
            <wp:docPr id="136" name="图片 13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33"/>
                    <pic:cNvPicPr>
                      <a:picLocks noChangeAspect="1"/>
                    </pic:cNvPicPr>
                  </pic:nvPicPr>
                  <pic:blipFill>
                    <a:blip r:embed="rId36"/>
                    <a:srcRect/>
                    <a:stretch>
                      <a:fillRect/>
                    </a:stretch>
                  </pic:blipFill>
                  <pic:spPr>
                    <a:xfrm>
                      <a:off x="0" y="0"/>
                      <a:ext cx="5619115" cy="7853680"/>
                    </a:xfrm>
                    <a:prstGeom prst="rect">
                      <a:avLst/>
                    </a:prstGeom>
                  </pic:spPr>
                </pic:pic>
              </a:graphicData>
            </a:graphic>
          </wp:inline>
        </w:drawing>
      </w:r>
    </w:p>
    <w:p w14:paraId="184BC901">
      <w:pPr>
        <w:rPr>
          <w:rFonts w:hint="eastAsia" w:eastAsia="宋体" w:cs="Times New Roman"/>
          <w:lang w:eastAsia="zh-CN"/>
        </w:rPr>
      </w:pPr>
      <w:r>
        <w:rPr>
          <w:rFonts w:hint="eastAsia" w:eastAsia="宋体" w:cs="Times New Roman"/>
          <w:lang w:eastAsia="zh-CN"/>
        </w:rPr>
        <w:br w:type="page"/>
      </w:r>
    </w:p>
    <w:p w14:paraId="2A7AABEF">
      <w:pPr>
        <w:tabs>
          <w:tab w:val="right" w:pos="9072"/>
        </w:tabs>
        <w:jc w:val="center"/>
        <w:rPr>
          <w:rFonts w:hint="eastAsia" w:eastAsia="宋体" w:cs="Times New Roman"/>
          <w:lang w:eastAsia="zh-CN"/>
        </w:rPr>
      </w:pPr>
      <w:r>
        <w:rPr>
          <w:rFonts w:hint="eastAsia" w:eastAsia="宋体" w:cs="Times New Roman"/>
          <w:lang w:eastAsia="zh-CN"/>
        </w:rPr>
        <w:drawing>
          <wp:inline distT="0" distB="0" distL="114300" distR="114300">
            <wp:extent cx="5622925" cy="7609840"/>
            <wp:effectExtent l="0" t="0" r="15875" b="10160"/>
            <wp:docPr id="137" name="图片 137"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44"/>
                    <pic:cNvPicPr>
                      <a:picLocks noChangeAspect="1"/>
                    </pic:cNvPicPr>
                  </pic:nvPicPr>
                  <pic:blipFill>
                    <a:blip r:embed="rId37"/>
                    <a:srcRect/>
                    <a:stretch>
                      <a:fillRect/>
                    </a:stretch>
                  </pic:blipFill>
                  <pic:spPr>
                    <a:xfrm>
                      <a:off x="0" y="0"/>
                      <a:ext cx="5622925" cy="7609840"/>
                    </a:xfrm>
                    <a:prstGeom prst="rect">
                      <a:avLst/>
                    </a:prstGeom>
                  </pic:spPr>
                </pic:pic>
              </a:graphicData>
            </a:graphic>
          </wp:inline>
        </w:drawing>
      </w:r>
    </w:p>
    <w:p w14:paraId="6DCB1BA3">
      <w:pPr>
        <w:rPr>
          <w:rFonts w:hint="eastAsia"/>
          <w:lang w:eastAsia="zh-CN"/>
        </w:rPr>
      </w:pPr>
      <w:r>
        <w:rPr>
          <w:rFonts w:hint="eastAsia" w:eastAsia="宋体" w:cs="Times New Roman"/>
          <w:lang w:eastAsia="zh-CN"/>
        </w:rPr>
        <w:br w:type="page"/>
      </w:r>
    </w:p>
    <w:p w14:paraId="59376680">
      <w:pPr>
        <w:jc w:val="center"/>
        <w:rPr>
          <w:rFonts w:hint="default"/>
          <w:b w:val="0"/>
          <w:bCs w:val="0"/>
          <w:lang w:val="en-US" w:eastAsia="zh-CN"/>
        </w:rPr>
      </w:pPr>
      <w:r>
        <w:rPr>
          <w:rFonts w:hint="default"/>
          <w:b w:val="0"/>
          <w:bCs w:val="0"/>
          <w:lang w:val="en-US" w:eastAsia="zh-CN"/>
        </w:rPr>
        <w:drawing>
          <wp:inline distT="0" distB="0" distL="114300" distR="114300">
            <wp:extent cx="5487035" cy="7814310"/>
            <wp:effectExtent l="0" t="0" r="18415" b="15240"/>
            <wp:docPr id="81" name="图片 81" descr="c0b1dbdbc721bd8c82660141dde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0b1dbdbc721bd8c82660141dde0172"/>
                    <pic:cNvPicPr>
                      <a:picLocks noChangeAspect="1"/>
                    </pic:cNvPicPr>
                  </pic:nvPicPr>
                  <pic:blipFill>
                    <a:blip r:embed="rId38"/>
                    <a:stretch>
                      <a:fillRect/>
                    </a:stretch>
                  </pic:blipFill>
                  <pic:spPr>
                    <a:xfrm>
                      <a:off x="0" y="0"/>
                      <a:ext cx="5487035" cy="7814310"/>
                    </a:xfrm>
                    <a:prstGeom prst="rect">
                      <a:avLst/>
                    </a:prstGeom>
                  </pic:spPr>
                </pic:pic>
              </a:graphicData>
            </a:graphic>
          </wp:inline>
        </w:drawing>
      </w:r>
    </w:p>
    <w:p w14:paraId="10DA485C">
      <w:pPr>
        <w:rPr>
          <w:rFonts w:hint="default"/>
          <w:b w:val="0"/>
          <w:bCs w:val="0"/>
          <w:lang w:val="en-US" w:eastAsia="zh-CN"/>
        </w:rPr>
      </w:pPr>
      <w:r>
        <w:rPr>
          <w:rFonts w:hint="default"/>
          <w:b w:val="0"/>
          <w:bCs w:val="0"/>
          <w:lang w:val="en-US" w:eastAsia="zh-CN"/>
        </w:rPr>
        <w:br w:type="page"/>
      </w:r>
      <w:r>
        <w:rPr>
          <w:rFonts w:hint="default"/>
          <w:b w:val="0"/>
          <w:bCs w:val="0"/>
          <w:lang w:val="en-US" w:eastAsia="zh-CN"/>
        </w:rPr>
        <w:drawing>
          <wp:inline distT="0" distB="0" distL="114300" distR="114300">
            <wp:extent cx="5394325" cy="7808595"/>
            <wp:effectExtent l="0" t="0" r="15875" b="1905"/>
            <wp:docPr id="82" name="图片 82" descr="ed1b06196ca1f061893a631a01b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d1b06196ca1f061893a631a01b0284"/>
                    <pic:cNvPicPr>
                      <a:picLocks noChangeAspect="1"/>
                    </pic:cNvPicPr>
                  </pic:nvPicPr>
                  <pic:blipFill>
                    <a:blip r:embed="rId39"/>
                    <a:stretch>
                      <a:fillRect/>
                    </a:stretch>
                  </pic:blipFill>
                  <pic:spPr>
                    <a:xfrm>
                      <a:off x="0" y="0"/>
                      <a:ext cx="5394325" cy="7808595"/>
                    </a:xfrm>
                    <a:prstGeom prst="rect">
                      <a:avLst/>
                    </a:prstGeom>
                  </pic:spPr>
                </pic:pic>
              </a:graphicData>
            </a:graphic>
          </wp:inline>
        </w:drawing>
      </w:r>
    </w:p>
    <w:p w14:paraId="1D0A86E2">
      <w:pPr>
        <w:rPr>
          <w:rFonts w:hint="default"/>
          <w:b w:val="0"/>
          <w:bCs w:val="0"/>
          <w:lang w:val="en-US" w:eastAsia="zh-CN"/>
        </w:rPr>
      </w:pPr>
      <w:r>
        <w:rPr>
          <w:rFonts w:hint="default"/>
          <w:b w:val="0"/>
          <w:bCs w:val="0"/>
          <w:lang w:val="en-US" w:eastAsia="zh-CN"/>
        </w:rPr>
        <w:br w:type="page"/>
      </w:r>
    </w:p>
    <w:p w14:paraId="0074BD6E">
      <w:pPr>
        <w:rPr>
          <w:rFonts w:hint="default"/>
          <w:b w:val="0"/>
          <w:bCs w:val="0"/>
          <w:lang w:val="en-US" w:eastAsia="zh-CN"/>
        </w:rPr>
      </w:pPr>
      <w:r>
        <w:rPr>
          <w:rFonts w:hint="default"/>
          <w:b w:val="0"/>
          <w:bCs w:val="0"/>
          <w:lang w:val="en-US" w:eastAsia="zh-CN"/>
        </w:rPr>
        <w:drawing>
          <wp:inline distT="0" distB="0" distL="114300" distR="114300">
            <wp:extent cx="5445760" cy="7915910"/>
            <wp:effectExtent l="0" t="0" r="2540" b="8890"/>
            <wp:docPr id="83" name="图片 83" descr="01d5c50f942c8ce3792156c938ff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1d5c50f942c8ce3792156c938ff648"/>
                    <pic:cNvPicPr>
                      <a:picLocks noChangeAspect="1"/>
                    </pic:cNvPicPr>
                  </pic:nvPicPr>
                  <pic:blipFill>
                    <a:blip r:embed="rId40"/>
                    <a:stretch>
                      <a:fillRect/>
                    </a:stretch>
                  </pic:blipFill>
                  <pic:spPr>
                    <a:xfrm>
                      <a:off x="0" y="0"/>
                      <a:ext cx="5445760" cy="7915910"/>
                    </a:xfrm>
                    <a:prstGeom prst="rect">
                      <a:avLst/>
                    </a:prstGeom>
                  </pic:spPr>
                </pic:pic>
              </a:graphicData>
            </a:graphic>
          </wp:inline>
        </w:drawing>
      </w:r>
    </w:p>
    <w:p w14:paraId="2C382314">
      <w:pPr>
        <w:rPr>
          <w:rFonts w:hint="default"/>
          <w:b w:val="0"/>
          <w:bCs w:val="0"/>
          <w:lang w:val="en-US" w:eastAsia="zh-CN"/>
        </w:rPr>
      </w:pPr>
      <w:r>
        <w:rPr>
          <w:rFonts w:hint="default"/>
          <w:b w:val="0"/>
          <w:bCs w:val="0"/>
          <w:lang w:val="en-US" w:eastAsia="zh-CN"/>
        </w:rPr>
        <w:br w:type="page"/>
      </w:r>
    </w:p>
    <w:p w14:paraId="0EB9D931">
      <w:pPr>
        <w:rPr>
          <w:rFonts w:hint="default"/>
          <w:lang w:val="en-US" w:eastAsia="zh-CN"/>
        </w:rPr>
      </w:pPr>
      <w:r>
        <w:rPr>
          <w:rFonts w:hint="default"/>
          <w:b w:val="0"/>
          <w:bCs w:val="0"/>
          <w:lang w:val="en-US" w:eastAsia="zh-CN"/>
        </w:rPr>
        <w:drawing>
          <wp:inline distT="0" distB="0" distL="114300" distR="114300">
            <wp:extent cx="5433060" cy="7822565"/>
            <wp:effectExtent l="0" t="0" r="15240" b="6985"/>
            <wp:docPr id="84" name="图片 84" descr="1d77ce5a33a79f06c290c6ef5b026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d77ce5a33a79f06c290c6ef5b0262f"/>
                    <pic:cNvPicPr>
                      <a:picLocks noChangeAspect="1"/>
                    </pic:cNvPicPr>
                  </pic:nvPicPr>
                  <pic:blipFill>
                    <a:blip r:embed="rId41"/>
                    <a:stretch>
                      <a:fillRect/>
                    </a:stretch>
                  </pic:blipFill>
                  <pic:spPr>
                    <a:xfrm>
                      <a:off x="0" y="0"/>
                      <a:ext cx="5433060" cy="7822565"/>
                    </a:xfrm>
                    <a:prstGeom prst="rect">
                      <a:avLst/>
                    </a:prstGeom>
                  </pic:spPr>
                </pic:pic>
              </a:graphicData>
            </a:graphic>
          </wp:inline>
        </w:drawing>
      </w:r>
      <w:r>
        <w:rPr>
          <w:rFonts w:hint="default"/>
          <w:b w:val="0"/>
          <w:bCs w:val="0"/>
          <w:lang w:val="en-US" w:eastAsia="zh-CN"/>
        </w:rPr>
        <w:br w:type="page"/>
      </w:r>
    </w:p>
    <w:p w14:paraId="3645F018">
      <w:pPr>
        <w:bidi w:val="0"/>
        <w:rPr>
          <w:rFonts w:hint="default"/>
          <w:lang w:val="en-US" w:eastAsia="zh-CN"/>
        </w:rPr>
      </w:pPr>
      <w:r>
        <w:rPr>
          <w:rFonts w:hint="default"/>
          <w:lang w:val="en-US" w:eastAsia="zh-CN"/>
        </w:rPr>
        <w:drawing>
          <wp:inline distT="0" distB="0" distL="114300" distR="114300">
            <wp:extent cx="5751830" cy="8544560"/>
            <wp:effectExtent l="0" t="0" r="1270" b="8890"/>
            <wp:docPr id="124" name="图片 124" descr="错做规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错做规程"/>
                    <pic:cNvPicPr>
                      <a:picLocks noChangeAspect="1"/>
                    </pic:cNvPicPr>
                  </pic:nvPicPr>
                  <pic:blipFill>
                    <a:blip r:embed="rId42"/>
                    <a:stretch>
                      <a:fillRect/>
                    </a:stretch>
                  </pic:blipFill>
                  <pic:spPr>
                    <a:xfrm>
                      <a:off x="0" y="0"/>
                      <a:ext cx="5751830" cy="8544560"/>
                    </a:xfrm>
                    <a:prstGeom prst="rect">
                      <a:avLst/>
                    </a:prstGeom>
                  </pic:spPr>
                </pic:pic>
              </a:graphicData>
            </a:graphic>
          </wp:inline>
        </w:drawing>
      </w:r>
    </w:p>
    <w:p w14:paraId="4481D197">
      <w:pPr>
        <w:rPr>
          <w:rFonts w:hint="default"/>
          <w:lang w:val="en-US" w:eastAsia="zh-CN"/>
        </w:rPr>
      </w:pPr>
      <w:r>
        <w:rPr>
          <w:rFonts w:hint="default"/>
          <w:lang w:val="en-US" w:eastAsia="zh-CN"/>
        </w:rPr>
        <w:br w:type="page"/>
      </w:r>
    </w:p>
    <w:p w14:paraId="4EB06F94">
      <w:pPr>
        <w:bidi w:val="0"/>
        <w:jc w:val="center"/>
        <w:rPr>
          <w:rFonts w:hint="default"/>
          <w:lang w:val="en-US" w:eastAsia="zh-CN"/>
        </w:rPr>
      </w:pPr>
      <w:r>
        <w:rPr>
          <w:rFonts w:hint="default"/>
          <w:lang w:val="en-US" w:eastAsia="zh-CN"/>
        </w:rPr>
        <w:drawing>
          <wp:inline distT="0" distB="0" distL="114300" distR="114300">
            <wp:extent cx="5753100" cy="8249285"/>
            <wp:effectExtent l="0" t="0" r="0" b="18415"/>
            <wp:docPr id="126" name="图片 126" descr="目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目录"/>
                    <pic:cNvPicPr>
                      <a:picLocks noChangeAspect="1"/>
                    </pic:cNvPicPr>
                  </pic:nvPicPr>
                  <pic:blipFill>
                    <a:blip r:embed="rId43"/>
                    <a:stretch>
                      <a:fillRect/>
                    </a:stretch>
                  </pic:blipFill>
                  <pic:spPr>
                    <a:xfrm>
                      <a:off x="0" y="0"/>
                      <a:ext cx="5753100" cy="8249285"/>
                    </a:xfrm>
                    <a:prstGeom prst="rect">
                      <a:avLst/>
                    </a:prstGeom>
                  </pic:spPr>
                </pic:pic>
              </a:graphicData>
            </a:graphic>
          </wp:inline>
        </w:drawing>
      </w:r>
    </w:p>
    <w:p w14:paraId="2DD2A41A">
      <w:pPr>
        <w:rPr>
          <w:rFonts w:hint="default"/>
          <w:lang w:val="en-US" w:eastAsia="zh-CN"/>
        </w:rPr>
      </w:pPr>
      <w:r>
        <w:rPr>
          <w:rFonts w:hint="default"/>
          <w:lang w:val="en-US" w:eastAsia="zh-CN"/>
        </w:rPr>
        <w:br w:type="page"/>
      </w:r>
    </w:p>
    <w:p w14:paraId="0A3510E1">
      <w:pPr>
        <w:bidi w:val="0"/>
        <w:jc w:val="center"/>
        <w:rPr>
          <w:rFonts w:hint="default"/>
          <w:lang w:val="en-US" w:eastAsia="zh-CN"/>
        </w:rPr>
      </w:pPr>
    </w:p>
    <w:p w14:paraId="2F519BC3">
      <w:pPr>
        <w:pStyle w:val="23"/>
        <w:keepNext/>
        <w:keepLines/>
        <w:pageBreakBefore w:val="0"/>
        <w:widowControl w:val="0"/>
        <w:kinsoku/>
        <w:wordWrap/>
        <w:overflowPunct/>
        <w:topLinePunct w:val="0"/>
        <w:autoSpaceDE/>
        <w:autoSpaceDN/>
        <w:bidi w:val="0"/>
        <w:adjustRightInd w:val="0"/>
        <w:snapToGrid w:val="0"/>
        <w:jc w:val="left"/>
        <w:textAlignment w:val="baseline"/>
        <w:outlineLvl w:val="9"/>
        <w:rPr>
          <w:rFonts w:hint="default"/>
          <w:lang w:val="en-US" w:eastAsia="zh-CN"/>
        </w:rPr>
      </w:pPr>
      <w:r>
        <w:rPr>
          <w:rFonts w:hint="default"/>
          <w:lang w:val="en-US" w:eastAsia="zh-CN"/>
        </w:rPr>
        <w:drawing>
          <wp:inline distT="0" distB="0" distL="114300" distR="114300">
            <wp:extent cx="5755640" cy="8555355"/>
            <wp:effectExtent l="0" t="0" r="16510" b="17145"/>
            <wp:docPr id="138" name="图片 1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
                    <pic:cNvPicPr>
                      <a:picLocks noChangeAspect="1"/>
                    </pic:cNvPicPr>
                  </pic:nvPicPr>
                  <pic:blipFill>
                    <a:blip r:embed="rId44"/>
                    <a:stretch>
                      <a:fillRect/>
                    </a:stretch>
                  </pic:blipFill>
                  <pic:spPr>
                    <a:xfrm>
                      <a:off x="0" y="0"/>
                      <a:ext cx="5755640" cy="8555355"/>
                    </a:xfrm>
                    <a:prstGeom prst="rect">
                      <a:avLst/>
                    </a:prstGeom>
                  </pic:spPr>
                </pic:pic>
              </a:graphicData>
            </a:graphic>
          </wp:inline>
        </w:drawing>
      </w:r>
    </w:p>
    <w:p w14:paraId="30351B93">
      <w:pPr>
        <w:rPr>
          <w:rFonts w:hint="eastAsia" w:ascii="楷体" w:hAnsi="楷体" w:eastAsia="楷体" w:cs="楷体"/>
          <w:b/>
          <w:bCs/>
          <w:sz w:val="32"/>
          <w:szCs w:val="32"/>
          <w:lang w:val="en-US" w:eastAsia="zh-CN"/>
        </w:rPr>
      </w:pPr>
      <w:r>
        <w:rPr>
          <w:rFonts w:hint="default"/>
          <w:lang w:val="en-US" w:eastAsia="zh-CN"/>
        </w:rPr>
        <w:br w:type="page"/>
      </w:r>
    </w:p>
    <w:p w14:paraId="3A6FC69F">
      <w:pPr>
        <w:bidi w:val="0"/>
        <w:jc w:val="center"/>
        <w:rPr>
          <w:rFonts w:hint="default"/>
          <w:lang w:val="en-US" w:eastAsia="zh-CN"/>
        </w:rPr>
      </w:pPr>
      <w:r>
        <w:rPr>
          <w:rFonts w:hint="default"/>
          <w:lang w:val="en-US" w:eastAsia="zh-CN"/>
        </w:rPr>
        <w:drawing>
          <wp:inline distT="0" distB="0" distL="114300" distR="114300">
            <wp:extent cx="5321300" cy="7094855"/>
            <wp:effectExtent l="0" t="0" r="12700" b="10795"/>
            <wp:docPr id="143" name="图片 143" descr="工伤保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工伤保险"/>
                    <pic:cNvPicPr>
                      <a:picLocks noChangeAspect="1"/>
                    </pic:cNvPicPr>
                  </pic:nvPicPr>
                  <pic:blipFill>
                    <a:blip r:embed="rId45"/>
                    <a:stretch>
                      <a:fillRect/>
                    </a:stretch>
                  </pic:blipFill>
                  <pic:spPr>
                    <a:xfrm>
                      <a:off x="0" y="0"/>
                      <a:ext cx="5321300" cy="7094855"/>
                    </a:xfrm>
                    <a:prstGeom prst="rect">
                      <a:avLst/>
                    </a:prstGeom>
                  </pic:spPr>
                </pic:pic>
              </a:graphicData>
            </a:graphic>
          </wp:inline>
        </w:drawing>
      </w:r>
    </w:p>
    <w:p w14:paraId="1989713A">
      <w:pPr>
        <w:rPr>
          <w:rFonts w:hint="default"/>
          <w:lang w:val="en-US" w:eastAsia="zh-CN"/>
        </w:rPr>
      </w:pPr>
      <w:r>
        <w:rPr>
          <w:rFonts w:hint="default"/>
          <w:lang w:val="en-US" w:eastAsia="zh-CN"/>
        </w:rPr>
        <w:br w:type="page"/>
      </w:r>
    </w:p>
    <w:p w14:paraId="76EB9749">
      <w:pPr>
        <w:bidi w:val="0"/>
        <w:jc w:val="center"/>
        <w:rPr>
          <w:rFonts w:hint="default"/>
          <w:lang w:val="en-US" w:eastAsia="zh-CN"/>
        </w:rPr>
      </w:pPr>
      <w:r>
        <w:rPr>
          <w:rFonts w:hint="default"/>
          <w:lang w:val="en-US" w:eastAsia="zh-CN"/>
        </w:rPr>
        <w:drawing>
          <wp:inline distT="0" distB="0" distL="114300" distR="114300">
            <wp:extent cx="8226425" cy="5163185"/>
            <wp:effectExtent l="0" t="0" r="18415" b="3175"/>
            <wp:docPr id="147" name="图片 147" descr="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44444"/>
                    <pic:cNvPicPr>
                      <a:picLocks noChangeAspect="1"/>
                    </pic:cNvPicPr>
                  </pic:nvPicPr>
                  <pic:blipFill>
                    <a:blip r:embed="rId46"/>
                    <a:stretch>
                      <a:fillRect/>
                    </a:stretch>
                  </pic:blipFill>
                  <pic:spPr>
                    <a:xfrm rot="16200000">
                      <a:off x="0" y="0"/>
                      <a:ext cx="8226425" cy="5163185"/>
                    </a:xfrm>
                    <a:prstGeom prst="rect">
                      <a:avLst/>
                    </a:prstGeom>
                  </pic:spPr>
                </pic:pic>
              </a:graphicData>
            </a:graphic>
          </wp:inline>
        </w:drawing>
      </w:r>
    </w:p>
    <w:p w14:paraId="0EE83A74">
      <w:pPr>
        <w:rPr>
          <w:rFonts w:hint="default"/>
          <w:lang w:val="en-US" w:eastAsia="zh-CN"/>
        </w:rPr>
      </w:pPr>
      <w:r>
        <w:rPr>
          <w:rFonts w:hint="default"/>
          <w:lang w:val="en-US" w:eastAsia="zh-CN"/>
        </w:rPr>
        <w:br w:type="page"/>
      </w:r>
    </w:p>
    <w:p w14:paraId="76D15820">
      <w:pPr>
        <w:bidi w:val="0"/>
        <w:jc w:val="center"/>
        <w:rPr>
          <w:rFonts w:hint="default"/>
          <w:lang w:val="en-US" w:eastAsia="zh-CN"/>
        </w:rPr>
      </w:pPr>
      <w:r>
        <w:rPr>
          <w:rFonts w:hint="default"/>
          <w:lang w:val="en-US" w:eastAsia="zh-CN"/>
        </w:rPr>
        <w:drawing>
          <wp:inline distT="0" distB="0" distL="114300" distR="114300">
            <wp:extent cx="7621905" cy="5488940"/>
            <wp:effectExtent l="0" t="0" r="16510" b="17145"/>
            <wp:docPr id="95" name="图片 9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5"/>
                    <pic:cNvPicPr>
                      <a:picLocks noChangeAspect="1"/>
                    </pic:cNvPicPr>
                  </pic:nvPicPr>
                  <pic:blipFill>
                    <a:blip r:embed="rId47"/>
                    <a:srcRect/>
                    <a:stretch>
                      <a:fillRect/>
                    </a:stretch>
                  </pic:blipFill>
                  <pic:spPr>
                    <a:xfrm rot="5400000">
                      <a:off x="0" y="0"/>
                      <a:ext cx="7621905" cy="5488940"/>
                    </a:xfrm>
                    <a:prstGeom prst="rect">
                      <a:avLst/>
                    </a:prstGeom>
                  </pic:spPr>
                </pic:pic>
              </a:graphicData>
            </a:graphic>
          </wp:inline>
        </w:drawing>
      </w:r>
    </w:p>
    <w:p w14:paraId="5D5706A4">
      <w:pPr>
        <w:rPr>
          <w:rFonts w:hint="default"/>
          <w:lang w:val="en-US" w:eastAsia="zh-CN"/>
        </w:rPr>
      </w:pPr>
      <w:r>
        <w:rPr>
          <w:rFonts w:hint="default"/>
          <w:lang w:val="en-US" w:eastAsia="zh-CN"/>
        </w:rPr>
        <w:br w:type="page"/>
      </w:r>
    </w:p>
    <w:p w14:paraId="5BFFEF1D">
      <w:pPr>
        <w:bidi w:val="0"/>
        <w:jc w:val="center"/>
        <w:rPr>
          <w:rFonts w:hint="default"/>
          <w:lang w:val="en-US" w:eastAsia="zh-CN"/>
        </w:rPr>
      </w:pPr>
      <w:r>
        <w:rPr>
          <w:rFonts w:hint="default"/>
          <w:lang w:val="en-US" w:eastAsia="zh-CN"/>
        </w:rPr>
        <w:drawing>
          <wp:inline distT="0" distB="0" distL="114300" distR="114300">
            <wp:extent cx="5724525" cy="7649210"/>
            <wp:effectExtent l="0" t="0" r="9525" b="8890"/>
            <wp:docPr id="96" name="图片 9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6"/>
                    <pic:cNvPicPr>
                      <a:picLocks noChangeAspect="1"/>
                    </pic:cNvPicPr>
                  </pic:nvPicPr>
                  <pic:blipFill>
                    <a:blip r:embed="rId48"/>
                    <a:srcRect/>
                    <a:stretch>
                      <a:fillRect/>
                    </a:stretch>
                  </pic:blipFill>
                  <pic:spPr>
                    <a:xfrm>
                      <a:off x="0" y="0"/>
                      <a:ext cx="5724525" cy="7649210"/>
                    </a:xfrm>
                    <a:prstGeom prst="rect">
                      <a:avLst/>
                    </a:prstGeom>
                  </pic:spPr>
                </pic:pic>
              </a:graphicData>
            </a:graphic>
          </wp:inline>
        </w:drawing>
      </w:r>
    </w:p>
    <w:p w14:paraId="15CFE991">
      <w:pPr>
        <w:rPr>
          <w:rFonts w:hint="default"/>
          <w:lang w:val="en-US" w:eastAsia="zh-CN"/>
        </w:rPr>
      </w:pPr>
      <w:r>
        <w:rPr>
          <w:rFonts w:hint="default"/>
          <w:lang w:val="en-US" w:eastAsia="zh-CN"/>
        </w:rPr>
        <w:br w:type="page"/>
      </w:r>
    </w:p>
    <w:p w14:paraId="73CC5CF8">
      <w:pPr>
        <w:bidi w:val="0"/>
        <w:jc w:val="center"/>
        <w:rPr>
          <w:rFonts w:hint="default"/>
          <w:lang w:val="en-US" w:eastAsia="zh-CN"/>
        </w:rPr>
      </w:pPr>
      <w:r>
        <w:rPr>
          <w:rFonts w:hint="default"/>
          <w:lang w:val="en-US" w:eastAsia="zh-CN"/>
        </w:rPr>
        <w:drawing>
          <wp:inline distT="0" distB="0" distL="114300" distR="114300">
            <wp:extent cx="5448935" cy="7780020"/>
            <wp:effectExtent l="0" t="0" r="18415" b="11430"/>
            <wp:docPr id="97" name="图片 9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7"/>
                    <pic:cNvPicPr>
                      <a:picLocks noChangeAspect="1"/>
                    </pic:cNvPicPr>
                  </pic:nvPicPr>
                  <pic:blipFill>
                    <a:blip r:embed="rId49"/>
                    <a:srcRect/>
                    <a:stretch>
                      <a:fillRect/>
                    </a:stretch>
                  </pic:blipFill>
                  <pic:spPr>
                    <a:xfrm>
                      <a:off x="0" y="0"/>
                      <a:ext cx="5448935" cy="7780020"/>
                    </a:xfrm>
                    <a:prstGeom prst="rect">
                      <a:avLst/>
                    </a:prstGeom>
                  </pic:spPr>
                </pic:pic>
              </a:graphicData>
            </a:graphic>
          </wp:inline>
        </w:drawing>
      </w:r>
    </w:p>
    <w:p w14:paraId="2AA7A45D">
      <w:pPr>
        <w:rPr>
          <w:rFonts w:hint="default"/>
          <w:lang w:val="en-US" w:eastAsia="zh-CN"/>
        </w:rPr>
      </w:pPr>
      <w:r>
        <w:rPr>
          <w:rFonts w:hint="default"/>
          <w:lang w:val="en-US" w:eastAsia="zh-CN"/>
        </w:rPr>
        <w:br w:type="page"/>
      </w:r>
    </w:p>
    <w:p w14:paraId="7D12534B">
      <w:pPr>
        <w:bidi w:val="0"/>
        <w:jc w:val="center"/>
        <w:rPr>
          <w:rFonts w:hint="default"/>
          <w:lang w:val="en-US" w:eastAsia="zh-CN"/>
        </w:rPr>
      </w:pPr>
      <w:r>
        <w:rPr>
          <w:rFonts w:hint="default"/>
          <w:lang w:val="en-US" w:eastAsia="zh-CN"/>
        </w:rPr>
        <w:drawing>
          <wp:inline distT="0" distB="0" distL="114300" distR="114300">
            <wp:extent cx="5676900" cy="7846695"/>
            <wp:effectExtent l="0" t="0" r="0" b="1905"/>
            <wp:docPr id="98" name="图片 9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8"/>
                    <pic:cNvPicPr>
                      <a:picLocks noChangeAspect="1"/>
                    </pic:cNvPicPr>
                  </pic:nvPicPr>
                  <pic:blipFill>
                    <a:blip r:embed="rId50"/>
                    <a:srcRect/>
                    <a:stretch>
                      <a:fillRect/>
                    </a:stretch>
                  </pic:blipFill>
                  <pic:spPr>
                    <a:xfrm>
                      <a:off x="0" y="0"/>
                      <a:ext cx="5676900" cy="7846695"/>
                    </a:xfrm>
                    <a:prstGeom prst="rect">
                      <a:avLst/>
                    </a:prstGeom>
                  </pic:spPr>
                </pic:pic>
              </a:graphicData>
            </a:graphic>
          </wp:inline>
        </w:drawing>
      </w:r>
    </w:p>
    <w:p w14:paraId="45256736">
      <w:pPr>
        <w:rPr>
          <w:rFonts w:hint="default"/>
          <w:lang w:val="en-US" w:eastAsia="zh-CN"/>
        </w:rPr>
      </w:pPr>
      <w:r>
        <w:rPr>
          <w:rFonts w:hint="default"/>
          <w:lang w:val="en-US" w:eastAsia="zh-CN"/>
        </w:rPr>
        <w:br w:type="page"/>
      </w:r>
    </w:p>
    <w:p w14:paraId="4F04A6BE">
      <w:pPr>
        <w:bidi w:val="0"/>
        <w:jc w:val="center"/>
        <w:rPr>
          <w:rFonts w:hint="default"/>
          <w:lang w:val="en-US" w:eastAsia="zh-CN"/>
        </w:rPr>
      </w:pPr>
      <w:r>
        <w:rPr>
          <w:rFonts w:hint="default"/>
          <w:lang w:val="en-US" w:eastAsia="zh-CN"/>
        </w:rPr>
        <w:drawing>
          <wp:inline distT="0" distB="0" distL="114300" distR="114300">
            <wp:extent cx="5663565" cy="7792085"/>
            <wp:effectExtent l="0" t="0" r="13335" b="18415"/>
            <wp:docPr id="100" name="图片 10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9"/>
                    <pic:cNvPicPr>
                      <a:picLocks noChangeAspect="1"/>
                    </pic:cNvPicPr>
                  </pic:nvPicPr>
                  <pic:blipFill>
                    <a:blip r:embed="rId51"/>
                    <a:srcRect/>
                    <a:stretch>
                      <a:fillRect/>
                    </a:stretch>
                  </pic:blipFill>
                  <pic:spPr>
                    <a:xfrm>
                      <a:off x="0" y="0"/>
                      <a:ext cx="5663565" cy="7792085"/>
                    </a:xfrm>
                    <a:prstGeom prst="rect">
                      <a:avLst/>
                    </a:prstGeom>
                  </pic:spPr>
                </pic:pic>
              </a:graphicData>
            </a:graphic>
          </wp:inline>
        </w:drawing>
      </w:r>
    </w:p>
    <w:p w14:paraId="6727124B">
      <w:pPr>
        <w:bidi w:val="0"/>
        <w:jc w:val="both"/>
        <w:rPr>
          <w:rFonts w:hint="default"/>
          <w:lang w:val="en-US" w:eastAsia="zh-CN"/>
        </w:rPr>
      </w:pPr>
      <w:r>
        <w:rPr>
          <w:rFonts w:hint="default"/>
          <w:lang w:val="en-US" w:eastAsia="zh-CN"/>
        </w:rPr>
        <w:br w:type="page"/>
      </w:r>
    </w:p>
    <w:p w14:paraId="6BEBF04E">
      <w:pPr>
        <w:jc w:val="center"/>
        <w:rPr>
          <w:rFonts w:hint="default"/>
          <w:lang w:val="en-US" w:eastAsia="zh-CN"/>
        </w:rPr>
      </w:pPr>
      <w:r>
        <w:rPr>
          <w:rFonts w:hint="default"/>
          <w:lang w:val="en-US" w:eastAsia="zh-CN"/>
        </w:rPr>
        <w:drawing>
          <wp:inline distT="0" distB="0" distL="114300" distR="114300">
            <wp:extent cx="5572125" cy="7814310"/>
            <wp:effectExtent l="0" t="0" r="9525" b="15240"/>
            <wp:docPr id="102" name="图片 10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1"/>
                    <pic:cNvPicPr>
                      <a:picLocks noChangeAspect="1"/>
                    </pic:cNvPicPr>
                  </pic:nvPicPr>
                  <pic:blipFill>
                    <a:blip r:embed="rId52"/>
                    <a:srcRect/>
                    <a:stretch>
                      <a:fillRect/>
                    </a:stretch>
                  </pic:blipFill>
                  <pic:spPr>
                    <a:xfrm>
                      <a:off x="0" y="0"/>
                      <a:ext cx="5572125" cy="7814310"/>
                    </a:xfrm>
                    <a:prstGeom prst="rect">
                      <a:avLst/>
                    </a:prstGeom>
                  </pic:spPr>
                </pic:pic>
              </a:graphicData>
            </a:graphic>
          </wp:inline>
        </w:drawing>
      </w:r>
    </w:p>
    <w:p w14:paraId="1C3F55A7">
      <w:pPr>
        <w:rPr>
          <w:rFonts w:hint="default"/>
          <w:lang w:val="en-US" w:eastAsia="zh-CN"/>
        </w:rPr>
      </w:pPr>
      <w:r>
        <w:rPr>
          <w:rFonts w:hint="default"/>
          <w:lang w:val="en-US" w:eastAsia="zh-CN"/>
        </w:rPr>
        <w:br w:type="page"/>
      </w:r>
    </w:p>
    <w:p w14:paraId="08773078">
      <w:pPr>
        <w:bidi w:val="0"/>
        <w:jc w:val="center"/>
        <w:rPr>
          <w:rFonts w:hint="default"/>
          <w:lang w:val="en-US" w:eastAsia="zh-CN"/>
        </w:rPr>
      </w:pPr>
      <w:r>
        <w:rPr>
          <w:rFonts w:hint="default"/>
          <w:lang w:val="en-US" w:eastAsia="zh-CN"/>
        </w:rPr>
        <w:drawing>
          <wp:inline distT="0" distB="0" distL="114300" distR="114300">
            <wp:extent cx="5603875" cy="7842250"/>
            <wp:effectExtent l="0" t="0" r="15875" b="6350"/>
            <wp:docPr id="90" name="图片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
                    <pic:cNvPicPr>
                      <a:picLocks noChangeAspect="1"/>
                    </pic:cNvPicPr>
                  </pic:nvPicPr>
                  <pic:blipFill>
                    <a:blip r:embed="rId53"/>
                    <a:srcRect/>
                    <a:stretch>
                      <a:fillRect/>
                    </a:stretch>
                  </pic:blipFill>
                  <pic:spPr>
                    <a:xfrm>
                      <a:off x="0" y="0"/>
                      <a:ext cx="5603875" cy="7842250"/>
                    </a:xfrm>
                    <a:prstGeom prst="rect">
                      <a:avLst/>
                    </a:prstGeom>
                  </pic:spPr>
                </pic:pic>
              </a:graphicData>
            </a:graphic>
          </wp:inline>
        </w:drawing>
      </w:r>
    </w:p>
    <w:p w14:paraId="7D19871C">
      <w:pPr>
        <w:rPr>
          <w:rFonts w:hint="default"/>
          <w:lang w:val="en-US" w:eastAsia="zh-CN"/>
        </w:rPr>
      </w:pPr>
      <w:r>
        <w:rPr>
          <w:rFonts w:hint="default"/>
          <w:lang w:val="en-US" w:eastAsia="zh-CN"/>
        </w:rPr>
        <w:br w:type="page"/>
      </w:r>
    </w:p>
    <w:p w14:paraId="5D81087E">
      <w:pPr>
        <w:bidi w:val="0"/>
        <w:jc w:val="center"/>
        <w:rPr>
          <w:rFonts w:hint="default"/>
          <w:lang w:val="en-US" w:eastAsia="zh-CN"/>
        </w:rPr>
      </w:pPr>
      <w:r>
        <w:rPr>
          <w:rFonts w:hint="default"/>
          <w:lang w:val="en-US" w:eastAsia="zh-CN"/>
        </w:rPr>
        <w:drawing>
          <wp:inline distT="0" distB="0" distL="114300" distR="114300">
            <wp:extent cx="5436870" cy="7935595"/>
            <wp:effectExtent l="0" t="0" r="11430" b="8255"/>
            <wp:docPr id="99" name="图片 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
                    <pic:cNvPicPr>
                      <a:picLocks noChangeAspect="1"/>
                    </pic:cNvPicPr>
                  </pic:nvPicPr>
                  <pic:blipFill>
                    <a:blip r:embed="rId54"/>
                    <a:srcRect/>
                    <a:stretch>
                      <a:fillRect/>
                    </a:stretch>
                  </pic:blipFill>
                  <pic:spPr>
                    <a:xfrm>
                      <a:off x="0" y="0"/>
                      <a:ext cx="5436870" cy="7935595"/>
                    </a:xfrm>
                    <a:prstGeom prst="rect">
                      <a:avLst/>
                    </a:prstGeom>
                  </pic:spPr>
                </pic:pic>
              </a:graphicData>
            </a:graphic>
          </wp:inline>
        </w:drawing>
      </w:r>
    </w:p>
    <w:p w14:paraId="0A121611">
      <w:pPr>
        <w:rPr>
          <w:rFonts w:hint="default"/>
          <w:lang w:val="en-US" w:eastAsia="zh-CN"/>
        </w:rPr>
      </w:pPr>
      <w:r>
        <w:rPr>
          <w:rFonts w:hint="default"/>
          <w:lang w:val="en-US" w:eastAsia="zh-CN"/>
        </w:rPr>
        <w:br w:type="page"/>
      </w:r>
    </w:p>
    <w:p w14:paraId="23741D8D">
      <w:pPr>
        <w:bidi w:val="0"/>
        <w:jc w:val="center"/>
        <w:rPr>
          <w:rFonts w:hint="default"/>
          <w:lang w:val="en-US" w:eastAsia="zh-CN"/>
        </w:rPr>
      </w:pPr>
      <w:r>
        <w:rPr>
          <w:rFonts w:hint="default"/>
          <w:lang w:val="en-US" w:eastAsia="zh-CN"/>
        </w:rPr>
        <w:drawing>
          <wp:inline distT="0" distB="0" distL="114300" distR="114300">
            <wp:extent cx="5466715" cy="7858125"/>
            <wp:effectExtent l="0" t="0" r="635" b="9525"/>
            <wp:docPr id="103" name="图片 1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
                    <pic:cNvPicPr>
                      <a:picLocks noChangeAspect="1"/>
                    </pic:cNvPicPr>
                  </pic:nvPicPr>
                  <pic:blipFill>
                    <a:blip r:embed="rId55"/>
                    <a:srcRect/>
                    <a:stretch>
                      <a:fillRect/>
                    </a:stretch>
                  </pic:blipFill>
                  <pic:spPr>
                    <a:xfrm>
                      <a:off x="0" y="0"/>
                      <a:ext cx="5466715" cy="7858125"/>
                    </a:xfrm>
                    <a:prstGeom prst="rect">
                      <a:avLst/>
                    </a:prstGeom>
                  </pic:spPr>
                </pic:pic>
              </a:graphicData>
            </a:graphic>
          </wp:inline>
        </w:drawing>
      </w:r>
    </w:p>
    <w:p w14:paraId="18EBD4C3">
      <w:pPr>
        <w:pStyle w:val="23"/>
        <w:jc w:val="center"/>
        <w:rPr>
          <w:rFonts w:hint="default"/>
          <w:lang w:val="en-US" w:eastAsia="zh-CN"/>
        </w:rPr>
      </w:pPr>
    </w:p>
    <w:p w14:paraId="035CBAD5">
      <w:pPr>
        <w:rPr>
          <w:rFonts w:hint="default"/>
          <w:lang w:val="en-US" w:eastAsia="zh-CN"/>
        </w:rPr>
      </w:pPr>
      <w:r>
        <w:rPr>
          <w:rFonts w:hint="default"/>
          <w:lang w:val="en-US" w:eastAsia="zh-CN"/>
        </w:rPr>
        <w:br w:type="page"/>
      </w:r>
    </w:p>
    <w:p w14:paraId="534CBA06">
      <w:pPr>
        <w:bidi w:val="0"/>
        <w:jc w:val="center"/>
        <w:rPr>
          <w:rFonts w:hint="default"/>
          <w:lang w:val="en-US" w:eastAsia="zh-CN"/>
        </w:rPr>
      </w:pPr>
      <w:r>
        <w:rPr>
          <w:rFonts w:hint="default"/>
          <w:lang w:val="en-US" w:eastAsia="zh-CN"/>
        </w:rPr>
        <w:drawing>
          <wp:inline distT="0" distB="0" distL="114300" distR="114300">
            <wp:extent cx="5562600" cy="7725410"/>
            <wp:effectExtent l="0" t="0" r="0" b="8890"/>
            <wp:docPr id="105" name="图片 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
                    <pic:cNvPicPr>
                      <a:picLocks noChangeAspect="1"/>
                    </pic:cNvPicPr>
                  </pic:nvPicPr>
                  <pic:blipFill>
                    <a:blip r:embed="rId56"/>
                    <a:stretch>
                      <a:fillRect/>
                    </a:stretch>
                  </pic:blipFill>
                  <pic:spPr>
                    <a:xfrm>
                      <a:off x="0" y="0"/>
                      <a:ext cx="5562600" cy="7725410"/>
                    </a:xfrm>
                    <a:prstGeom prst="rect">
                      <a:avLst/>
                    </a:prstGeom>
                  </pic:spPr>
                </pic:pic>
              </a:graphicData>
            </a:graphic>
          </wp:inline>
        </w:drawing>
      </w:r>
    </w:p>
    <w:p w14:paraId="270F2962">
      <w:pPr>
        <w:rPr>
          <w:rFonts w:hint="default"/>
          <w:lang w:val="en-US" w:eastAsia="zh-CN"/>
        </w:rPr>
      </w:pPr>
      <w:r>
        <w:rPr>
          <w:rFonts w:hint="default"/>
          <w:lang w:val="en-US" w:eastAsia="zh-CN"/>
        </w:rPr>
        <w:br w:type="page"/>
      </w:r>
    </w:p>
    <w:p w14:paraId="67BA3C56">
      <w:pPr>
        <w:bidi w:val="0"/>
        <w:jc w:val="center"/>
        <w:rPr>
          <w:rFonts w:hint="default"/>
          <w:lang w:val="en-US" w:eastAsia="zh-CN"/>
        </w:rPr>
      </w:pPr>
      <w:r>
        <w:rPr>
          <w:rFonts w:hint="default"/>
          <w:lang w:val="en-US" w:eastAsia="zh-CN"/>
        </w:rPr>
        <w:drawing>
          <wp:inline distT="0" distB="0" distL="114300" distR="114300">
            <wp:extent cx="5553075" cy="8067675"/>
            <wp:effectExtent l="0" t="0" r="9525" b="9525"/>
            <wp:docPr id="122" name="图片 12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0"/>
                    <pic:cNvPicPr>
                      <a:picLocks noChangeAspect="1"/>
                    </pic:cNvPicPr>
                  </pic:nvPicPr>
                  <pic:blipFill>
                    <a:blip r:embed="rId57"/>
                    <a:stretch>
                      <a:fillRect/>
                    </a:stretch>
                  </pic:blipFill>
                  <pic:spPr>
                    <a:xfrm>
                      <a:off x="0" y="0"/>
                      <a:ext cx="5553075" cy="8067675"/>
                    </a:xfrm>
                    <a:prstGeom prst="rect">
                      <a:avLst/>
                    </a:prstGeom>
                  </pic:spPr>
                </pic:pic>
              </a:graphicData>
            </a:graphic>
          </wp:inline>
        </w:drawing>
      </w:r>
    </w:p>
    <w:p w14:paraId="1D2FD290">
      <w:pPr>
        <w:rPr>
          <w:rFonts w:hint="default"/>
          <w:lang w:val="en-US" w:eastAsia="zh-CN"/>
        </w:rPr>
      </w:pPr>
      <w:r>
        <w:rPr>
          <w:rFonts w:hint="default"/>
          <w:lang w:val="en-US" w:eastAsia="zh-CN"/>
        </w:rPr>
        <w:br w:type="page"/>
      </w:r>
    </w:p>
    <w:p w14:paraId="2BCC7A10">
      <w:pPr>
        <w:bidi w:val="0"/>
        <w:jc w:val="center"/>
        <w:rPr>
          <w:rFonts w:hint="default"/>
          <w:lang w:val="en-US" w:eastAsia="zh-CN"/>
        </w:rPr>
      </w:pPr>
      <w:r>
        <w:rPr>
          <w:rFonts w:hint="default"/>
          <w:lang w:val="en-US" w:eastAsia="zh-CN"/>
        </w:rPr>
        <w:drawing>
          <wp:inline distT="0" distB="0" distL="114300" distR="114300">
            <wp:extent cx="5462270" cy="7915275"/>
            <wp:effectExtent l="0" t="0" r="5080" b="9525"/>
            <wp:docPr id="106" name="图片 1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
                    <pic:cNvPicPr>
                      <a:picLocks noChangeAspect="1"/>
                    </pic:cNvPicPr>
                  </pic:nvPicPr>
                  <pic:blipFill>
                    <a:blip r:embed="rId58"/>
                    <a:stretch>
                      <a:fillRect/>
                    </a:stretch>
                  </pic:blipFill>
                  <pic:spPr>
                    <a:xfrm>
                      <a:off x="0" y="0"/>
                      <a:ext cx="5462270" cy="7915275"/>
                    </a:xfrm>
                    <a:prstGeom prst="rect">
                      <a:avLst/>
                    </a:prstGeom>
                  </pic:spPr>
                </pic:pic>
              </a:graphicData>
            </a:graphic>
          </wp:inline>
        </w:drawing>
      </w:r>
    </w:p>
    <w:p w14:paraId="07B9A496">
      <w:pPr>
        <w:rPr>
          <w:rFonts w:hint="default"/>
          <w:lang w:val="en-US" w:eastAsia="zh-CN"/>
        </w:rPr>
      </w:pPr>
      <w:r>
        <w:rPr>
          <w:rFonts w:hint="default"/>
          <w:lang w:val="en-US" w:eastAsia="zh-CN"/>
        </w:rPr>
        <w:br w:type="page"/>
      </w:r>
    </w:p>
    <w:p w14:paraId="5C7DC559">
      <w:pPr>
        <w:bidi w:val="0"/>
        <w:jc w:val="center"/>
        <w:rPr>
          <w:rFonts w:hint="default"/>
          <w:lang w:val="en-US" w:eastAsia="zh-CN"/>
        </w:rPr>
      </w:pPr>
      <w:r>
        <w:rPr>
          <w:rFonts w:hint="default"/>
          <w:lang w:val="en-US" w:eastAsia="zh-CN"/>
        </w:rPr>
        <w:drawing>
          <wp:inline distT="0" distB="0" distL="114300" distR="114300">
            <wp:extent cx="5447665" cy="7834630"/>
            <wp:effectExtent l="0" t="0" r="635" b="13970"/>
            <wp:docPr id="107" name="图片 1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3"/>
                    <pic:cNvPicPr>
                      <a:picLocks noChangeAspect="1"/>
                    </pic:cNvPicPr>
                  </pic:nvPicPr>
                  <pic:blipFill>
                    <a:blip r:embed="rId59"/>
                    <a:stretch>
                      <a:fillRect/>
                    </a:stretch>
                  </pic:blipFill>
                  <pic:spPr>
                    <a:xfrm>
                      <a:off x="0" y="0"/>
                      <a:ext cx="5447665" cy="7834630"/>
                    </a:xfrm>
                    <a:prstGeom prst="rect">
                      <a:avLst/>
                    </a:prstGeom>
                  </pic:spPr>
                </pic:pic>
              </a:graphicData>
            </a:graphic>
          </wp:inline>
        </w:drawing>
      </w:r>
    </w:p>
    <w:p w14:paraId="14E013E8">
      <w:pPr>
        <w:rPr>
          <w:rFonts w:hint="default"/>
          <w:lang w:val="en-US" w:eastAsia="zh-CN"/>
        </w:rPr>
      </w:pPr>
      <w:r>
        <w:rPr>
          <w:rFonts w:hint="default"/>
          <w:lang w:val="en-US" w:eastAsia="zh-CN"/>
        </w:rPr>
        <w:br w:type="page"/>
      </w:r>
    </w:p>
    <w:p w14:paraId="59125915">
      <w:pPr>
        <w:bidi w:val="0"/>
        <w:jc w:val="center"/>
        <w:rPr>
          <w:rFonts w:hint="default"/>
          <w:lang w:val="en-US" w:eastAsia="zh-CN"/>
        </w:rPr>
      </w:pPr>
      <w:r>
        <w:rPr>
          <w:rFonts w:hint="default"/>
          <w:lang w:val="en-US" w:eastAsia="zh-CN"/>
        </w:rPr>
        <w:drawing>
          <wp:inline distT="0" distB="0" distL="114300" distR="114300">
            <wp:extent cx="5609590" cy="7710805"/>
            <wp:effectExtent l="0" t="0" r="10160" b="4445"/>
            <wp:docPr id="108" name="图片 1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4"/>
                    <pic:cNvPicPr>
                      <a:picLocks noChangeAspect="1"/>
                    </pic:cNvPicPr>
                  </pic:nvPicPr>
                  <pic:blipFill>
                    <a:blip r:embed="rId60"/>
                    <a:stretch>
                      <a:fillRect/>
                    </a:stretch>
                  </pic:blipFill>
                  <pic:spPr>
                    <a:xfrm>
                      <a:off x="0" y="0"/>
                      <a:ext cx="5609590" cy="7710805"/>
                    </a:xfrm>
                    <a:prstGeom prst="rect">
                      <a:avLst/>
                    </a:prstGeom>
                  </pic:spPr>
                </pic:pic>
              </a:graphicData>
            </a:graphic>
          </wp:inline>
        </w:drawing>
      </w:r>
    </w:p>
    <w:p w14:paraId="17436697">
      <w:pPr>
        <w:rPr>
          <w:rFonts w:hint="default"/>
          <w:lang w:val="en-US" w:eastAsia="zh-CN"/>
        </w:rPr>
      </w:pPr>
      <w:r>
        <w:rPr>
          <w:rFonts w:hint="default"/>
          <w:lang w:val="en-US" w:eastAsia="zh-CN"/>
        </w:rPr>
        <w:br w:type="page"/>
      </w:r>
    </w:p>
    <w:p w14:paraId="6F1396CE">
      <w:pPr>
        <w:bidi w:val="0"/>
        <w:jc w:val="center"/>
        <w:rPr>
          <w:rFonts w:hint="default"/>
          <w:lang w:val="en-US" w:eastAsia="zh-CN"/>
        </w:rPr>
      </w:pPr>
      <w:r>
        <w:rPr>
          <w:rFonts w:hint="default"/>
          <w:lang w:val="en-US" w:eastAsia="zh-CN"/>
        </w:rPr>
        <w:drawing>
          <wp:inline distT="0" distB="0" distL="114300" distR="114300">
            <wp:extent cx="7596505" cy="5271770"/>
            <wp:effectExtent l="0" t="0" r="5080" b="4445"/>
            <wp:docPr id="146" name="图片 146" descr="6页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6页页"/>
                    <pic:cNvPicPr>
                      <a:picLocks noChangeAspect="1"/>
                    </pic:cNvPicPr>
                  </pic:nvPicPr>
                  <pic:blipFill>
                    <a:blip r:embed="rId61"/>
                    <a:stretch>
                      <a:fillRect/>
                    </a:stretch>
                  </pic:blipFill>
                  <pic:spPr>
                    <a:xfrm rot="16200000">
                      <a:off x="0" y="0"/>
                      <a:ext cx="7596505" cy="5271770"/>
                    </a:xfrm>
                    <a:prstGeom prst="rect">
                      <a:avLst/>
                    </a:prstGeom>
                  </pic:spPr>
                </pic:pic>
              </a:graphicData>
            </a:graphic>
          </wp:inline>
        </w:drawing>
      </w:r>
    </w:p>
    <w:p w14:paraId="408AFECE">
      <w:pPr>
        <w:rPr>
          <w:rFonts w:hint="default"/>
          <w:lang w:val="en-US" w:eastAsia="zh-CN"/>
        </w:rPr>
      </w:pPr>
      <w:r>
        <w:rPr>
          <w:rFonts w:hint="default"/>
          <w:lang w:val="en-US" w:eastAsia="zh-CN"/>
        </w:rPr>
        <w:br w:type="page"/>
      </w:r>
    </w:p>
    <w:p w14:paraId="288351DB">
      <w:pPr>
        <w:bidi w:val="0"/>
        <w:jc w:val="center"/>
        <w:rPr>
          <w:rFonts w:hint="default"/>
          <w:lang w:val="en-US" w:eastAsia="zh-CN"/>
        </w:rPr>
      </w:pPr>
      <w:r>
        <w:rPr>
          <w:rFonts w:hint="default"/>
          <w:lang w:val="en-US" w:eastAsia="zh-CN"/>
        </w:rPr>
        <w:drawing>
          <wp:inline distT="0" distB="0" distL="114300" distR="114300">
            <wp:extent cx="5457190" cy="7639050"/>
            <wp:effectExtent l="0" t="0" r="10160" b="0"/>
            <wp:docPr id="125" name="图片 1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7"/>
                    <pic:cNvPicPr>
                      <a:picLocks noChangeAspect="1"/>
                    </pic:cNvPicPr>
                  </pic:nvPicPr>
                  <pic:blipFill>
                    <a:blip r:embed="rId62"/>
                    <a:stretch>
                      <a:fillRect/>
                    </a:stretch>
                  </pic:blipFill>
                  <pic:spPr>
                    <a:xfrm>
                      <a:off x="0" y="0"/>
                      <a:ext cx="5457190" cy="7639050"/>
                    </a:xfrm>
                    <a:prstGeom prst="rect">
                      <a:avLst/>
                    </a:prstGeom>
                  </pic:spPr>
                </pic:pic>
              </a:graphicData>
            </a:graphic>
          </wp:inline>
        </w:drawing>
      </w:r>
    </w:p>
    <w:p w14:paraId="16379823">
      <w:pPr>
        <w:rPr>
          <w:rFonts w:hint="default"/>
          <w:lang w:val="en-US" w:eastAsia="zh-CN"/>
        </w:rPr>
      </w:pPr>
      <w:r>
        <w:rPr>
          <w:rFonts w:hint="default"/>
          <w:lang w:val="en-US" w:eastAsia="zh-CN"/>
        </w:rPr>
        <w:br w:type="page"/>
      </w:r>
    </w:p>
    <w:p w14:paraId="28A4CFFD">
      <w:pPr>
        <w:bidi w:val="0"/>
        <w:jc w:val="center"/>
        <w:rPr>
          <w:rFonts w:hint="default"/>
          <w:lang w:val="en-US" w:eastAsia="zh-CN"/>
        </w:rPr>
      </w:pPr>
      <w:r>
        <w:rPr>
          <w:rFonts w:hint="default"/>
          <w:lang w:val="en-US" w:eastAsia="zh-CN"/>
        </w:rPr>
        <w:drawing>
          <wp:inline distT="0" distB="0" distL="114300" distR="114300">
            <wp:extent cx="5476240" cy="8168005"/>
            <wp:effectExtent l="0" t="0" r="10160" b="4445"/>
            <wp:docPr id="111" name="图片 11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
                    <pic:cNvPicPr>
                      <a:picLocks noChangeAspect="1"/>
                    </pic:cNvPicPr>
                  </pic:nvPicPr>
                  <pic:blipFill>
                    <a:blip r:embed="rId63"/>
                    <a:stretch>
                      <a:fillRect/>
                    </a:stretch>
                  </pic:blipFill>
                  <pic:spPr>
                    <a:xfrm>
                      <a:off x="0" y="0"/>
                      <a:ext cx="5476240" cy="8168005"/>
                    </a:xfrm>
                    <a:prstGeom prst="rect">
                      <a:avLst/>
                    </a:prstGeom>
                  </pic:spPr>
                </pic:pic>
              </a:graphicData>
            </a:graphic>
          </wp:inline>
        </w:drawing>
      </w:r>
    </w:p>
    <w:p w14:paraId="78B1C27B">
      <w:pPr>
        <w:rPr>
          <w:rFonts w:hint="default"/>
          <w:lang w:val="en-US" w:eastAsia="zh-CN"/>
        </w:rPr>
      </w:pPr>
      <w:r>
        <w:rPr>
          <w:rFonts w:hint="default"/>
          <w:lang w:val="en-US" w:eastAsia="zh-CN"/>
        </w:rPr>
        <w:br w:type="page"/>
      </w:r>
    </w:p>
    <w:p w14:paraId="0E7B85E1">
      <w:pPr>
        <w:bidi w:val="0"/>
        <w:jc w:val="center"/>
        <w:rPr>
          <w:rFonts w:hint="default"/>
          <w:lang w:val="en-US" w:eastAsia="zh-CN"/>
        </w:rPr>
      </w:pPr>
      <w:r>
        <w:rPr>
          <w:rFonts w:hint="default"/>
          <w:lang w:val="en-US" w:eastAsia="zh-CN"/>
        </w:rPr>
        <w:drawing>
          <wp:inline distT="0" distB="0" distL="114300" distR="114300">
            <wp:extent cx="5438775" cy="7657465"/>
            <wp:effectExtent l="0" t="0" r="9525" b="635"/>
            <wp:docPr id="127" name="图片 12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8"/>
                    <pic:cNvPicPr>
                      <a:picLocks noChangeAspect="1"/>
                    </pic:cNvPicPr>
                  </pic:nvPicPr>
                  <pic:blipFill>
                    <a:blip r:embed="rId64"/>
                    <a:stretch>
                      <a:fillRect/>
                    </a:stretch>
                  </pic:blipFill>
                  <pic:spPr>
                    <a:xfrm>
                      <a:off x="0" y="0"/>
                      <a:ext cx="5438775" cy="7657465"/>
                    </a:xfrm>
                    <a:prstGeom prst="rect">
                      <a:avLst/>
                    </a:prstGeom>
                  </pic:spPr>
                </pic:pic>
              </a:graphicData>
            </a:graphic>
          </wp:inline>
        </w:drawing>
      </w:r>
    </w:p>
    <w:p w14:paraId="3B5EBFAD">
      <w:pPr>
        <w:rPr>
          <w:rFonts w:hint="default"/>
          <w:lang w:val="en-US" w:eastAsia="zh-CN"/>
        </w:rPr>
      </w:pPr>
      <w:r>
        <w:rPr>
          <w:rFonts w:hint="default"/>
          <w:lang w:val="en-US" w:eastAsia="zh-CN"/>
        </w:rPr>
        <w:br w:type="page"/>
      </w:r>
    </w:p>
    <w:p w14:paraId="2C78B4AC">
      <w:pPr>
        <w:bidi w:val="0"/>
        <w:jc w:val="center"/>
        <w:rPr>
          <w:rFonts w:hint="default"/>
          <w:lang w:val="en-US" w:eastAsia="zh-CN"/>
        </w:rPr>
      </w:pPr>
      <w:r>
        <w:rPr>
          <w:rFonts w:hint="default"/>
          <w:lang w:val="en-US" w:eastAsia="zh-CN"/>
        </w:rPr>
        <w:drawing>
          <wp:inline distT="0" distB="0" distL="114300" distR="114300">
            <wp:extent cx="5438775" cy="7672705"/>
            <wp:effectExtent l="0" t="0" r="9525" b="4445"/>
            <wp:docPr id="112" name="图片 11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9"/>
                    <pic:cNvPicPr>
                      <a:picLocks noChangeAspect="1"/>
                    </pic:cNvPicPr>
                  </pic:nvPicPr>
                  <pic:blipFill>
                    <a:blip r:embed="rId65"/>
                    <a:stretch>
                      <a:fillRect/>
                    </a:stretch>
                  </pic:blipFill>
                  <pic:spPr>
                    <a:xfrm>
                      <a:off x="0" y="0"/>
                      <a:ext cx="5438775" cy="7672705"/>
                    </a:xfrm>
                    <a:prstGeom prst="rect">
                      <a:avLst/>
                    </a:prstGeom>
                  </pic:spPr>
                </pic:pic>
              </a:graphicData>
            </a:graphic>
          </wp:inline>
        </w:drawing>
      </w:r>
    </w:p>
    <w:p w14:paraId="46A59BFB">
      <w:pPr>
        <w:rPr>
          <w:rFonts w:hint="default"/>
          <w:lang w:val="en-US" w:eastAsia="zh-CN"/>
        </w:rPr>
      </w:pPr>
      <w:r>
        <w:rPr>
          <w:rFonts w:hint="default"/>
          <w:lang w:val="en-US" w:eastAsia="zh-CN"/>
        </w:rPr>
        <w:br w:type="page"/>
      </w:r>
    </w:p>
    <w:p w14:paraId="7F95020F">
      <w:pPr>
        <w:bidi w:val="0"/>
        <w:jc w:val="center"/>
        <w:rPr>
          <w:rFonts w:hint="default"/>
          <w:lang w:val="en-US" w:eastAsia="zh-CN"/>
        </w:rPr>
      </w:pPr>
      <w:r>
        <w:rPr>
          <w:rFonts w:hint="default"/>
          <w:lang w:val="en-US" w:eastAsia="zh-CN"/>
        </w:rPr>
        <w:drawing>
          <wp:inline distT="0" distB="0" distL="114300" distR="114300">
            <wp:extent cx="5566410" cy="7629525"/>
            <wp:effectExtent l="0" t="0" r="15240" b="9525"/>
            <wp:docPr id="113" name="图片 11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1"/>
                    <pic:cNvPicPr>
                      <a:picLocks noChangeAspect="1"/>
                    </pic:cNvPicPr>
                  </pic:nvPicPr>
                  <pic:blipFill>
                    <a:blip r:embed="rId66"/>
                    <a:stretch>
                      <a:fillRect/>
                    </a:stretch>
                  </pic:blipFill>
                  <pic:spPr>
                    <a:xfrm>
                      <a:off x="0" y="0"/>
                      <a:ext cx="5566410" cy="7629525"/>
                    </a:xfrm>
                    <a:prstGeom prst="rect">
                      <a:avLst/>
                    </a:prstGeom>
                  </pic:spPr>
                </pic:pic>
              </a:graphicData>
            </a:graphic>
          </wp:inline>
        </w:drawing>
      </w:r>
    </w:p>
    <w:p w14:paraId="5137399D">
      <w:pPr>
        <w:rPr>
          <w:rFonts w:hint="default"/>
          <w:lang w:val="en-US" w:eastAsia="zh-CN"/>
        </w:rPr>
      </w:pPr>
      <w:r>
        <w:rPr>
          <w:rFonts w:hint="default"/>
          <w:lang w:val="en-US" w:eastAsia="zh-CN"/>
        </w:rPr>
        <w:br w:type="page"/>
      </w:r>
    </w:p>
    <w:p w14:paraId="3DE85472">
      <w:pPr>
        <w:bidi w:val="0"/>
        <w:jc w:val="center"/>
        <w:rPr>
          <w:rFonts w:hint="default"/>
          <w:lang w:val="en-US" w:eastAsia="zh-CN"/>
        </w:rPr>
      </w:pPr>
      <w:r>
        <w:rPr>
          <w:rFonts w:hint="default"/>
          <w:lang w:val="en-US" w:eastAsia="zh-CN"/>
        </w:rPr>
        <w:drawing>
          <wp:inline distT="0" distB="0" distL="114300" distR="114300">
            <wp:extent cx="5737860" cy="7772400"/>
            <wp:effectExtent l="0" t="0" r="15240" b="0"/>
            <wp:docPr id="128" name="图片 12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2"/>
                    <pic:cNvPicPr>
                      <a:picLocks noChangeAspect="1"/>
                    </pic:cNvPicPr>
                  </pic:nvPicPr>
                  <pic:blipFill>
                    <a:blip r:embed="rId67"/>
                    <a:stretch>
                      <a:fillRect/>
                    </a:stretch>
                  </pic:blipFill>
                  <pic:spPr>
                    <a:xfrm>
                      <a:off x="0" y="0"/>
                      <a:ext cx="5737860" cy="7772400"/>
                    </a:xfrm>
                    <a:prstGeom prst="rect">
                      <a:avLst/>
                    </a:prstGeom>
                  </pic:spPr>
                </pic:pic>
              </a:graphicData>
            </a:graphic>
          </wp:inline>
        </w:drawing>
      </w:r>
    </w:p>
    <w:p w14:paraId="65F30DCC">
      <w:pPr>
        <w:rPr>
          <w:rFonts w:hint="default"/>
          <w:lang w:val="en-US" w:eastAsia="zh-CN"/>
        </w:rPr>
      </w:pPr>
      <w:r>
        <w:rPr>
          <w:rFonts w:hint="default"/>
          <w:lang w:val="en-US" w:eastAsia="zh-CN"/>
        </w:rPr>
        <w:br w:type="page"/>
      </w:r>
    </w:p>
    <w:p w14:paraId="30410454">
      <w:pPr>
        <w:bidi w:val="0"/>
        <w:jc w:val="center"/>
        <w:rPr>
          <w:rFonts w:hint="default"/>
          <w:lang w:val="en-US" w:eastAsia="zh-CN"/>
        </w:rPr>
      </w:pPr>
      <w:r>
        <w:rPr>
          <w:rFonts w:hint="default"/>
          <w:lang w:val="en-US" w:eastAsia="zh-CN"/>
        </w:rPr>
        <w:drawing>
          <wp:inline distT="0" distB="0" distL="114300" distR="114300">
            <wp:extent cx="5624830" cy="7676515"/>
            <wp:effectExtent l="0" t="0" r="13970" b="635"/>
            <wp:docPr id="114" name="图片 1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2"/>
                    <pic:cNvPicPr>
                      <a:picLocks noChangeAspect="1"/>
                    </pic:cNvPicPr>
                  </pic:nvPicPr>
                  <pic:blipFill>
                    <a:blip r:embed="rId68"/>
                    <a:stretch>
                      <a:fillRect/>
                    </a:stretch>
                  </pic:blipFill>
                  <pic:spPr>
                    <a:xfrm>
                      <a:off x="0" y="0"/>
                      <a:ext cx="5624830" cy="7676515"/>
                    </a:xfrm>
                    <a:prstGeom prst="rect">
                      <a:avLst/>
                    </a:prstGeom>
                  </pic:spPr>
                </pic:pic>
              </a:graphicData>
            </a:graphic>
          </wp:inline>
        </w:drawing>
      </w:r>
    </w:p>
    <w:p w14:paraId="16F73E07">
      <w:pPr>
        <w:rPr>
          <w:rFonts w:hint="default"/>
          <w:lang w:val="en-US" w:eastAsia="zh-CN"/>
        </w:rPr>
      </w:pPr>
      <w:r>
        <w:rPr>
          <w:rFonts w:hint="default"/>
          <w:lang w:val="en-US" w:eastAsia="zh-CN"/>
        </w:rPr>
        <w:br w:type="page"/>
      </w:r>
    </w:p>
    <w:p w14:paraId="3E7DB1A7">
      <w:pPr>
        <w:bidi w:val="0"/>
        <w:jc w:val="center"/>
        <w:rPr>
          <w:rFonts w:hint="default"/>
          <w:lang w:val="en-US" w:eastAsia="zh-CN"/>
        </w:rPr>
      </w:pPr>
      <w:r>
        <w:rPr>
          <w:rFonts w:hint="default"/>
          <w:lang w:val="en-US" w:eastAsia="zh-CN"/>
        </w:rPr>
        <w:drawing>
          <wp:inline distT="0" distB="0" distL="114300" distR="114300">
            <wp:extent cx="5443220" cy="7810500"/>
            <wp:effectExtent l="0" t="0" r="5080" b="0"/>
            <wp:docPr id="115" name="图片 11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3"/>
                    <pic:cNvPicPr>
                      <a:picLocks noChangeAspect="1"/>
                    </pic:cNvPicPr>
                  </pic:nvPicPr>
                  <pic:blipFill>
                    <a:blip r:embed="rId69"/>
                    <a:stretch>
                      <a:fillRect/>
                    </a:stretch>
                  </pic:blipFill>
                  <pic:spPr>
                    <a:xfrm>
                      <a:off x="0" y="0"/>
                      <a:ext cx="5443220" cy="7810500"/>
                    </a:xfrm>
                    <a:prstGeom prst="rect">
                      <a:avLst/>
                    </a:prstGeom>
                  </pic:spPr>
                </pic:pic>
              </a:graphicData>
            </a:graphic>
          </wp:inline>
        </w:drawing>
      </w:r>
    </w:p>
    <w:p w14:paraId="210CFD7C">
      <w:pPr>
        <w:rPr>
          <w:rFonts w:hint="default"/>
          <w:lang w:val="en-US" w:eastAsia="zh-CN"/>
        </w:rPr>
      </w:pPr>
      <w:r>
        <w:rPr>
          <w:rFonts w:hint="default"/>
          <w:lang w:val="en-US" w:eastAsia="zh-CN"/>
        </w:rPr>
        <w:br w:type="page"/>
      </w:r>
    </w:p>
    <w:p w14:paraId="6B42596C">
      <w:pPr>
        <w:bidi w:val="0"/>
        <w:jc w:val="center"/>
        <w:rPr>
          <w:rFonts w:hint="default"/>
          <w:lang w:val="en-US" w:eastAsia="zh-CN"/>
        </w:rPr>
      </w:pPr>
      <w:r>
        <w:rPr>
          <w:rFonts w:hint="default"/>
          <w:lang w:val="en-US" w:eastAsia="zh-CN"/>
        </w:rPr>
        <w:drawing>
          <wp:inline distT="0" distB="0" distL="114300" distR="114300">
            <wp:extent cx="5570855" cy="7852410"/>
            <wp:effectExtent l="0" t="0" r="10795" b="15240"/>
            <wp:docPr id="116" name="图片 11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4"/>
                    <pic:cNvPicPr>
                      <a:picLocks noChangeAspect="1"/>
                    </pic:cNvPicPr>
                  </pic:nvPicPr>
                  <pic:blipFill>
                    <a:blip r:embed="rId70"/>
                    <a:stretch>
                      <a:fillRect/>
                    </a:stretch>
                  </pic:blipFill>
                  <pic:spPr>
                    <a:xfrm>
                      <a:off x="0" y="0"/>
                      <a:ext cx="5570855" cy="7852410"/>
                    </a:xfrm>
                    <a:prstGeom prst="rect">
                      <a:avLst/>
                    </a:prstGeom>
                  </pic:spPr>
                </pic:pic>
              </a:graphicData>
            </a:graphic>
          </wp:inline>
        </w:drawing>
      </w:r>
    </w:p>
    <w:p w14:paraId="7329178C">
      <w:pPr>
        <w:rPr>
          <w:rFonts w:hint="default"/>
          <w:lang w:val="en-US" w:eastAsia="zh-CN"/>
        </w:rPr>
      </w:pPr>
      <w:r>
        <w:rPr>
          <w:rFonts w:hint="default"/>
          <w:lang w:val="en-US" w:eastAsia="zh-CN"/>
        </w:rPr>
        <w:br w:type="page"/>
      </w:r>
    </w:p>
    <w:p w14:paraId="53DF1E0A">
      <w:pPr>
        <w:bidi w:val="0"/>
        <w:jc w:val="center"/>
        <w:rPr>
          <w:rFonts w:hint="default"/>
          <w:lang w:val="en-US" w:eastAsia="zh-CN"/>
        </w:rPr>
      </w:pPr>
      <w:r>
        <w:rPr>
          <w:rFonts w:hint="default"/>
          <w:lang w:val="en-US" w:eastAsia="zh-CN"/>
        </w:rPr>
        <w:drawing>
          <wp:inline distT="0" distB="0" distL="114300" distR="114300">
            <wp:extent cx="5556885" cy="7943850"/>
            <wp:effectExtent l="0" t="0" r="5715" b="0"/>
            <wp:docPr id="129" name="图片 12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16"/>
                    <pic:cNvPicPr>
                      <a:picLocks noChangeAspect="1"/>
                    </pic:cNvPicPr>
                  </pic:nvPicPr>
                  <pic:blipFill>
                    <a:blip r:embed="rId71"/>
                    <a:stretch>
                      <a:fillRect/>
                    </a:stretch>
                  </pic:blipFill>
                  <pic:spPr>
                    <a:xfrm>
                      <a:off x="0" y="0"/>
                      <a:ext cx="5556885" cy="7943850"/>
                    </a:xfrm>
                    <a:prstGeom prst="rect">
                      <a:avLst/>
                    </a:prstGeom>
                  </pic:spPr>
                </pic:pic>
              </a:graphicData>
            </a:graphic>
          </wp:inline>
        </w:drawing>
      </w:r>
    </w:p>
    <w:p w14:paraId="1D69DD9C">
      <w:pPr>
        <w:rPr>
          <w:rFonts w:hint="default"/>
          <w:lang w:val="en-US" w:eastAsia="zh-CN"/>
        </w:rPr>
      </w:pPr>
      <w:r>
        <w:rPr>
          <w:rFonts w:hint="default"/>
          <w:lang w:val="en-US" w:eastAsia="zh-CN"/>
        </w:rPr>
        <w:br w:type="page"/>
      </w:r>
    </w:p>
    <w:p w14:paraId="50775A79">
      <w:pPr>
        <w:bidi w:val="0"/>
        <w:jc w:val="center"/>
        <w:rPr>
          <w:rFonts w:hint="default"/>
          <w:lang w:val="en-US" w:eastAsia="zh-CN"/>
        </w:rPr>
      </w:pPr>
      <w:r>
        <w:rPr>
          <w:rFonts w:hint="default"/>
          <w:lang w:val="en-US" w:eastAsia="zh-CN"/>
        </w:rPr>
        <w:drawing>
          <wp:inline distT="0" distB="0" distL="114300" distR="114300">
            <wp:extent cx="5638165" cy="7696835"/>
            <wp:effectExtent l="0" t="0" r="635" b="18415"/>
            <wp:docPr id="118" name="图片 11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16"/>
                    <pic:cNvPicPr>
                      <a:picLocks noChangeAspect="1"/>
                    </pic:cNvPicPr>
                  </pic:nvPicPr>
                  <pic:blipFill>
                    <a:blip r:embed="rId72"/>
                    <a:stretch>
                      <a:fillRect/>
                    </a:stretch>
                  </pic:blipFill>
                  <pic:spPr>
                    <a:xfrm>
                      <a:off x="0" y="0"/>
                      <a:ext cx="5638165" cy="7696835"/>
                    </a:xfrm>
                    <a:prstGeom prst="rect">
                      <a:avLst/>
                    </a:prstGeom>
                  </pic:spPr>
                </pic:pic>
              </a:graphicData>
            </a:graphic>
          </wp:inline>
        </w:drawing>
      </w:r>
    </w:p>
    <w:p w14:paraId="7C3D26F8">
      <w:pPr>
        <w:rPr>
          <w:rFonts w:hint="default"/>
          <w:lang w:val="en-US" w:eastAsia="zh-CN"/>
        </w:rPr>
      </w:pPr>
    </w:p>
    <w:p w14:paraId="3178ED7A">
      <w:pPr>
        <w:rPr>
          <w:rFonts w:hint="default"/>
          <w:lang w:val="en-US" w:eastAsia="zh-CN"/>
        </w:rPr>
      </w:pPr>
      <w:r>
        <w:rPr>
          <w:rFonts w:hint="default"/>
          <w:lang w:val="en-US" w:eastAsia="zh-CN"/>
        </w:rPr>
        <w:br w:type="page"/>
      </w:r>
    </w:p>
    <w:p w14:paraId="0937AEC3">
      <w:pPr>
        <w:bidi w:val="0"/>
        <w:jc w:val="center"/>
        <w:rPr>
          <w:rFonts w:hint="default"/>
          <w:lang w:val="en-US" w:eastAsia="zh-CN"/>
        </w:rPr>
      </w:pPr>
      <w:r>
        <w:rPr>
          <w:rFonts w:hint="default"/>
          <w:lang w:val="en-US" w:eastAsia="zh-CN"/>
        </w:rPr>
        <w:drawing>
          <wp:inline distT="0" distB="0" distL="114300" distR="114300">
            <wp:extent cx="5569585" cy="7833995"/>
            <wp:effectExtent l="0" t="0" r="12065" b="14605"/>
            <wp:docPr id="120" name="图片 120"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8"/>
                    <pic:cNvPicPr>
                      <a:picLocks noChangeAspect="1"/>
                    </pic:cNvPicPr>
                  </pic:nvPicPr>
                  <pic:blipFill>
                    <a:blip r:embed="rId73"/>
                    <a:srcRect/>
                    <a:stretch>
                      <a:fillRect/>
                    </a:stretch>
                  </pic:blipFill>
                  <pic:spPr>
                    <a:xfrm>
                      <a:off x="0" y="0"/>
                      <a:ext cx="5569585" cy="7833995"/>
                    </a:xfrm>
                    <a:prstGeom prst="rect">
                      <a:avLst/>
                    </a:prstGeom>
                  </pic:spPr>
                </pic:pic>
              </a:graphicData>
            </a:graphic>
          </wp:inline>
        </w:drawing>
      </w:r>
    </w:p>
    <w:p w14:paraId="527C9C2D">
      <w:pPr>
        <w:rPr>
          <w:rFonts w:hint="default"/>
          <w:lang w:val="en-US" w:eastAsia="zh-CN"/>
        </w:rPr>
      </w:pPr>
      <w:r>
        <w:rPr>
          <w:rFonts w:hint="default"/>
          <w:lang w:val="en-US" w:eastAsia="zh-CN"/>
        </w:rPr>
        <w:br w:type="page"/>
      </w:r>
    </w:p>
    <w:p w14:paraId="1A8D4A43">
      <w:pPr>
        <w:bidi w:val="0"/>
        <w:jc w:val="center"/>
        <w:rPr>
          <w:rFonts w:hint="default"/>
          <w:lang w:val="en-US" w:eastAsia="zh-CN"/>
        </w:rPr>
      </w:pPr>
      <w:bookmarkStart w:id="253" w:name="_GoBack"/>
      <w:r>
        <w:rPr>
          <w:rFonts w:hint="default"/>
          <w:lang w:val="en-US" w:eastAsia="zh-CN"/>
        </w:rPr>
        <w:drawing>
          <wp:inline distT="0" distB="0" distL="114300" distR="114300">
            <wp:extent cx="5700395" cy="7861935"/>
            <wp:effectExtent l="0" t="0" r="14605" b="5715"/>
            <wp:docPr id="121" name="图片 12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19"/>
                    <pic:cNvPicPr>
                      <a:picLocks noChangeAspect="1"/>
                    </pic:cNvPicPr>
                  </pic:nvPicPr>
                  <pic:blipFill>
                    <a:blip r:embed="rId74"/>
                    <a:stretch>
                      <a:fillRect/>
                    </a:stretch>
                  </pic:blipFill>
                  <pic:spPr>
                    <a:xfrm>
                      <a:off x="0" y="0"/>
                      <a:ext cx="5700395" cy="7861935"/>
                    </a:xfrm>
                    <a:prstGeom prst="rect">
                      <a:avLst/>
                    </a:prstGeom>
                  </pic:spPr>
                </pic:pic>
              </a:graphicData>
            </a:graphic>
          </wp:inline>
        </w:drawing>
      </w:r>
      <w:bookmarkEnd w:id="253"/>
    </w:p>
    <w:p w14:paraId="7EA8E38A">
      <w:pPr>
        <w:rPr>
          <w:rFonts w:hint="default"/>
          <w:lang w:val="en-US" w:eastAsia="zh-CN"/>
        </w:rPr>
      </w:pPr>
      <w:r>
        <w:rPr>
          <w:rFonts w:hint="default"/>
          <w:lang w:val="en-US" w:eastAsia="zh-CN"/>
        </w:rPr>
        <w:br w:type="page"/>
      </w:r>
    </w:p>
    <w:p w14:paraId="26EE27A1">
      <w:pPr>
        <w:pStyle w:val="23"/>
        <w:rPr>
          <w:rFonts w:hint="default"/>
          <w:lang w:val="en-US" w:eastAsia="zh-CN"/>
        </w:rPr>
        <w:sectPr>
          <w:footerReference r:id="rId7" w:type="default"/>
          <w:pgSz w:w="11906" w:h="16838"/>
          <w:pgMar w:top="1417" w:right="1417" w:bottom="1417" w:left="1417" w:header="851" w:footer="992" w:gutter="0"/>
          <w:pgNumType w:fmt="decimal" w:start="1"/>
          <w:cols w:space="0" w:num="1"/>
          <w:docGrid w:type="lines" w:linePitch="312" w:charSpace="0"/>
        </w:sectPr>
      </w:pPr>
    </w:p>
    <w:p w14:paraId="085BD81D">
      <w:pPr>
        <w:bidi w:val="0"/>
        <w:rPr>
          <w:rFonts w:hint="default"/>
          <w:lang w:val="en-US" w:eastAsia="zh-CN"/>
        </w:rPr>
      </w:pPr>
      <w:r>
        <w:rPr>
          <w:rFonts w:hint="default"/>
          <w:lang w:val="en-US" w:eastAsia="zh-CN"/>
        </w:rPr>
        <w:drawing>
          <wp:inline distT="0" distB="0" distL="114300" distR="114300">
            <wp:extent cx="9377045" cy="5746115"/>
            <wp:effectExtent l="0" t="0" r="14605" b="6985"/>
            <wp:docPr id="78" name="图片 78"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1111"/>
                    <pic:cNvPicPr>
                      <a:picLocks noChangeAspect="1"/>
                    </pic:cNvPicPr>
                  </pic:nvPicPr>
                  <pic:blipFill>
                    <a:blip r:embed="rId75"/>
                    <a:stretch>
                      <a:fillRect/>
                    </a:stretch>
                  </pic:blipFill>
                  <pic:spPr>
                    <a:xfrm>
                      <a:off x="0" y="0"/>
                      <a:ext cx="9377045" cy="5746115"/>
                    </a:xfrm>
                    <a:prstGeom prst="rect">
                      <a:avLst/>
                    </a:prstGeom>
                  </pic:spPr>
                </pic:pic>
              </a:graphicData>
            </a:graphic>
          </wp:inline>
        </w:drawing>
      </w:r>
    </w:p>
    <w:sectPr>
      <w:pgSz w:w="16838" w:h="11906" w:orient="landscape"/>
      <w:pgMar w:top="1417" w:right="1417" w:bottom="1417" w:left="1417" w:header="851" w:footer="992" w:gutter="0"/>
      <w:pgNumType w:fmt="decimal"/>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方正公文小标宋">
    <w:altName w:val="宋体"/>
    <w:panose1 w:val="02000500000000000000"/>
    <w:charset w:val="86"/>
    <w:family w:val="auto"/>
    <w:pitch w:val="default"/>
    <w:sig w:usb0="00000000" w:usb1="00000000" w:usb2="00000016" w:usb3="00000000" w:csb0="00040001" w:csb1="00000000"/>
  </w:font>
  <w:font w:name="方正小标宋简体">
    <w:panose1 w:val="03000509000000000000"/>
    <w:charset w:val="86"/>
    <w:family w:val="script"/>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MS UI 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39C90F">
    <w:pPr>
      <w:pStyle w:val="2"/>
      <w:pBdr>
        <w:top w:val="single" w:color="auto" w:sz="4" w:space="1"/>
      </w:pBdr>
      <w:rPr>
        <w:rFonts w:hint="eastAsia" w:cs="Times New Roman"/>
      </w:rPr>
    </w:pPr>
    <w:r>
      <w:rPr>
        <w:rFonts w:cs="Times New Roman"/>
      </w:rPr>
      <w:t xml:space="preserve">江西赣安安全生产科学技术咨询服务中心                 </w:t>
    </w:r>
    <w:r>
      <w:rPr>
        <w:rFonts w:hint="eastAsia" w:cs="Times New Roman"/>
      </w:rPr>
      <w:t xml:space="preserve">                                 APJ-（赣）-002</w:t>
    </w:r>
  </w:p>
  <w:p w14:paraId="72301875">
    <w:pPr>
      <w:pStyle w:val="2"/>
      <w:pBdr>
        <w:top w:val="single" w:color="auto" w:sz="4" w:space="1"/>
      </w:pBdr>
      <w:rPr>
        <w:rFonts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AE11B">
    <w:pPr>
      <w:pStyle w:val="2"/>
      <w:pBdr>
        <w:top w:val="single" w:color="auto" w:sz="4" w:space="1"/>
      </w:pBdr>
      <w:rPr>
        <w:rFonts w:hint="eastAsia" w:cs="Times New Roman"/>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9A2163">
                          <w:pPr>
                            <w:pStyle w:val="2"/>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2Lu/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i7v2NAIAAGUEAAAOAAAAAAAAAAEAIAAAAB8BAABkcnMvZTJvRG9jLnhtbFBL&#10;BQYAAAAABgAGAFkBAADFBQAAAAA=&#10;">
              <v:fill on="f" focussize="0,0"/>
              <v:stroke on="f" weight="0.5pt"/>
              <v:imagedata o:title=""/>
              <o:lock v:ext="edit" aspectratio="f"/>
              <v:textbox inset="0mm,0mm,0mm,0mm" style="mso-fit-shape-to-text:t;">
                <w:txbxContent>
                  <w:p w14:paraId="3D9A2163">
                    <w:pPr>
                      <w:pStyle w:val="2"/>
                    </w:pPr>
                    <w:r>
                      <w:fldChar w:fldCharType="begin"/>
                    </w:r>
                    <w:r>
                      <w:instrText xml:space="preserve"> PAGE  \* MERGEFORMAT </w:instrText>
                    </w:r>
                    <w:r>
                      <w:fldChar w:fldCharType="separate"/>
                    </w:r>
                    <w:r>
                      <w:t>I</w:t>
                    </w:r>
                    <w:r>
                      <w:fldChar w:fldCharType="end"/>
                    </w:r>
                  </w:p>
                </w:txbxContent>
              </v:textbox>
            </v:shape>
          </w:pict>
        </mc:Fallback>
      </mc:AlternateContent>
    </w:r>
    <w:r>
      <w:rPr>
        <w:rFonts w:cs="Times New Roman"/>
      </w:rPr>
      <w:t xml:space="preserve">江西赣安安全生产科学技术咨询服务中心                 </w:t>
    </w:r>
    <w:r>
      <w:rPr>
        <w:rFonts w:hint="eastAsia" w:cs="Times New Roman"/>
      </w:rPr>
      <w:t xml:space="preserve">                                 APJ-（赣）-002</w:t>
    </w:r>
  </w:p>
  <w:p w14:paraId="67CF230A">
    <w:pPr>
      <w:pStyle w:val="2"/>
      <w:pBdr>
        <w:top w:val="single" w:color="auto" w:sz="4" w:space="1"/>
      </w:pBdr>
      <w:rPr>
        <w:rFonts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3BE62">
    <w:pPr>
      <w:pStyle w:val="2"/>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E2CF4C">
                          <w:pPr>
                            <w:pStyle w:val="2"/>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jB9lU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SMH2VTICAABlBAAADgAAAAAAAAABACAAAAAfAQAAZHJzL2Uyb0RvYy54bWxQSwUG&#10;AAAAAAYABgBZAQAAwwUAAAAA&#10;">
              <v:fill on="f" focussize="0,0"/>
              <v:stroke on="f" weight="0.5pt"/>
              <v:imagedata o:title=""/>
              <o:lock v:ext="edit" aspectratio="f"/>
              <v:textbox inset="0mm,0mm,0mm,0mm" style="mso-fit-shape-to-text:t;">
                <w:txbxContent>
                  <w:p w14:paraId="74E2CF4C">
                    <w:pPr>
                      <w:pStyle w:val="2"/>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80273">
    <w:pPr>
      <w:pStyle w:val="2"/>
      <w:pBdr>
        <w:top w:val="single" w:color="auto" w:sz="4" w:space="1"/>
      </w:pBdr>
      <w:rPr>
        <w:rFonts w:hint="eastAsia" w:cs="Times New Roman"/>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9ECAA4">
                          <w:pPr>
                            <w:pStyle w:val="2"/>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FvUZ8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FvUZ8zAgAAZQQAAA4AAAAAAAAAAQAgAAAAHwEAAGRycy9lMm9Eb2MueG1sUEsF&#10;BgAAAAAGAAYAWQEAAMQFAAAAAA==&#10;">
              <v:fill on="f" focussize="0,0"/>
              <v:stroke on="f" weight="0.5pt"/>
              <v:imagedata o:title=""/>
              <o:lock v:ext="edit" aspectratio="f"/>
              <v:textbox inset="0mm,0mm,0mm,0mm" style="mso-fit-shape-to-text:t;">
                <w:txbxContent>
                  <w:p w14:paraId="729ECAA4">
                    <w:pPr>
                      <w:pStyle w:val="2"/>
                    </w:pPr>
                    <w:r>
                      <w:fldChar w:fldCharType="begin"/>
                    </w:r>
                    <w:r>
                      <w:instrText xml:space="preserve"> PAGE  \* MERGEFORMAT </w:instrText>
                    </w:r>
                    <w:r>
                      <w:fldChar w:fldCharType="separate"/>
                    </w:r>
                    <w:r>
                      <w:t>I</w:t>
                    </w:r>
                    <w:r>
                      <w:fldChar w:fldCharType="end"/>
                    </w:r>
                  </w:p>
                </w:txbxContent>
              </v:textbox>
            </v:shape>
          </w:pict>
        </mc:Fallback>
      </mc:AlternateContent>
    </w:r>
    <w:r>
      <w:rPr>
        <w:rFonts w:cs="Times New Roman"/>
      </w:rPr>
      <w:t xml:space="preserve">江西赣安安全生产科学技术咨询服务中心                 </w:t>
    </w:r>
    <w:r>
      <w:rPr>
        <w:rFonts w:hint="eastAsia" w:cs="Times New Roman"/>
      </w:rPr>
      <w:t xml:space="preserve">                                 APJ-（赣）-002</w:t>
    </w:r>
  </w:p>
  <w:p w14:paraId="022DD927">
    <w:pPr>
      <w:pStyle w:val="2"/>
      <w:pBdr>
        <w:top w:val="single" w:color="auto" w:sz="4" w:space="1"/>
      </w:pBdr>
      <w:rPr>
        <w:rFonts w:cs="Times New Roma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F52B57">
    <w:pPr>
      <w:pBdr>
        <w:bottom w:val="single" w:color="auto" w:sz="4" w:space="1"/>
      </w:pBdr>
      <w:jc w:val="both"/>
      <w:rPr>
        <w:rFonts w:ascii="宋体" w:cs="Times New Roman"/>
      </w:rPr>
    </w:pPr>
    <w:r>
      <w:rPr>
        <w:rFonts w:hint="eastAsia" w:ascii="宋体" w:hAnsi="宋体" w:cs="宋体"/>
        <w:sz w:val="18"/>
        <w:szCs w:val="18"/>
      </w:rPr>
      <w:t>中国石化销售有限公司江西余干石油分公司社庚加油站</w:t>
    </w:r>
    <w:r>
      <w:rPr>
        <w:rFonts w:hint="eastAsia" w:ascii="宋体" w:hAnsi="宋体" w:cs="宋体"/>
        <w:sz w:val="18"/>
        <w:szCs w:val="18"/>
        <w:lang w:val="en-US" w:eastAsia="zh-CN"/>
      </w:rPr>
      <w:t>安全现状评价</w:t>
    </w:r>
    <w:r>
      <w:rPr>
        <w:rFonts w:ascii="宋体" w:hAnsi="宋体" w:cs="宋体"/>
        <w:sz w:val="18"/>
        <w:szCs w:val="18"/>
      </w:rPr>
      <w:t xml:space="preserve">               </w:t>
    </w:r>
    <w:r>
      <w:rPr>
        <w:rFonts w:hint="eastAsia" w:ascii="宋体" w:hAnsi="宋体" w:cs="宋体"/>
        <w:sz w:val="18"/>
        <w:szCs w:val="18"/>
        <w:lang w:val="en-US" w:eastAsia="zh-CN"/>
      </w:rPr>
      <w:t xml:space="preserve">        </w:t>
    </w:r>
    <w:r>
      <w:rPr>
        <w:rFonts w:ascii="宋体" w:hAnsi="宋体" w:cs="宋体"/>
        <w:sz w:val="18"/>
        <w:szCs w:val="18"/>
      </w:rPr>
      <w:t xml:space="preserve"> GAAP[</w:t>
    </w:r>
    <w:r>
      <w:rPr>
        <w:rFonts w:hint="eastAsia" w:ascii="宋体" w:hAnsi="宋体" w:cs="宋体"/>
        <w:sz w:val="18"/>
        <w:szCs w:val="18"/>
        <w:lang w:val="en-US" w:eastAsia="zh-CN"/>
      </w:rPr>
      <w:t>2024</w:t>
    </w:r>
    <w:r>
      <w:rPr>
        <w:rFonts w:ascii="宋体" w:hAnsi="宋体" w:cs="宋体"/>
        <w:sz w:val="18"/>
        <w:szCs w:val="18"/>
      </w:rPr>
      <w:t>]</w:t>
    </w:r>
    <w:r>
      <w:rPr>
        <w:rFonts w:hint="eastAsia" w:ascii="宋体" w:hAnsi="宋体" w:cs="宋体"/>
        <w:sz w:val="18"/>
        <w:szCs w:val="18"/>
        <w:lang w:val="en-US" w:eastAsia="zh-CN"/>
      </w:rPr>
      <w:t>0208</w:t>
    </w:r>
    <w:r>
      <w:rPr>
        <w:rFonts w:hint="eastAsia" w:ascii="宋体" w:hAnsi="宋体" w:cs="宋体"/>
        <w:sz w:val="18"/>
        <w:szCs w:val="18"/>
      </w:rPr>
      <w:t>号</w:t>
    </w:r>
  </w:p>
  <w:p w14:paraId="272D9C69">
    <w:pPr>
      <w:pStyle w:val="12"/>
      <w:pBdr>
        <w:top w:val="none" w:color="auto" w:sz="0" w:space="0"/>
        <w:left w:val="none" w:color="auto" w:sz="0" w:space="0"/>
        <w:bottom w:val="none" w:color="auto" w:sz="0" w:space="0"/>
        <w:right w:val="none" w:color="auto" w:sz="0" w:space="0"/>
      </w:pBdr>
      <w:rPr>
        <w:rFonts w:cs="Times New Roma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embedSystemFonts/>
  <w:bordersDoNotSurroundHeader w:val="0"/>
  <w:bordersDoNotSurroundFooter w:val="0"/>
  <w:documentProtection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U4MTQ3MjRmZGI3MDNkMzc2YzY2OGUyZDZhNjM5YWUifQ=="/>
  </w:docVars>
  <w:rsids>
    <w:rsidRoot w:val="1B4018DA"/>
    <w:rsid w:val="000F491E"/>
    <w:rsid w:val="001B29FA"/>
    <w:rsid w:val="002522E9"/>
    <w:rsid w:val="00393B6E"/>
    <w:rsid w:val="005C7241"/>
    <w:rsid w:val="006053E7"/>
    <w:rsid w:val="00654DA9"/>
    <w:rsid w:val="006E51C3"/>
    <w:rsid w:val="00933B0E"/>
    <w:rsid w:val="009843B1"/>
    <w:rsid w:val="00C2434B"/>
    <w:rsid w:val="00CA1DFD"/>
    <w:rsid w:val="00D77A22"/>
    <w:rsid w:val="00DD13F4"/>
    <w:rsid w:val="00FB0309"/>
    <w:rsid w:val="01F96EC8"/>
    <w:rsid w:val="02713496"/>
    <w:rsid w:val="02E4161F"/>
    <w:rsid w:val="031977C9"/>
    <w:rsid w:val="068B1EC9"/>
    <w:rsid w:val="06C22B6C"/>
    <w:rsid w:val="072C42D2"/>
    <w:rsid w:val="07A8169D"/>
    <w:rsid w:val="07AF1BE8"/>
    <w:rsid w:val="07F454A2"/>
    <w:rsid w:val="099B5350"/>
    <w:rsid w:val="0ACC3BC9"/>
    <w:rsid w:val="0C102D06"/>
    <w:rsid w:val="0C2C57CC"/>
    <w:rsid w:val="0CC23308"/>
    <w:rsid w:val="0ECE4958"/>
    <w:rsid w:val="0ED136C4"/>
    <w:rsid w:val="10297F6C"/>
    <w:rsid w:val="10B23626"/>
    <w:rsid w:val="11182B44"/>
    <w:rsid w:val="1121462D"/>
    <w:rsid w:val="12663432"/>
    <w:rsid w:val="12ED10D0"/>
    <w:rsid w:val="13A973C6"/>
    <w:rsid w:val="13D97B7A"/>
    <w:rsid w:val="154D467C"/>
    <w:rsid w:val="16BA1E0A"/>
    <w:rsid w:val="179518BE"/>
    <w:rsid w:val="17FB6783"/>
    <w:rsid w:val="18743093"/>
    <w:rsid w:val="196224BF"/>
    <w:rsid w:val="19AE6233"/>
    <w:rsid w:val="19EB48DA"/>
    <w:rsid w:val="1A421337"/>
    <w:rsid w:val="1A946ACB"/>
    <w:rsid w:val="1B037F4D"/>
    <w:rsid w:val="1B4018DA"/>
    <w:rsid w:val="1B5A79C4"/>
    <w:rsid w:val="1C3818AC"/>
    <w:rsid w:val="1D6C27DF"/>
    <w:rsid w:val="1D901A4E"/>
    <w:rsid w:val="1DA118D4"/>
    <w:rsid w:val="1E053FE5"/>
    <w:rsid w:val="1E570F9F"/>
    <w:rsid w:val="1F8D239D"/>
    <w:rsid w:val="1FDF5789"/>
    <w:rsid w:val="20656902"/>
    <w:rsid w:val="210C5569"/>
    <w:rsid w:val="21B31E7D"/>
    <w:rsid w:val="239164EA"/>
    <w:rsid w:val="23937C0D"/>
    <w:rsid w:val="245612F5"/>
    <w:rsid w:val="25203CCD"/>
    <w:rsid w:val="25396722"/>
    <w:rsid w:val="27A21A6E"/>
    <w:rsid w:val="2939710B"/>
    <w:rsid w:val="2A585A67"/>
    <w:rsid w:val="2A620FDE"/>
    <w:rsid w:val="2A950CB9"/>
    <w:rsid w:val="2B0A700B"/>
    <w:rsid w:val="2B522706"/>
    <w:rsid w:val="2C55425C"/>
    <w:rsid w:val="2C970D19"/>
    <w:rsid w:val="2E344345"/>
    <w:rsid w:val="2F0E0AD1"/>
    <w:rsid w:val="2F654E7A"/>
    <w:rsid w:val="302733D0"/>
    <w:rsid w:val="313119D6"/>
    <w:rsid w:val="31893807"/>
    <w:rsid w:val="327A5A60"/>
    <w:rsid w:val="332D5026"/>
    <w:rsid w:val="334873B2"/>
    <w:rsid w:val="33966BFC"/>
    <w:rsid w:val="344F23B1"/>
    <w:rsid w:val="34923386"/>
    <w:rsid w:val="34A17A33"/>
    <w:rsid w:val="350E769E"/>
    <w:rsid w:val="35661288"/>
    <w:rsid w:val="35E16804"/>
    <w:rsid w:val="366B53FB"/>
    <w:rsid w:val="36AB303E"/>
    <w:rsid w:val="37B54749"/>
    <w:rsid w:val="37B71C45"/>
    <w:rsid w:val="38CD7470"/>
    <w:rsid w:val="392A27F2"/>
    <w:rsid w:val="39DC420F"/>
    <w:rsid w:val="3A6E37BE"/>
    <w:rsid w:val="3A7E791F"/>
    <w:rsid w:val="3B713430"/>
    <w:rsid w:val="3BB0163E"/>
    <w:rsid w:val="3C28373B"/>
    <w:rsid w:val="3CA4480B"/>
    <w:rsid w:val="3CD613E9"/>
    <w:rsid w:val="3E034E30"/>
    <w:rsid w:val="3EB709F3"/>
    <w:rsid w:val="3ED74028"/>
    <w:rsid w:val="3EF4279E"/>
    <w:rsid w:val="40880C6E"/>
    <w:rsid w:val="41EE7AB5"/>
    <w:rsid w:val="420E2469"/>
    <w:rsid w:val="423F358D"/>
    <w:rsid w:val="425D688E"/>
    <w:rsid w:val="431E13F4"/>
    <w:rsid w:val="43C024AB"/>
    <w:rsid w:val="43C7383A"/>
    <w:rsid w:val="445B0426"/>
    <w:rsid w:val="45050ABD"/>
    <w:rsid w:val="45303661"/>
    <w:rsid w:val="45647867"/>
    <w:rsid w:val="45F46D85"/>
    <w:rsid w:val="46476EB4"/>
    <w:rsid w:val="46BC13FF"/>
    <w:rsid w:val="47CD33E9"/>
    <w:rsid w:val="47E25E5B"/>
    <w:rsid w:val="47EE4609"/>
    <w:rsid w:val="48482461"/>
    <w:rsid w:val="4853317B"/>
    <w:rsid w:val="49D31E7F"/>
    <w:rsid w:val="4A7D2EA4"/>
    <w:rsid w:val="4BAC6AF2"/>
    <w:rsid w:val="4C7A11D1"/>
    <w:rsid w:val="4CA27D51"/>
    <w:rsid w:val="4CA57577"/>
    <w:rsid w:val="4E6D2B93"/>
    <w:rsid w:val="4F81319F"/>
    <w:rsid w:val="50415952"/>
    <w:rsid w:val="515B541D"/>
    <w:rsid w:val="51947CF8"/>
    <w:rsid w:val="52BD43D1"/>
    <w:rsid w:val="54181745"/>
    <w:rsid w:val="54580C6E"/>
    <w:rsid w:val="553F7A36"/>
    <w:rsid w:val="55434CEA"/>
    <w:rsid w:val="55842D9D"/>
    <w:rsid w:val="55AC6D33"/>
    <w:rsid w:val="56577146"/>
    <w:rsid w:val="56B57C33"/>
    <w:rsid w:val="56BE0ACC"/>
    <w:rsid w:val="56E03A17"/>
    <w:rsid w:val="5808476A"/>
    <w:rsid w:val="588D4CE6"/>
    <w:rsid w:val="59B541C5"/>
    <w:rsid w:val="5A5D394D"/>
    <w:rsid w:val="5AF56A87"/>
    <w:rsid w:val="5C427AAA"/>
    <w:rsid w:val="5D600FA4"/>
    <w:rsid w:val="5E5D6E1D"/>
    <w:rsid w:val="5EA21F61"/>
    <w:rsid w:val="5EFD415C"/>
    <w:rsid w:val="5F0E6369"/>
    <w:rsid w:val="5F4D50B3"/>
    <w:rsid w:val="60963878"/>
    <w:rsid w:val="61EC35BD"/>
    <w:rsid w:val="628726BA"/>
    <w:rsid w:val="628C32FB"/>
    <w:rsid w:val="64355278"/>
    <w:rsid w:val="64D72350"/>
    <w:rsid w:val="64FC33D2"/>
    <w:rsid w:val="65DD782F"/>
    <w:rsid w:val="67102B25"/>
    <w:rsid w:val="67277036"/>
    <w:rsid w:val="68334C39"/>
    <w:rsid w:val="68B65AA7"/>
    <w:rsid w:val="68CB2AB6"/>
    <w:rsid w:val="699A5567"/>
    <w:rsid w:val="69CD69DD"/>
    <w:rsid w:val="69F70160"/>
    <w:rsid w:val="6A0B1E23"/>
    <w:rsid w:val="6A6F4D7B"/>
    <w:rsid w:val="6B030D4C"/>
    <w:rsid w:val="6B20545A"/>
    <w:rsid w:val="6C0F36D0"/>
    <w:rsid w:val="6CB92D3C"/>
    <w:rsid w:val="6DEE0AAA"/>
    <w:rsid w:val="6EF10037"/>
    <w:rsid w:val="6F412198"/>
    <w:rsid w:val="6FA36659"/>
    <w:rsid w:val="700E4B40"/>
    <w:rsid w:val="703B7E4E"/>
    <w:rsid w:val="7097629B"/>
    <w:rsid w:val="70B3663B"/>
    <w:rsid w:val="71AF5789"/>
    <w:rsid w:val="765F2344"/>
    <w:rsid w:val="76762024"/>
    <w:rsid w:val="76B178AE"/>
    <w:rsid w:val="76E357D9"/>
    <w:rsid w:val="77274014"/>
    <w:rsid w:val="783F3332"/>
    <w:rsid w:val="79151413"/>
    <w:rsid w:val="7A683942"/>
    <w:rsid w:val="7C2428D0"/>
    <w:rsid w:val="7C2B7B97"/>
    <w:rsid w:val="7D197F5B"/>
    <w:rsid w:val="7DBA3360"/>
    <w:rsid w:val="7E416012"/>
    <w:rsid w:val="7EAA17B2"/>
    <w:rsid w:val="7EB85AF2"/>
    <w:rsid w:val="7FC14BF4"/>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99" w:name="toc 1"/>
    <w:lsdException w:qFormat="1" w:unhideWhenUsed="0" w:uiPriority="9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qFormat="1" w:unhideWhenUsed="0"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qFormat="1" w:unhideWhenUsed="0"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uiPriority="99" w:name="Balloon Text"/>
    <w:lsdException w:qFormat="1" w:unhideWhenUsed="0" w:uiPriority="99"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Calibri"/>
      <w:kern w:val="2"/>
      <w:sz w:val="21"/>
      <w:szCs w:val="21"/>
      <w:lang w:val="en-US" w:eastAsia="zh-CN" w:bidi="ar-SA"/>
    </w:rPr>
  </w:style>
  <w:style w:type="paragraph" w:styleId="4">
    <w:name w:val="heading 1"/>
    <w:basedOn w:val="1"/>
    <w:next w:val="1"/>
    <w:link w:val="24"/>
    <w:qFormat/>
    <w:uiPriority w:val="99"/>
    <w:pPr>
      <w:widowControl/>
      <w:spacing w:line="600" w:lineRule="exact"/>
      <w:jc w:val="left"/>
      <w:outlineLvl w:val="0"/>
    </w:pPr>
    <w:rPr>
      <w:rFonts w:ascii="Times New Roman" w:hAnsi="Times New Roman" w:cs="Times New Roman"/>
      <w:b/>
      <w:bCs/>
      <w:kern w:val="36"/>
      <w:sz w:val="28"/>
      <w:szCs w:val="28"/>
    </w:rPr>
  </w:style>
  <w:style w:type="paragraph" w:styleId="5">
    <w:name w:val="heading 2"/>
    <w:basedOn w:val="1"/>
    <w:next w:val="1"/>
    <w:link w:val="25"/>
    <w:qFormat/>
    <w:uiPriority w:val="99"/>
    <w:pPr>
      <w:keepNext/>
      <w:keepLines/>
      <w:spacing w:line="600" w:lineRule="exact"/>
      <w:outlineLvl w:val="1"/>
    </w:pPr>
    <w:rPr>
      <w:b/>
      <w:bCs/>
      <w:kern w:val="0"/>
      <w:sz w:val="28"/>
      <w:szCs w:val="28"/>
    </w:rPr>
  </w:style>
  <w:style w:type="paragraph" w:styleId="6">
    <w:name w:val="heading 3"/>
    <w:basedOn w:val="1"/>
    <w:next w:val="1"/>
    <w:link w:val="26"/>
    <w:qFormat/>
    <w:uiPriority w:val="99"/>
    <w:pPr>
      <w:keepNext/>
      <w:keepLines/>
      <w:spacing w:line="600" w:lineRule="exact"/>
      <w:outlineLvl w:val="2"/>
    </w:pPr>
    <w:rPr>
      <w:rFonts w:ascii="Times New Roman" w:hAnsi="Times New Roman" w:cs="Times New Roman"/>
      <w:b/>
      <w:bCs/>
      <w:sz w:val="28"/>
      <w:szCs w:val="28"/>
    </w:rPr>
  </w:style>
  <w:style w:type="character" w:default="1" w:styleId="21">
    <w:name w:val="Default Paragraph Font"/>
    <w:semiHidden/>
    <w:qFormat/>
    <w:uiPriority w:val="99"/>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2">
    <w:name w:val="footer"/>
    <w:basedOn w:val="1"/>
    <w:next w:val="3"/>
    <w:link w:val="30"/>
    <w:qFormat/>
    <w:uiPriority w:val="99"/>
    <w:pPr>
      <w:tabs>
        <w:tab w:val="center" w:pos="4153"/>
        <w:tab w:val="right" w:pos="8306"/>
      </w:tabs>
      <w:snapToGrid w:val="0"/>
      <w:jc w:val="left"/>
    </w:pPr>
    <w:rPr>
      <w:sz w:val="18"/>
      <w:szCs w:val="18"/>
    </w:rPr>
  </w:style>
  <w:style w:type="paragraph" w:styleId="3">
    <w:name w:val="Normal (Web)"/>
    <w:basedOn w:val="1"/>
    <w:next w:val="1"/>
    <w:qFormat/>
    <w:uiPriority w:val="99"/>
    <w:pPr>
      <w:widowControl/>
      <w:spacing w:before="100" w:beforeAutospacing="1" w:after="100" w:afterAutospacing="1"/>
      <w:jc w:val="left"/>
    </w:pPr>
    <w:rPr>
      <w:rFonts w:ascii="宋体" w:hAnsi="宋体" w:cs="宋体"/>
      <w:kern w:val="0"/>
      <w:sz w:val="24"/>
      <w:szCs w:val="24"/>
    </w:rPr>
  </w:style>
  <w:style w:type="paragraph" w:styleId="7">
    <w:name w:val="Normal Indent"/>
    <w:basedOn w:val="1"/>
    <w:qFormat/>
    <w:uiPriority w:val="0"/>
    <w:pPr>
      <w:ind w:firstLine="420" w:firstLineChars="200"/>
    </w:pPr>
  </w:style>
  <w:style w:type="paragraph" w:styleId="8">
    <w:name w:val="annotation text"/>
    <w:basedOn w:val="1"/>
    <w:link w:val="27"/>
    <w:semiHidden/>
    <w:qFormat/>
    <w:uiPriority w:val="99"/>
    <w:pPr>
      <w:jc w:val="left"/>
    </w:pPr>
  </w:style>
  <w:style w:type="paragraph" w:styleId="9">
    <w:name w:val="Body Text"/>
    <w:basedOn w:val="1"/>
    <w:next w:val="1"/>
    <w:link w:val="28"/>
    <w:qFormat/>
    <w:uiPriority w:val="99"/>
    <w:pPr>
      <w:widowControl/>
      <w:spacing w:before="100" w:beforeAutospacing="1" w:after="100" w:afterAutospacing="1"/>
      <w:jc w:val="left"/>
    </w:pPr>
    <w:rPr>
      <w:rFonts w:ascii="宋体" w:hAnsi="宋体" w:cs="宋体"/>
      <w:kern w:val="0"/>
      <w:sz w:val="24"/>
      <w:szCs w:val="24"/>
    </w:rPr>
  </w:style>
  <w:style w:type="paragraph" w:styleId="10">
    <w:name w:val="Body Text Indent"/>
    <w:basedOn w:val="1"/>
    <w:link w:val="29"/>
    <w:qFormat/>
    <w:uiPriority w:val="99"/>
    <w:pPr>
      <w:spacing w:after="120"/>
      <w:ind w:left="420" w:leftChars="200"/>
    </w:pPr>
  </w:style>
  <w:style w:type="paragraph" w:styleId="11">
    <w:name w:val="toc 3"/>
    <w:basedOn w:val="1"/>
    <w:next w:val="1"/>
    <w:semiHidden/>
    <w:unhideWhenUsed/>
    <w:qFormat/>
    <w:uiPriority w:val="39"/>
    <w:pPr>
      <w:ind w:left="840" w:leftChars="400"/>
    </w:pPr>
  </w:style>
  <w:style w:type="paragraph" w:styleId="12">
    <w:name w:val="header"/>
    <w:basedOn w:val="1"/>
    <w:link w:val="31"/>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szCs w:val="18"/>
    </w:rPr>
  </w:style>
  <w:style w:type="paragraph" w:styleId="13">
    <w:name w:val="toc 1"/>
    <w:basedOn w:val="1"/>
    <w:next w:val="1"/>
    <w:semiHidden/>
    <w:qFormat/>
    <w:uiPriority w:val="99"/>
  </w:style>
  <w:style w:type="paragraph" w:styleId="14">
    <w:name w:val="index heading"/>
    <w:basedOn w:val="1"/>
    <w:next w:val="15"/>
    <w:semiHidden/>
    <w:qFormat/>
    <w:uiPriority w:val="99"/>
    <w:pPr>
      <w:spacing w:before="120" w:after="120"/>
      <w:jc w:val="left"/>
    </w:pPr>
    <w:rPr>
      <w:b/>
      <w:bCs/>
      <w:i/>
      <w:iCs/>
    </w:rPr>
  </w:style>
  <w:style w:type="paragraph" w:styleId="15">
    <w:name w:val="index 1"/>
    <w:basedOn w:val="1"/>
    <w:next w:val="1"/>
    <w:semiHidden/>
    <w:qFormat/>
    <w:uiPriority w:val="99"/>
    <w:pPr>
      <w:ind w:left="210" w:hanging="210"/>
      <w:jc w:val="left"/>
    </w:pPr>
  </w:style>
  <w:style w:type="paragraph" w:styleId="16">
    <w:name w:val="toc 2"/>
    <w:basedOn w:val="1"/>
    <w:next w:val="1"/>
    <w:semiHidden/>
    <w:qFormat/>
    <w:uiPriority w:val="99"/>
    <w:pPr>
      <w:ind w:left="420" w:leftChars="200"/>
    </w:pPr>
  </w:style>
  <w:style w:type="paragraph" w:styleId="17">
    <w:name w:val="Body Text 2"/>
    <w:basedOn w:val="1"/>
    <w:qFormat/>
    <w:uiPriority w:val="0"/>
    <w:pPr>
      <w:spacing w:after="120" w:afterLines="0" w:afterAutospacing="0" w:line="480" w:lineRule="auto"/>
    </w:pPr>
  </w:style>
  <w:style w:type="paragraph" w:styleId="18">
    <w:name w:val="Body Text First Indent 2"/>
    <w:basedOn w:val="9"/>
    <w:next w:val="1"/>
    <w:qFormat/>
    <w:uiPriority w:val="99"/>
    <w:pPr>
      <w:tabs>
        <w:tab w:val="left" w:pos="0"/>
        <w:tab w:val="left" w:pos="870"/>
        <w:tab w:val="left" w:pos="3150"/>
      </w:tabs>
      <w:autoSpaceDE w:val="0"/>
      <w:autoSpaceDN w:val="0"/>
      <w:adjustRightInd w:val="0"/>
      <w:spacing w:line="360" w:lineRule="auto"/>
      <w:ind w:firstLine="527"/>
    </w:pPr>
    <w:rPr>
      <w:rFonts w:ascii="宋体" w:cs="宋体"/>
      <w:sz w:val="24"/>
      <w:szCs w:val="24"/>
    </w:rPr>
  </w:style>
  <w:style w:type="table" w:styleId="20">
    <w:name w:val="Table Grid"/>
    <w:basedOn w:val="19"/>
    <w:qFormat/>
    <w:uiPriority w:val="99"/>
    <w:pPr>
      <w:widowControl w:val="0"/>
      <w:jc w:val="both"/>
    </w:pPr>
    <w:rPr>
      <w:rFonts w:cs="Calibri"/>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page number"/>
    <w:basedOn w:val="21"/>
    <w:qFormat/>
    <w:uiPriority w:val="99"/>
  </w:style>
  <w:style w:type="paragraph" w:customStyle="1" w:styleId="23">
    <w:name w:val="样式 标题 2"/>
    <w:basedOn w:val="5"/>
    <w:qFormat/>
    <w:uiPriority w:val="99"/>
    <w:pPr>
      <w:adjustRightInd w:val="0"/>
      <w:snapToGrid w:val="0"/>
      <w:spacing w:before="120" w:after="120" w:line="240" w:lineRule="auto"/>
      <w:textAlignment w:val="baseline"/>
    </w:pPr>
    <w:rPr>
      <w:rFonts w:ascii="Arial" w:hAnsi="Arial" w:cs="Arial"/>
    </w:rPr>
  </w:style>
  <w:style w:type="character" w:customStyle="1" w:styleId="24">
    <w:name w:val="Heading 1 Char"/>
    <w:basedOn w:val="21"/>
    <w:link w:val="4"/>
    <w:qFormat/>
    <w:locked/>
    <w:uiPriority w:val="99"/>
    <w:rPr>
      <w:b/>
      <w:bCs/>
      <w:kern w:val="36"/>
      <w:sz w:val="48"/>
      <w:szCs w:val="48"/>
    </w:rPr>
  </w:style>
  <w:style w:type="character" w:customStyle="1" w:styleId="25">
    <w:name w:val="Heading 2 Char"/>
    <w:basedOn w:val="21"/>
    <w:link w:val="5"/>
    <w:qFormat/>
    <w:locked/>
    <w:uiPriority w:val="99"/>
    <w:rPr>
      <w:b/>
      <w:bCs/>
      <w:sz w:val="28"/>
      <w:szCs w:val="28"/>
    </w:rPr>
  </w:style>
  <w:style w:type="character" w:customStyle="1" w:styleId="26">
    <w:name w:val="Heading 3 Char"/>
    <w:basedOn w:val="21"/>
    <w:link w:val="6"/>
    <w:semiHidden/>
    <w:qFormat/>
    <w:uiPriority w:val="9"/>
    <w:rPr>
      <w:rFonts w:cs="Calibri"/>
      <w:b/>
      <w:bCs/>
      <w:sz w:val="32"/>
      <w:szCs w:val="32"/>
    </w:rPr>
  </w:style>
  <w:style w:type="character" w:customStyle="1" w:styleId="27">
    <w:name w:val="Comment Text Char"/>
    <w:basedOn w:val="21"/>
    <w:link w:val="8"/>
    <w:semiHidden/>
    <w:qFormat/>
    <w:uiPriority w:val="99"/>
    <w:rPr>
      <w:rFonts w:cs="Calibri"/>
      <w:szCs w:val="21"/>
    </w:rPr>
  </w:style>
  <w:style w:type="character" w:customStyle="1" w:styleId="28">
    <w:name w:val="Body Text Char"/>
    <w:basedOn w:val="21"/>
    <w:link w:val="9"/>
    <w:semiHidden/>
    <w:qFormat/>
    <w:uiPriority w:val="99"/>
    <w:rPr>
      <w:rFonts w:cs="Calibri"/>
      <w:szCs w:val="21"/>
    </w:rPr>
  </w:style>
  <w:style w:type="character" w:customStyle="1" w:styleId="29">
    <w:name w:val="Body Text Indent Char"/>
    <w:basedOn w:val="21"/>
    <w:link w:val="10"/>
    <w:semiHidden/>
    <w:qFormat/>
    <w:uiPriority w:val="99"/>
    <w:rPr>
      <w:rFonts w:cs="Calibri"/>
      <w:szCs w:val="21"/>
    </w:rPr>
  </w:style>
  <w:style w:type="character" w:customStyle="1" w:styleId="30">
    <w:name w:val="Footer Char"/>
    <w:basedOn w:val="21"/>
    <w:link w:val="2"/>
    <w:semiHidden/>
    <w:qFormat/>
    <w:uiPriority w:val="99"/>
    <w:rPr>
      <w:rFonts w:cs="Calibri"/>
      <w:sz w:val="18"/>
      <w:szCs w:val="18"/>
    </w:rPr>
  </w:style>
  <w:style w:type="character" w:customStyle="1" w:styleId="31">
    <w:name w:val="Header Char"/>
    <w:basedOn w:val="21"/>
    <w:link w:val="12"/>
    <w:semiHidden/>
    <w:qFormat/>
    <w:uiPriority w:val="99"/>
    <w:rPr>
      <w:rFonts w:cs="Calibri"/>
      <w:sz w:val="18"/>
      <w:szCs w:val="18"/>
    </w:rPr>
  </w:style>
  <w:style w:type="paragraph" w:customStyle="1" w:styleId="32">
    <w:name w:val="Default"/>
    <w:basedOn w:val="1"/>
    <w:next w:val="33"/>
    <w:qFormat/>
    <w:uiPriority w:val="99"/>
    <w:pPr>
      <w:autoSpaceDE w:val="0"/>
      <w:autoSpaceDN w:val="0"/>
      <w:adjustRightInd w:val="0"/>
      <w:jc w:val="left"/>
    </w:pPr>
    <w:rPr>
      <w:rFonts w:ascii="Arial" w:hAnsi="Arial" w:cs="Arial"/>
      <w:color w:val="000000"/>
      <w:kern w:val="0"/>
      <w:sz w:val="24"/>
      <w:szCs w:val="24"/>
    </w:rPr>
  </w:style>
  <w:style w:type="paragraph" w:customStyle="1" w:styleId="33">
    <w:name w:val="样式1"/>
    <w:basedOn w:val="14"/>
    <w:next w:val="1"/>
    <w:qFormat/>
    <w:uiPriority w:val="99"/>
    <w:pPr>
      <w:spacing w:line="620" w:lineRule="exact"/>
      <w:ind w:firstLine="880" w:firstLineChars="200"/>
    </w:pPr>
    <w:rPr>
      <w:rFonts w:ascii="Times New Roman" w:hAnsi="Times New Roman" w:cs="Times New Roman"/>
      <w:kern w:val="0"/>
      <w:sz w:val="28"/>
      <w:szCs w:val="28"/>
    </w:rPr>
  </w:style>
  <w:style w:type="paragraph" w:customStyle="1" w:styleId="34">
    <w:name w:val="Default11"/>
    <w:qFormat/>
    <w:uiPriority w:val="99"/>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customStyle="1" w:styleId="35">
    <w:name w:val="Default1"/>
    <w:qFormat/>
    <w:uiPriority w:val="99"/>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customStyle="1" w:styleId="36">
    <w:name w:val="p0"/>
    <w:basedOn w:val="1"/>
    <w:qFormat/>
    <w:uiPriority w:val="99"/>
    <w:pPr>
      <w:widowControl/>
    </w:pPr>
    <w:rPr>
      <w:kern w:val="0"/>
    </w:rPr>
  </w:style>
  <w:style w:type="paragraph" w:customStyle="1" w:styleId="37">
    <w:name w:val="样式 10 磅"/>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38">
    <w:name w:val="Char"/>
    <w:basedOn w:val="1"/>
    <w:link w:val="41"/>
    <w:qFormat/>
    <w:uiPriority w:val="99"/>
    <w:pPr>
      <w:spacing w:line="360" w:lineRule="auto"/>
      <w:ind w:firstLine="200" w:firstLineChars="200"/>
    </w:pPr>
    <w:rPr>
      <w:rFonts w:ascii="宋体" w:hAnsi="宋体" w:cs="宋体"/>
      <w:sz w:val="24"/>
      <w:szCs w:val="24"/>
    </w:rPr>
  </w:style>
  <w:style w:type="character" w:customStyle="1" w:styleId="39">
    <w:name w:val="标题 1 Char1"/>
    <w:qFormat/>
    <w:uiPriority w:val="99"/>
    <w:rPr>
      <w:rFonts w:ascii="Times New Roman" w:hAnsi="Times New Roman" w:eastAsia="宋体" w:cs="Times New Roman"/>
      <w:b/>
      <w:bCs/>
      <w:kern w:val="36"/>
      <w:sz w:val="48"/>
      <w:szCs w:val="48"/>
    </w:rPr>
  </w:style>
  <w:style w:type="character" w:customStyle="1" w:styleId="40">
    <w:name w:val="Heading 1 Char1"/>
    <w:qFormat/>
    <w:locked/>
    <w:uiPriority w:val="99"/>
    <w:rPr>
      <w:rFonts w:ascii="Times New Roman" w:hAnsi="Times New Roman" w:eastAsia="宋体" w:cs="Times New Roman"/>
      <w:b/>
      <w:bCs/>
      <w:kern w:val="36"/>
      <w:sz w:val="48"/>
      <w:szCs w:val="48"/>
    </w:rPr>
  </w:style>
  <w:style w:type="character" w:customStyle="1" w:styleId="41">
    <w:name w:val="Char Char"/>
    <w:link w:val="38"/>
    <w:qFormat/>
    <w:uiPriority w:val="99"/>
    <w:rPr>
      <w:rFonts w:ascii="宋体" w:hAnsi="宋体" w:cs="宋体"/>
      <w:sz w:val="24"/>
      <w:szCs w:val="24"/>
    </w:rPr>
  </w:style>
  <w:style w:type="paragraph" w:customStyle="1" w:styleId="42">
    <w:name w:val="WPSOffice手动目录 1"/>
    <w:qFormat/>
    <w:uiPriority w:val="0"/>
    <w:pPr>
      <w:ind w:leftChars="0"/>
    </w:pPr>
    <w:rPr>
      <w:rFonts w:ascii="Calibri" w:hAnsi="Calibri" w:eastAsia="宋体" w:cs="Times New Roman"/>
      <w:sz w:val="20"/>
      <w:szCs w:val="20"/>
    </w:rPr>
  </w:style>
  <w:style w:type="paragraph" w:customStyle="1" w:styleId="43">
    <w:name w:val="WPSOffice手动目录 2"/>
    <w:qFormat/>
    <w:uiPriority w:val="0"/>
    <w:pPr>
      <w:ind w:leftChars="200"/>
    </w:pPr>
    <w:rPr>
      <w:rFonts w:ascii="Calibri" w:hAnsi="Calibri" w:eastAsia="宋体" w:cs="Times New Roman"/>
      <w:sz w:val="20"/>
      <w:szCs w:val="20"/>
    </w:rPr>
  </w:style>
  <w:style w:type="paragraph" w:customStyle="1" w:styleId="44">
    <w:name w:val="WPSOffice手动目录 3"/>
    <w:qFormat/>
    <w:uiPriority w:val="0"/>
    <w:pPr>
      <w:ind w:leftChars="400"/>
    </w:pPr>
    <w:rPr>
      <w:rFonts w:ascii="Calibri" w:hAnsi="Calibri" w:eastAsia="宋体" w:cs="Times New Roman"/>
      <w:sz w:val="20"/>
      <w:szCs w:val="20"/>
    </w:rPr>
  </w:style>
  <w:style w:type="paragraph" w:customStyle="1" w:styleId="45">
    <w:name w:val="表头"/>
    <w:basedOn w:val="17"/>
    <w:next w:val="7"/>
    <w:qFormat/>
    <w:uiPriority w:val="0"/>
    <w:pPr>
      <w:adjustRightInd w:val="0"/>
      <w:snapToGrid w:val="0"/>
      <w:spacing w:before="50" w:beforeLines="50" w:line="240" w:lineRule="auto"/>
      <w:jc w:val="center"/>
    </w:pPr>
    <w:rPr>
      <w:rFonts w:ascii="宋体" w:hAnsi="宋体" w:eastAsia="宋体" w:cs="Times New Roman"/>
      <w:b/>
      <w:color w:val="000000"/>
      <w:sz w:val="24"/>
    </w:rPr>
  </w:style>
  <w:style w:type="paragraph" w:customStyle="1" w:styleId="46">
    <w:name w:val="表格中文字"/>
    <w:basedOn w:val="1"/>
    <w:qFormat/>
    <w:uiPriority w:val="0"/>
    <w:pPr>
      <w:adjustRightInd w:val="0"/>
      <w:snapToGrid w:val="0"/>
      <w:spacing w:line="240" w:lineRule="auto"/>
      <w:ind w:firstLine="0" w:firstLineChars="0"/>
      <w:jc w:val="center"/>
    </w:pPr>
    <w:rPr>
      <w:kern w:val="18"/>
      <w:sz w:val="21"/>
      <w:szCs w:val="21"/>
    </w:rPr>
  </w:style>
  <w:style w:type="table" w:customStyle="1" w:styleId="47">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7" Type="http://schemas.openxmlformats.org/officeDocument/2006/relationships/fontTable" Target="fontTable.xml"/><Relationship Id="rId76" Type="http://schemas.openxmlformats.org/officeDocument/2006/relationships/customXml" Target="../customXml/item1.xml"/><Relationship Id="rId75" Type="http://schemas.openxmlformats.org/officeDocument/2006/relationships/image" Target="media/image64.pn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footer" Target="footer4.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3.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2.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pn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png"/><Relationship Id="rId17" Type="http://schemas.openxmlformats.org/officeDocument/2006/relationships/oleObject" Target="embeddings/oleObject3.bin"/><Relationship Id="rId16" Type="http://schemas.openxmlformats.org/officeDocument/2006/relationships/image" Target="media/image6.png"/><Relationship Id="rId15" Type="http://schemas.openxmlformats.org/officeDocument/2006/relationships/oleObject" Target="embeddings/oleObject2.bin"/><Relationship Id="rId14" Type="http://schemas.openxmlformats.org/officeDocument/2006/relationships/image" Target="media/image5.wmf"/><Relationship Id="rId13" Type="http://schemas.openxmlformats.org/officeDocument/2006/relationships/image" Target="media/image4.wmf"/><Relationship Id="rId12" Type="http://schemas.openxmlformats.org/officeDocument/2006/relationships/image" Target="media/image3.wmf"/><Relationship Id="rId11" Type="http://schemas.openxmlformats.org/officeDocument/2006/relationships/oleObject" Target="embeddings/oleObject1.bin"/><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110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Pages>149</Pages>
  <Words>59688</Words>
  <Characters>65576</Characters>
  <Lines>0</Lines>
  <Paragraphs>0</Paragraphs>
  <TotalTime>17</TotalTime>
  <ScaleCrop>false</ScaleCrop>
  <LinksUpToDate>false</LinksUpToDate>
  <CharactersWithSpaces>69303</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2021-04-22T02:18:00Z</dcterms:created>
  <dc:creator>Administrator</dc:creator>
  <cp:lastModifiedBy>月儿的宝贝</cp:lastModifiedBy>
  <dcterms:modified xsi:type="dcterms:W3CDTF">2024-07-16T02:24:57Z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DD2A6F8A68944670977C82F4C14F4186_13</vt:lpwstr>
  </property>
</Properties>
</file>