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auto"/>
          <w:sz w:val="44"/>
          <w:szCs w:val="44"/>
        </w:rPr>
      </w:pPr>
    </w:p>
    <w:p>
      <w:pPr>
        <w:jc w:val="center"/>
        <w:rPr>
          <w:b/>
          <w:bCs/>
          <w:color w:val="auto"/>
          <w:sz w:val="44"/>
          <w:szCs w:val="44"/>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hAnsi="宋体"/>
          <w:b/>
          <w:color w:val="auto"/>
          <w:sz w:val="44"/>
          <w:szCs w:val="44"/>
        </w:rPr>
      </w:pPr>
      <w:r>
        <w:rPr>
          <w:rFonts w:hint="eastAsia" w:hAnsi="宋体"/>
          <w:b/>
          <w:color w:val="auto"/>
          <w:sz w:val="44"/>
          <w:szCs w:val="44"/>
        </w:rPr>
        <w:t>中国石化销售股份有限公司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hAnsi="宋体"/>
          <w:b/>
          <w:color w:val="auto"/>
          <w:sz w:val="52"/>
          <w:szCs w:val="52"/>
          <w:lang w:eastAsia="zh-CN"/>
        </w:rPr>
      </w:pPr>
      <w:r>
        <w:rPr>
          <w:rFonts w:hint="eastAsia" w:hAnsi="宋体"/>
          <w:b/>
          <w:color w:val="auto"/>
          <w:sz w:val="52"/>
          <w:szCs w:val="52"/>
          <w:lang w:eastAsia="zh-CN"/>
        </w:rPr>
        <w:t>江西上饶市广信石油分公司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eastAsia="宋体"/>
          <w:color w:val="auto"/>
          <w:kern w:val="0"/>
          <w:sz w:val="52"/>
          <w:szCs w:val="52"/>
          <w:lang w:val="en-US" w:eastAsia="zh-CN"/>
        </w:rPr>
      </w:pPr>
      <w:r>
        <w:rPr>
          <w:rFonts w:hint="eastAsia" w:hAnsi="宋体"/>
          <w:b/>
          <w:color w:val="auto"/>
          <w:sz w:val="52"/>
          <w:szCs w:val="52"/>
          <w:lang w:eastAsia="zh-CN"/>
        </w:rPr>
        <w:t>第五加油站改造项目</w:t>
      </w:r>
      <w:r>
        <w:rPr>
          <w:rFonts w:hint="eastAsia" w:hAnsi="宋体"/>
          <w:b/>
          <w:color w:val="auto"/>
          <w:sz w:val="52"/>
          <w:szCs w:val="52"/>
          <w:lang w:val="en-US" w:eastAsia="zh-CN"/>
        </w:rPr>
        <w:t>(充电站)</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52"/>
          <w:szCs w:val="52"/>
        </w:rPr>
      </w:pPr>
      <w:r>
        <w:rPr>
          <w:rFonts w:hint="eastAsia" w:ascii="宋体" w:hAnsi="宋体" w:eastAsia="宋体" w:cs="宋体"/>
          <w:b/>
          <w:bCs/>
          <w:color w:val="auto"/>
          <w:sz w:val="52"/>
          <w:szCs w:val="52"/>
        </w:rPr>
        <w:t>安全</w:t>
      </w:r>
      <w:r>
        <w:rPr>
          <w:rFonts w:hint="eastAsia" w:ascii="宋体" w:hAnsi="宋体" w:eastAsia="宋体" w:cs="宋体"/>
          <w:b/>
          <w:bCs/>
          <w:color w:val="auto"/>
          <w:sz w:val="52"/>
          <w:szCs w:val="52"/>
          <w:lang w:eastAsia="zh-CN"/>
        </w:rPr>
        <w:t>预评价</w:t>
      </w:r>
      <w:r>
        <w:rPr>
          <w:rFonts w:hint="eastAsia" w:ascii="宋体" w:hAnsi="宋体" w:eastAsia="宋体" w:cs="宋体"/>
          <w:b/>
          <w:bCs/>
          <w:color w:val="auto"/>
          <w:sz w:val="52"/>
          <w:szCs w:val="52"/>
        </w:rPr>
        <w:t>报告</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sz w:val="44"/>
          <w:szCs w:val="44"/>
          <w:lang w:eastAsia="zh-CN"/>
        </w:rPr>
      </w:pPr>
      <w:r>
        <w:rPr>
          <w:rFonts w:hint="eastAsia"/>
          <w:b/>
          <w:bCs/>
          <w:color w:val="auto"/>
          <w:sz w:val="44"/>
          <w:szCs w:val="44"/>
          <w:lang w:eastAsia="zh-CN"/>
        </w:rPr>
        <w:t>（</w:t>
      </w:r>
      <w:r>
        <w:rPr>
          <w:rFonts w:hint="eastAsia"/>
          <w:b/>
          <w:bCs/>
          <w:color w:val="auto"/>
          <w:sz w:val="44"/>
          <w:szCs w:val="44"/>
          <w:lang w:val="en-US" w:eastAsia="zh-CN"/>
        </w:rPr>
        <w:t>终稿</w:t>
      </w:r>
      <w:r>
        <w:rPr>
          <w:rFonts w:hint="eastAsia"/>
          <w:b/>
          <w:bCs/>
          <w:color w:val="auto"/>
          <w:sz w:val="44"/>
          <w:szCs w:val="44"/>
          <w:lang w:eastAsia="zh-CN"/>
        </w:rPr>
        <w:t>）</w:t>
      </w:r>
    </w:p>
    <w:p>
      <w:pPr>
        <w:jc w:val="center"/>
        <w:rPr>
          <w:b/>
          <w:bCs/>
          <w:color w:val="auto"/>
          <w:sz w:val="44"/>
          <w:szCs w:val="44"/>
        </w:rPr>
      </w:pPr>
    </w:p>
    <w:p>
      <w:pPr>
        <w:jc w:val="center"/>
        <w:rPr>
          <w:b/>
          <w:bCs/>
          <w:color w:val="auto"/>
          <w:sz w:val="44"/>
          <w:szCs w:val="44"/>
        </w:rPr>
      </w:pPr>
    </w:p>
    <w:p>
      <w:pPr>
        <w:jc w:val="center"/>
        <w:rPr>
          <w:b/>
          <w:bCs/>
          <w:color w:val="auto"/>
          <w:sz w:val="44"/>
          <w:szCs w:val="44"/>
        </w:rPr>
      </w:pPr>
    </w:p>
    <w:p>
      <w:pPr>
        <w:jc w:val="center"/>
        <w:rPr>
          <w:b/>
          <w:bCs/>
          <w:color w:val="auto"/>
          <w:sz w:val="44"/>
          <w:szCs w:val="44"/>
        </w:rPr>
      </w:pPr>
    </w:p>
    <w:p>
      <w:pPr>
        <w:jc w:val="center"/>
        <w:rPr>
          <w:b/>
          <w:bCs/>
          <w:color w:val="auto"/>
          <w:sz w:val="44"/>
          <w:szCs w:val="44"/>
        </w:rPr>
      </w:pPr>
    </w:p>
    <w:p>
      <w:pPr>
        <w:jc w:val="center"/>
        <w:rPr>
          <w:rFonts w:hint="eastAsia"/>
          <w:b/>
          <w:bCs/>
          <w:color w:val="auto"/>
          <w:sz w:val="44"/>
          <w:szCs w:val="44"/>
        </w:rPr>
      </w:pPr>
    </w:p>
    <w:p>
      <w:pPr>
        <w:jc w:val="center"/>
        <w:rPr>
          <w:rFonts w:hint="eastAsia"/>
          <w:b/>
          <w:bCs/>
          <w:color w:val="auto"/>
          <w:sz w:val="44"/>
          <w:szCs w:val="44"/>
        </w:rPr>
      </w:pPr>
    </w:p>
    <w:p>
      <w:pPr>
        <w:jc w:val="center"/>
        <w:rPr>
          <w:rFonts w:hint="eastAsia"/>
          <w:b/>
          <w:bCs/>
          <w:color w:val="auto"/>
          <w:sz w:val="44"/>
          <w:szCs w:val="44"/>
        </w:rPr>
      </w:pPr>
    </w:p>
    <w:p>
      <w:pPr>
        <w:jc w:val="center"/>
        <w:rPr>
          <w:rFonts w:hint="eastAsia"/>
          <w:b/>
          <w:bCs/>
          <w:color w:val="auto"/>
          <w:sz w:val="44"/>
          <w:szCs w:val="44"/>
        </w:rPr>
      </w:pPr>
    </w:p>
    <w:p>
      <w:pPr>
        <w:pStyle w:val="45"/>
        <w:rPr>
          <w:rFonts w:hint="eastAsia"/>
          <w:b/>
          <w:bCs/>
          <w:color w:val="auto"/>
          <w:sz w:val="44"/>
          <w:szCs w:val="44"/>
        </w:rPr>
      </w:pPr>
    </w:p>
    <w:p>
      <w:pPr>
        <w:jc w:val="center"/>
        <w:rPr>
          <w:rFonts w:hint="eastAsia"/>
          <w:b/>
          <w:bCs/>
          <w:color w:val="auto"/>
          <w:sz w:val="44"/>
          <w:szCs w:val="4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b/>
          <w:color w:val="auto"/>
          <w:sz w:val="44"/>
          <w:szCs w:val="44"/>
        </w:rPr>
      </w:pPr>
      <w:r>
        <w:rPr>
          <w:rFonts w:hint="eastAsia" w:hAnsi="宋体"/>
          <w:b/>
          <w:color w:val="auto"/>
          <w:sz w:val="44"/>
          <w:szCs w:val="44"/>
        </w:rPr>
        <w:t>江西赣安安全生产科学技术咨询服务中心</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b/>
          <w:color w:val="auto"/>
          <w:sz w:val="32"/>
        </w:rPr>
      </w:pPr>
      <w:r>
        <w:rPr>
          <w:b/>
          <w:color w:val="auto"/>
          <w:sz w:val="32"/>
          <w:szCs w:val="32"/>
        </w:rPr>
        <w:t>APJ-</w:t>
      </w:r>
      <w:r>
        <w:rPr>
          <w:rFonts w:hAnsi="宋体"/>
          <w:b/>
          <w:color w:val="auto"/>
          <w:sz w:val="32"/>
          <w:szCs w:val="32"/>
        </w:rPr>
        <w:t>（</w:t>
      </w:r>
      <w:r>
        <w:rPr>
          <w:rFonts w:hint="eastAsia" w:hAnsi="宋体"/>
          <w:b/>
          <w:color w:val="auto"/>
          <w:sz w:val="32"/>
          <w:szCs w:val="32"/>
        </w:rPr>
        <w:t>赣</w:t>
      </w:r>
      <w:r>
        <w:rPr>
          <w:rFonts w:hAnsi="宋体"/>
          <w:b/>
          <w:color w:val="auto"/>
          <w:sz w:val="32"/>
          <w:szCs w:val="32"/>
        </w:rPr>
        <w:t>）</w:t>
      </w:r>
      <w:r>
        <w:rPr>
          <w:b/>
          <w:color w:val="auto"/>
          <w:sz w:val="32"/>
          <w:szCs w:val="32"/>
        </w:rPr>
        <w:t>-</w:t>
      </w:r>
      <w:r>
        <w:rPr>
          <w:rFonts w:hint="eastAsia"/>
          <w:b/>
          <w:color w:val="auto"/>
          <w:sz w:val="32"/>
          <w:szCs w:val="32"/>
        </w:rPr>
        <w:t>002</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Ansi="宋体"/>
          <w:b/>
          <w:bCs/>
          <w:color w:val="auto"/>
          <w:sz w:val="32"/>
        </w:rPr>
        <w:sectPr>
          <w:headerReference r:id="rId5" w:type="default"/>
          <w:footerReference r:id="rId6" w:type="default"/>
          <w:pgSz w:w="11906" w:h="16838"/>
          <w:pgMar w:top="1417" w:right="1304" w:bottom="1417" w:left="1304" w:header="851" w:footer="992" w:gutter="0"/>
          <w:pgNumType w:fmt="decimal" w:start="1"/>
          <w:cols w:space="720" w:num="1"/>
          <w:titlePg/>
          <w:docGrid w:type="lines" w:linePitch="312" w:charSpace="0"/>
        </w:sectPr>
      </w:pPr>
      <w:r>
        <w:rPr>
          <w:b/>
          <w:bCs/>
          <w:color w:val="auto"/>
          <w:sz w:val="32"/>
        </w:rPr>
        <w:t>20</w:t>
      </w:r>
      <w:r>
        <w:rPr>
          <w:rFonts w:hint="eastAsia"/>
          <w:b/>
          <w:bCs/>
          <w:color w:val="auto"/>
          <w:sz w:val="32"/>
        </w:rPr>
        <w:t>2</w:t>
      </w:r>
      <w:r>
        <w:rPr>
          <w:rFonts w:hint="eastAsia"/>
          <w:b/>
          <w:bCs/>
          <w:color w:val="auto"/>
          <w:sz w:val="32"/>
          <w:lang w:val="en-US" w:eastAsia="zh-CN"/>
        </w:rPr>
        <w:t>4</w:t>
      </w:r>
      <w:r>
        <w:rPr>
          <w:rFonts w:hAnsi="宋体"/>
          <w:b/>
          <w:bCs/>
          <w:color w:val="auto"/>
          <w:sz w:val="32"/>
        </w:rPr>
        <w:t>年</w:t>
      </w:r>
      <w:r>
        <w:rPr>
          <w:rFonts w:hint="eastAsia"/>
          <w:b/>
          <w:bCs/>
          <w:color w:val="auto"/>
          <w:sz w:val="32"/>
          <w:lang w:val="en-US" w:eastAsia="zh-CN"/>
        </w:rPr>
        <w:t>4</w:t>
      </w:r>
      <w:r>
        <w:rPr>
          <w:rFonts w:hAnsi="宋体"/>
          <w:b/>
          <w:bCs/>
          <w:color w:val="auto"/>
          <w:sz w:val="32"/>
        </w:rPr>
        <w:t>月</w:t>
      </w:r>
      <w:r>
        <w:rPr>
          <w:rFonts w:hint="eastAsia" w:hAnsi="宋体"/>
          <w:b/>
          <w:bCs/>
          <w:color w:val="auto"/>
          <w:sz w:val="32"/>
          <w:lang w:val="en-US" w:eastAsia="zh-CN"/>
        </w:rPr>
        <w:t>25</w:t>
      </w:r>
      <w:r>
        <w:rPr>
          <w:rFonts w:hint="eastAsia" w:hAnsi="宋体"/>
          <w:b/>
          <w:bCs/>
          <w:color w:val="auto"/>
          <w:sz w:val="32"/>
        </w:rPr>
        <w:t>日</w:t>
      </w:r>
    </w:p>
    <w:p>
      <w:pPr>
        <w:rPr>
          <w:rFonts w:hint="eastAsia"/>
          <w:b/>
          <w:bCs/>
          <w:color w:val="auto"/>
          <w:sz w:val="36"/>
          <w:szCs w:val="36"/>
        </w:rPr>
      </w:pPr>
    </w:p>
    <w:p>
      <w:pPr>
        <w:spacing w:line="660" w:lineRule="exact"/>
        <w:jc w:val="center"/>
        <w:rPr>
          <w:rFonts w:hint="eastAsia" w:ascii="宋体" w:hAnsi="宋体"/>
          <w:b/>
          <w:bCs/>
          <w:color w:val="auto"/>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bCs/>
          <w:color w:val="auto"/>
          <w:sz w:val="44"/>
          <w:szCs w:val="44"/>
        </w:rPr>
      </w:pPr>
      <w:r>
        <w:rPr>
          <w:rFonts w:hint="eastAsia" w:ascii="宋体" w:hAnsi="宋体"/>
          <w:b/>
          <w:bCs/>
          <w:color w:val="auto"/>
          <w:sz w:val="44"/>
          <w:szCs w:val="44"/>
        </w:rPr>
        <w:t>中国石化销售股份有限公司</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b/>
          <w:bCs/>
          <w:color w:val="auto"/>
          <w:sz w:val="52"/>
          <w:szCs w:val="52"/>
          <w:lang w:eastAsia="zh-CN"/>
        </w:rPr>
      </w:pPr>
      <w:r>
        <w:rPr>
          <w:rFonts w:hint="eastAsia" w:ascii="宋体" w:hAnsi="宋体"/>
          <w:b/>
          <w:bCs/>
          <w:color w:val="auto"/>
          <w:sz w:val="52"/>
          <w:szCs w:val="52"/>
          <w:lang w:eastAsia="zh-CN"/>
        </w:rPr>
        <w:t>江西上饶市广信石油分公司</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b/>
          <w:bCs/>
          <w:color w:val="auto"/>
          <w:sz w:val="52"/>
          <w:szCs w:val="52"/>
          <w:lang w:val="en-US" w:eastAsia="zh-CN"/>
        </w:rPr>
      </w:pPr>
      <w:r>
        <w:rPr>
          <w:rFonts w:hint="eastAsia" w:ascii="宋体" w:hAnsi="宋体"/>
          <w:b/>
          <w:bCs/>
          <w:color w:val="auto"/>
          <w:sz w:val="52"/>
          <w:szCs w:val="52"/>
          <w:lang w:eastAsia="zh-CN"/>
        </w:rPr>
        <w:t>第五加油站改造项目</w:t>
      </w:r>
      <w:r>
        <w:rPr>
          <w:rFonts w:hint="eastAsia" w:ascii="宋体" w:hAnsi="宋体"/>
          <w:b/>
          <w:bCs/>
          <w:color w:val="auto"/>
          <w:sz w:val="52"/>
          <w:szCs w:val="52"/>
          <w:lang w:val="en-US" w:eastAsia="zh-CN"/>
        </w:rPr>
        <w:t>（充电站）</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auto"/>
          <w:sz w:val="52"/>
          <w:szCs w:val="52"/>
        </w:rPr>
      </w:pPr>
      <w:r>
        <w:rPr>
          <w:rFonts w:hint="eastAsia" w:ascii="宋体" w:hAnsi="宋体" w:eastAsia="宋体" w:cs="宋体"/>
          <w:b/>
          <w:bCs/>
          <w:color w:val="auto"/>
          <w:sz w:val="52"/>
          <w:szCs w:val="52"/>
        </w:rPr>
        <w:t>安全</w:t>
      </w:r>
      <w:r>
        <w:rPr>
          <w:rFonts w:hint="eastAsia" w:ascii="宋体" w:hAnsi="宋体" w:eastAsia="宋体" w:cs="宋体"/>
          <w:b/>
          <w:bCs/>
          <w:color w:val="auto"/>
          <w:sz w:val="52"/>
          <w:szCs w:val="52"/>
          <w:lang w:eastAsia="zh-CN"/>
        </w:rPr>
        <w:t>预评价</w:t>
      </w:r>
      <w:r>
        <w:rPr>
          <w:rFonts w:hint="eastAsia" w:ascii="宋体" w:hAnsi="宋体" w:eastAsia="宋体" w:cs="宋体"/>
          <w:b/>
          <w:bCs/>
          <w:color w:val="auto"/>
          <w:sz w:val="52"/>
          <w:szCs w:val="52"/>
        </w:rPr>
        <w:t>报告</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b/>
          <w:bCs/>
          <w:color w:val="auto"/>
          <w:sz w:val="48"/>
          <w:lang w:eastAsia="zh-CN"/>
        </w:rPr>
      </w:pPr>
      <w:r>
        <w:rPr>
          <w:rFonts w:hint="eastAsia"/>
          <w:b/>
          <w:bCs/>
          <w:color w:val="auto"/>
          <w:sz w:val="48"/>
          <w:lang w:eastAsia="zh-CN"/>
        </w:rPr>
        <w:t>（</w:t>
      </w:r>
      <w:r>
        <w:rPr>
          <w:rFonts w:hint="eastAsia"/>
          <w:b/>
          <w:bCs/>
          <w:color w:val="auto"/>
          <w:sz w:val="48"/>
          <w:lang w:val="en-US" w:eastAsia="zh-CN"/>
        </w:rPr>
        <w:t>终稿</w:t>
      </w:r>
      <w:r>
        <w:rPr>
          <w:rFonts w:hint="eastAsia"/>
          <w:b/>
          <w:bCs/>
          <w:color w:val="auto"/>
          <w:sz w:val="48"/>
          <w:lang w:eastAsia="zh-CN"/>
        </w:rPr>
        <w:t>）</w:t>
      </w:r>
    </w:p>
    <w:p>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p>
    <w:p>
      <w:pPr>
        <w:jc w:val="center"/>
        <w:rPr>
          <w:rFonts w:hint="eastAsia"/>
          <w:bCs/>
          <w:color w:val="auto"/>
          <w:sz w:val="28"/>
          <w:szCs w:val="28"/>
        </w:rPr>
      </w:pPr>
    </w:p>
    <w:p>
      <w:pPr>
        <w:pStyle w:val="49"/>
        <w:rPr>
          <w:rFonts w:hint="eastAsia"/>
          <w:color w:val="auto"/>
          <w:sz w:val="28"/>
          <w:szCs w:val="28"/>
        </w:rPr>
      </w:pPr>
    </w:p>
    <w:p>
      <w:pPr>
        <w:rPr>
          <w:rFonts w:hint="eastAsia"/>
          <w:color w:val="auto"/>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8"/>
          <w:szCs w:val="28"/>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auto"/>
          <w:sz w:val="28"/>
          <w:szCs w:val="28"/>
        </w:rPr>
      </w:pPr>
      <w:r>
        <w:rPr>
          <w:color w:val="auto"/>
          <w:sz w:val="28"/>
          <w:szCs w:val="28"/>
        </w:rPr>
        <w:t>法定代表人：</w:t>
      </w:r>
      <w:r>
        <w:rPr>
          <w:rFonts w:hint="eastAsia"/>
          <w:color w:val="auto"/>
          <w:sz w:val="28"/>
          <w:szCs w:val="28"/>
        </w:rPr>
        <w:t>应  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sz w:val="28"/>
          <w:szCs w:val="28"/>
          <w:lang w:eastAsia="zh-CN"/>
        </w:rPr>
      </w:pPr>
      <w:r>
        <w:rPr>
          <w:color w:val="auto"/>
          <w:sz w:val="28"/>
          <w:szCs w:val="28"/>
        </w:rPr>
        <w:t>技术负责人：</w:t>
      </w:r>
      <w:r>
        <w:rPr>
          <w:rFonts w:hint="eastAsia"/>
          <w:color w:val="auto"/>
          <w:sz w:val="28"/>
          <w:szCs w:val="28"/>
          <w:lang w:val="en-US" w:eastAsia="zh-CN"/>
        </w:rPr>
        <w:t>应  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宋体"/>
          <w:color w:val="auto"/>
          <w:sz w:val="28"/>
          <w:szCs w:val="28"/>
          <w:lang w:eastAsia="zh-CN"/>
        </w:rPr>
      </w:pPr>
      <w:r>
        <w:rPr>
          <w:color w:val="auto"/>
          <w:sz w:val="28"/>
          <w:szCs w:val="28"/>
        </w:rPr>
        <w:t>项目负责人：</w:t>
      </w:r>
      <w:r>
        <w:rPr>
          <w:rFonts w:hint="eastAsia"/>
          <w:color w:val="auto"/>
          <w:sz w:val="28"/>
          <w:szCs w:val="28"/>
          <w:lang w:val="en-US" w:eastAsia="zh-CN"/>
        </w:rPr>
        <w:t>郑  强</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auto"/>
          <w:sz w:val="48"/>
        </w:rPr>
      </w:pP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b/>
          <w:color w:val="auto"/>
          <w:sz w:val="24"/>
        </w:rPr>
      </w:pPr>
      <w:r>
        <w:rPr>
          <w:b/>
          <w:color w:val="auto"/>
          <w:kern w:val="0"/>
          <w:sz w:val="24"/>
        </w:rPr>
        <w:t>报告完成</w:t>
      </w:r>
      <w:r>
        <w:rPr>
          <w:rFonts w:hint="eastAsia"/>
          <w:b/>
          <w:color w:val="auto"/>
          <w:kern w:val="0"/>
          <w:sz w:val="24"/>
        </w:rPr>
        <w:t>时间</w:t>
      </w:r>
      <w:r>
        <w:rPr>
          <w:b/>
          <w:color w:val="auto"/>
          <w:kern w:val="0"/>
          <w:sz w:val="24"/>
        </w:rPr>
        <w:t>：20</w:t>
      </w:r>
      <w:r>
        <w:rPr>
          <w:rFonts w:hint="eastAsia"/>
          <w:b/>
          <w:color w:val="auto"/>
          <w:kern w:val="0"/>
          <w:sz w:val="24"/>
        </w:rPr>
        <w:t>2</w:t>
      </w:r>
      <w:r>
        <w:rPr>
          <w:rFonts w:hint="eastAsia"/>
          <w:b/>
          <w:color w:val="auto"/>
          <w:kern w:val="0"/>
          <w:sz w:val="24"/>
          <w:lang w:val="en-US" w:eastAsia="zh-CN"/>
        </w:rPr>
        <w:t>4</w:t>
      </w:r>
      <w:r>
        <w:rPr>
          <w:b/>
          <w:color w:val="auto"/>
          <w:kern w:val="0"/>
          <w:sz w:val="24"/>
        </w:rPr>
        <w:t>年</w:t>
      </w:r>
      <w:r>
        <w:rPr>
          <w:rFonts w:hint="eastAsia"/>
          <w:b/>
          <w:color w:val="auto"/>
          <w:kern w:val="0"/>
          <w:sz w:val="24"/>
          <w:lang w:val="en-US" w:eastAsia="zh-CN"/>
        </w:rPr>
        <w:t>4</w:t>
      </w:r>
      <w:r>
        <w:rPr>
          <w:b/>
          <w:color w:val="auto"/>
          <w:kern w:val="0"/>
          <w:sz w:val="24"/>
        </w:rPr>
        <w:t>月</w:t>
      </w:r>
      <w:r>
        <w:rPr>
          <w:rFonts w:hint="eastAsia"/>
          <w:b/>
          <w:color w:val="auto"/>
          <w:kern w:val="0"/>
          <w:sz w:val="24"/>
          <w:lang w:val="en-US" w:eastAsia="zh-CN"/>
        </w:rPr>
        <w:t>25</w:t>
      </w:r>
      <w:r>
        <w:rPr>
          <w:rFonts w:hint="eastAsia"/>
          <w:b/>
          <w:color w:val="auto"/>
          <w:kern w:val="0"/>
          <w:sz w:val="24"/>
        </w:rPr>
        <w:t>日</w:t>
      </w:r>
    </w:p>
    <w:p>
      <w:pPr>
        <w:jc w:val="center"/>
        <w:rPr>
          <w:b/>
          <w:color w:val="auto"/>
          <w:sz w:val="24"/>
        </w:rPr>
      </w:pPr>
    </w:p>
    <w:p>
      <w:pPr>
        <w:keepNext w:val="0"/>
        <w:keepLines w:val="0"/>
        <w:pageBreakBefore w:val="0"/>
        <w:widowControl/>
        <w:kinsoku/>
        <w:wordWrap/>
        <w:overflowPunct/>
        <w:topLinePunct w:val="0"/>
        <w:autoSpaceDE/>
        <w:autoSpaceDN/>
        <w:bidi w:val="0"/>
        <w:adjustRightInd/>
        <w:snapToGrid/>
        <w:spacing w:beforeAutospacing="0" w:afterAutospacing="0" w:line="425" w:lineRule="auto"/>
        <w:ind w:firstLine="0" w:firstLineChars="0"/>
        <w:jc w:val="center"/>
        <w:textAlignment w:val="auto"/>
        <w:rPr>
          <w:rFonts w:hint="eastAsia" w:ascii="宋体" w:hAnsi="宋体" w:cs="宋体"/>
          <w:b/>
          <w:color w:val="auto"/>
          <w:kern w:val="0"/>
          <w:sz w:val="36"/>
          <w:szCs w:val="36"/>
        </w:rPr>
      </w:pPr>
      <w:r>
        <w:rPr>
          <w:b/>
          <w:color w:val="auto"/>
          <w:sz w:val="24"/>
        </w:rPr>
        <w:br w:type="page"/>
      </w:r>
      <w:r>
        <w:rPr>
          <w:rFonts w:hint="eastAsia" w:ascii="宋体" w:hAnsi="宋体" w:cs="宋体"/>
          <w:b/>
          <w:color w:val="auto"/>
          <w:kern w:val="0"/>
          <w:sz w:val="36"/>
          <w:szCs w:val="36"/>
        </w:rPr>
        <w:t>中国石化销售股份有限公司</w:t>
      </w:r>
    </w:p>
    <w:p>
      <w:pPr>
        <w:keepNext w:val="0"/>
        <w:keepLines w:val="0"/>
        <w:pageBreakBefore w:val="0"/>
        <w:widowControl/>
        <w:kinsoku/>
        <w:wordWrap/>
        <w:overflowPunct/>
        <w:topLinePunct w:val="0"/>
        <w:autoSpaceDE/>
        <w:autoSpaceDN/>
        <w:bidi w:val="0"/>
        <w:adjustRightInd/>
        <w:snapToGrid/>
        <w:spacing w:beforeAutospacing="0" w:afterAutospacing="0" w:line="425" w:lineRule="auto"/>
        <w:ind w:firstLine="0" w:firstLineChars="0"/>
        <w:jc w:val="center"/>
        <w:textAlignment w:val="auto"/>
        <w:rPr>
          <w:rFonts w:hint="eastAsia" w:ascii="宋体" w:hAnsi="宋体" w:cs="宋体"/>
          <w:b/>
          <w:color w:val="auto"/>
          <w:kern w:val="0"/>
          <w:sz w:val="36"/>
          <w:szCs w:val="36"/>
          <w:lang w:eastAsia="zh-CN"/>
        </w:rPr>
      </w:pPr>
      <w:r>
        <w:rPr>
          <w:rFonts w:hint="eastAsia" w:ascii="宋体" w:hAnsi="宋体" w:cs="宋体"/>
          <w:b/>
          <w:color w:val="auto"/>
          <w:kern w:val="0"/>
          <w:sz w:val="36"/>
          <w:szCs w:val="36"/>
          <w:lang w:eastAsia="zh-CN"/>
        </w:rPr>
        <w:t>江西上饶市广信石油分公司</w:t>
      </w:r>
    </w:p>
    <w:p>
      <w:pPr>
        <w:keepNext w:val="0"/>
        <w:keepLines w:val="0"/>
        <w:pageBreakBefore w:val="0"/>
        <w:widowControl/>
        <w:kinsoku/>
        <w:wordWrap/>
        <w:overflowPunct/>
        <w:topLinePunct w:val="0"/>
        <w:autoSpaceDE/>
        <w:autoSpaceDN/>
        <w:bidi w:val="0"/>
        <w:adjustRightInd/>
        <w:snapToGrid/>
        <w:spacing w:beforeAutospacing="0" w:afterAutospacing="0" w:line="425" w:lineRule="auto"/>
        <w:ind w:firstLine="0" w:firstLineChars="0"/>
        <w:jc w:val="center"/>
        <w:textAlignment w:val="auto"/>
        <w:rPr>
          <w:rFonts w:hint="default" w:ascii="宋体" w:hAnsi="宋体" w:eastAsia="宋体" w:cs="宋体"/>
          <w:b/>
          <w:color w:val="auto"/>
          <w:kern w:val="0"/>
          <w:sz w:val="36"/>
          <w:szCs w:val="36"/>
          <w:lang w:val="en-US" w:eastAsia="zh-CN"/>
        </w:rPr>
      </w:pPr>
      <w:r>
        <w:rPr>
          <w:rFonts w:hint="eastAsia" w:ascii="宋体" w:hAnsi="宋体" w:cs="宋体"/>
          <w:b/>
          <w:color w:val="auto"/>
          <w:kern w:val="0"/>
          <w:sz w:val="36"/>
          <w:szCs w:val="36"/>
          <w:lang w:eastAsia="zh-CN"/>
        </w:rPr>
        <w:t>第五加油站改造项目</w:t>
      </w:r>
      <w:r>
        <w:rPr>
          <w:rFonts w:hint="eastAsia" w:ascii="宋体" w:hAnsi="宋体" w:cs="宋体"/>
          <w:b/>
          <w:color w:val="auto"/>
          <w:kern w:val="0"/>
          <w:sz w:val="36"/>
          <w:szCs w:val="36"/>
          <w:lang w:val="en-US" w:eastAsia="zh-CN"/>
        </w:rPr>
        <w:t>（充电站）</w:t>
      </w:r>
    </w:p>
    <w:p>
      <w:pPr>
        <w:keepNext w:val="0"/>
        <w:keepLines w:val="0"/>
        <w:pageBreakBefore w:val="0"/>
        <w:widowControl/>
        <w:kinsoku/>
        <w:wordWrap/>
        <w:overflowPunct/>
        <w:topLinePunct w:val="0"/>
        <w:autoSpaceDE/>
        <w:autoSpaceDN/>
        <w:bidi w:val="0"/>
        <w:adjustRightInd/>
        <w:snapToGrid/>
        <w:spacing w:beforeAutospacing="0" w:afterAutospacing="0" w:line="425" w:lineRule="auto"/>
        <w:ind w:firstLine="0" w:firstLineChars="0"/>
        <w:jc w:val="center"/>
        <w:textAlignment w:val="auto"/>
        <w:rPr>
          <w:rFonts w:ascii="宋体" w:hAnsi="宋体" w:cs="宋体"/>
          <w:b/>
          <w:color w:val="auto"/>
          <w:kern w:val="0"/>
          <w:sz w:val="36"/>
          <w:szCs w:val="36"/>
        </w:rPr>
      </w:pPr>
      <w:r>
        <w:rPr>
          <w:rFonts w:hint="eastAsia" w:ascii="宋体" w:hAnsi="宋体" w:cs="宋体"/>
          <w:b/>
          <w:color w:val="auto"/>
          <w:kern w:val="0"/>
          <w:sz w:val="36"/>
          <w:szCs w:val="36"/>
        </w:rPr>
        <w:t>安全</w:t>
      </w:r>
      <w:r>
        <w:rPr>
          <w:rFonts w:ascii="宋体" w:hAnsi="宋体" w:cs="宋体"/>
          <w:b/>
          <w:color w:val="auto"/>
          <w:kern w:val="0"/>
          <w:sz w:val="36"/>
          <w:szCs w:val="36"/>
        </w:rPr>
        <w:t>评价</w:t>
      </w:r>
      <w:r>
        <w:rPr>
          <w:rFonts w:hint="eastAsia" w:ascii="宋体" w:hAnsi="宋体" w:cs="宋体"/>
          <w:b/>
          <w:color w:val="auto"/>
          <w:kern w:val="0"/>
          <w:sz w:val="36"/>
          <w:szCs w:val="36"/>
        </w:rPr>
        <w:t>技术服务</w:t>
      </w:r>
      <w:r>
        <w:rPr>
          <w:rFonts w:ascii="宋体" w:hAnsi="宋体" w:cs="宋体"/>
          <w:b/>
          <w:color w:val="auto"/>
          <w:kern w:val="0"/>
          <w:sz w:val="36"/>
          <w:szCs w:val="36"/>
        </w:rPr>
        <w:t>承诺书</w:t>
      </w:r>
    </w:p>
    <w:p>
      <w:pPr>
        <w:widowControl/>
        <w:wordWrap w:val="0"/>
        <w:spacing w:line="425" w:lineRule="auto"/>
        <w:jc w:val="left"/>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 xml:space="preserve">一、在本项目安全评价活动过程中，我单位严格遵守《安全生产法》及相关法律、法规和标准的要求。   </w:t>
      </w:r>
    </w:p>
    <w:p>
      <w:pPr>
        <w:widowControl/>
        <w:wordWrap w:val="0"/>
        <w:spacing w:line="425" w:lineRule="auto"/>
        <w:ind w:left="0" w:leftChars="0" w:firstLine="640" w:firstLineChars="200"/>
        <w:jc w:val="left"/>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二、在本项目安全评价活动过程中，我单位作为第三方，未受到任何组织和个人的干预和影响，依法独立开展工作，保证了技术服务活动的客观公正性。</w:t>
      </w:r>
    </w:p>
    <w:p>
      <w:pPr>
        <w:widowControl/>
        <w:wordWrap w:val="0"/>
        <w:spacing w:line="425" w:lineRule="auto"/>
        <w:ind w:firstLine="640" w:firstLineChars="200"/>
        <w:jc w:val="left"/>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三、我单位按照实事求是的原则，对本项目进行安全评价，确保出具的报告均真实有效，报告所提出的措施具有针对性、有效性和可行性。</w:t>
      </w:r>
    </w:p>
    <w:p>
      <w:pPr>
        <w:widowControl/>
        <w:wordWrap w:val="0"/>
        <w:spacing w:line="425" w:lineRule="auto"/>
        <w:ind w:firstLine="640" w:firstLineChars="200"/>
        <w:jc w:val="left"/>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 xml:space="preserve">四、我单位对本项目安全评价报告中结论性内容承担法律责任。 </w:t>
      </w:r>
    </w:p>
    <w:p>
      <w:pPr>
        <w:widowControl/>
        <w:wordWrap w:val="0"/>
        <w:spacing w:before="100" w:beforeAutospacing="1" w:after="100" w:afterAutospacing="1" w:line="425" w:lineRule="auto"/>
        <w:ind w:firstLine="480"/>
        <w:jc w:val="left"/>
        <w:rPr>
          <w:rFonts w:hint="eastAsia" w:ascii="宋体" w:hAnsi="宋体" w:cs="宋体"/>
          <w:color w:val="auto"/>
          <w:kern w:val="0"/>
          <w:sz w:val="32"/>
          <w:szCs w:val="32"/>
        </w:rPr>
      </w:pPr>
      <w:r>
        <w:rPr>
          <w:rFonts w:hint="eastAsia" w:ascii="宋体" w:hAnsi="宋体" w:cs="宋体"/>
          <w:color w:val="auto"/>
          <w:kern w:val="0"/>
          <w:sz w:val="32"/>
          <w:szCs w:val="32"/>
        </w:rPr>
        <w:t xml:space="preserve">                      </w:t>
      </w:r>
    </w:p>
    <w:p>
      <w:pPr>
        <w:widowControl/>
        <w:wordWrap w:val="0"/>
        <w:spacing w:before="100" w:beforeAutospacing="1" w:after="100" w:afterAutospacing="1" w:line="425" w:lineRule="auto"/>
        <w:ind w:firstLine="480"/>
        <w:jc w:val="right"/>
        <w:rPr>
          <w:rFonts w:hint="eastAsia" w:ascii="宋体" w:hAnsi="宋体" w:cs="宋体"/>
          <w:color w:val="auto"/>
          <w:kern w:val="0"/>
          <w:sz w:val="28"/>
          <w:szCs w:val="28"/>
        </w:rPr>
      </w:pPr>
      <w:r>
        <w:rPr>
          <w:rFonts w:hint="eastAsia" w:ascii="宋体" w:hAnsi="宋体" w:cs="宋体"/>
          <w:color w:val="auto"/>
          <w:kern w:val="0"/>
          <w:sz w:val="32"/>
          <w:szCs w:val="32"/>
        </w:rPr>
        <w:t xml:space="preserve">            </w:t>
      </w:r>
      <w:r>
        <w:rPr>
          <w:rFonts w:hint="eastAsia" w:ascii="宋体" w:hAnsi="宋体" w:cs="宋体"/>
          <w:color w:val="auto"/>
          <w:kern w:val="0"/>
          <w:sz w:val="28"/>
          <w:szCs w:val="28"/>
        </w:rPr>
        <w:t>江西赣安安全生产科学技术咨询服务中心</w:t>
      </w:r>
    </w:p>
    <w:p>
      <w:pPr>
        <w:widowControl/>
        <w:wordWrap w:val="0"/>
        <w:spacing w:before="100" w:beforeAutospacing="1" w:after="100" w:afterAutospacing="1" w:line="425" w:lineRule="auto"/>
        <w:ind w:firstLine="480"/>
        <w:jc w:val="left"/>
        <w:rPr>
          <w:rFonts w:ascii="宋体" w:hAnsi="宋体" w:cs="宋体"/>
          <w:color w:val="auto"/>
          <w:kern w:val="0"/>
          <w:sz w:val="28"/>
          <w:szCs w:val="28"/>
        </w:rPr>
      </w:pPr>
      <w:r>
        <w:rPr>
          <w:rFonts w:hint="eastAsia" w:ascii="宋体" w:hAnsi="宋体" w:cs="宋体"/>
          <w:color w:val="auto"/>
          <w:kern w:val="0"/>
          <w:sz w:val="28"/>
          <w:szCs w:val="28"/>
        </w:rPr>
        <w:t xml:space="preserve">              </w:t>
      </w:r>
      <w:r>
        <w:rPr>
          <w:rFonts w:ascii="宋体" w:hAnsi="宋体" w:cs="宋体"/>
          <w:color w:val="auto"/>
          <w:kern w:val="0"/>
          <w:sz w:val="28"/>
          <w:szCs w:val="28"/>
        </w:rPr>
        <w:t xml:space="preserve"> </w:t>
      </w:r>
      <w:r>
        <w:rPr>
          <w:rFonts w:hint="eastAsia" w:ascii="宋体" w:hAnsi="宋体" w:cs="宋体"/>
          <w:color w:val="auto"/>
          <w:kern w:val="0"/>
          <w:sz w:val="28"/>
          <w:szCs w:val="28"/>
        </w:rPr>
        <w:t xml:space="preserve">                     202</w:t>
      </w:r>
      <w:r>
        <w:rPr>
          <w:rFonts w:hint="eastAsia" w:ascii="宋体" w:hAnsi="宋体" w:cs="宋体"/>
          <w:color w:val="auto"/>
          <w:kern w:val="0"/>
          <w:sz w:val="28"/>
          <w:szCs w:val="28"/>
          <w:lang w:val="en-US" w:eastAsia="zh-CN"/>
        </w:rPr>
        <w:t>4</w:t>
      </w:r>
      <w:r>
        <w:rPr>
          <w:rFonts w:ascii="宋体" w:hAnsi="宋体" w:cs="宋体"/>
          <w:color w:val="auto"/>
          <w:kern w:val="0"/>
          <w:sz w:val="28"/>
          <w:szCs w:val="28"/>
        </w:rPr>
        <w:t>年</w:t>
      </w:r>
      <w:r>
        <w:rPr>
          <w:rFonts w:hint="eastAsia" w:ascii="宋体" w:hAnsi="宋体" w:cs="宋体"/>
          <w:color w:val="auto"/>
          <w:kern w:val="0"/>
          <w:sz w:val="28"/>
          <w:szCs w:val="28"/>
          <w:lang w:val="en-US" w:eastAsia="zh-CN"/>
        </w:rPr>
        <w:t>4</w:t>
      </w:r>
      <w:r>
        <w:rPr>
          <w:rFonts w:ascii="宋体" w:hAnsi="宋体" w:cs="宋体"/>
          <w:color w:val="auto"/>
          <w:kern w:val="0"/>
          <w:sz w:val="28"/>
          <w:szCs w:val="28"/>
        </w:rPr>
        <w:t>月</w:t>
      </w:r>
      <w:r>
        <w:rPr>
          <w:rFonts w:hint="eastAsia" w:ascii="宋体" w:hAnsi="宋体" w:cs="宋体"/>
          <w:color w:val="auto"/>
          <w:kern w:val="0"/>
          <w:sz w:val="28"/>
          <w:szCs w:val="28"/>
          <w:lang w:val="en-US" w:eastAsia="zh-CN"/>
        </w:rPr>
        <w:t>25</w:t>
      </w:r>
      <w:r>
        <w:rPr>
          <w:rFonts w:ascii="宋体" w:hAnsi="宋体" w:cs="宋体"/>
          <w:color w:val="auto"/>
          <w:kern w:val="0"/>
          <w:sz w:val="28"/>
          <w:szCs w:val="28"/>
        </w:rPr>
        <w:t xml:space="preserve">日 </w:t>
      </w:r>
    </w:p>
    <w:p>
      <w:pPr>
        <w:pStyle w:val="20"/>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微软雅黑" w:hAnsi="微软雅黑" w:eastAsia="微软雅黑"/>
          <w:color w:val="auto"/>
          <w:sz w:val="18"/>
          <w:szCs w:val="18"/>
        </w:rPr>
      </w:pPr>
      <w:r>
        <w:rPr>
          <w:rFonts w:cs="宋体"/>
          <w:color w:val="auto"/>
          <w:sz w:val="28"/>
          <w:szCs w:val="28"/>
        </w:rPr>
        <w:br w:type="page"/>
      </w:r>
      <w:r>
        <w:rPr>
          <w:rFonts w:hint="eastAsia" w:ascii="方正小标宋简体" w:hAnsi="微软雅黑" w:eastAsia="方正小标宋简体"/>
          <w:color w:val="auto"/>
          <w:sz w:val="44"/>
          <w:szCs w:val="44"/>
        </w:rPr>
        <w:t>规范安全生产中介行为的九条禁令</w:t>
      </w:r>
    </w:p>
    <w:p>
      <w:pPr>
        <w:pStyle w:val="20"/>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rPr>
          <w:rFonts w:hint="eastAsia" w:ascii="微软雅黑" w:hAnsi="微软雅黑" w:eastAsia="微软雅黑"/>
          <w:color w:val="auto"/>
          <w:sz w:val="18"/>
          <w:szCs w:val="18"/>
        </w:rPr>
      </w:pPr>
      <w:r>
        <w:rPr>
          <w:rFonts w:hint="eastAsia" w:ascii="微软雅黑" w:hAnsi="微软雅黑" w:eastAsia="微软雅黑"/>
          <w:color w:val="auto"/>
          <w:sz w:val="18"/>
          <w:szCs w:val="18"/>
        </w:rPr>
        <w:t xml:space="preserve">  </w:t>
      </w:r>
    </w:p>
    <w:p>
      <w:pPr>
        <w:ind w:firstLine="560" w:firstLineChars="200"/>
        <w:rPr>
          <w:rFonts w:hint="eastAsia"/>
          <w:color w:val="auto"/>
          <w:sz w:val="28"/>
          <w:szCs w:val="28"/>
        </w:rPr>
      </w:pPr>
      <w:r>
        <w:rPr>
          <w:rFonts w:hint="eastAsia"/>
          <w:color w:val="auto"/>
          <w:sz w:val="28"/>
          <w:szCs w:val="28"/>
        </w:rPr>
        <w:t xml:space="preserve">一、禁止从事安全生产和职业卫生服务的中介服务机构（以下统称中介机构）租借资质证书、非法挂靠、转包服务项目的行为； </w:t>
      </w:r>
    </w:p>
    <w:p>
      <w:pPr>
        <w:ind w:firstLine="560" w:firstLineChars="200"/>
        <w:rPr>
          <w:rFonts w:hint="eastAsia"/>
          <w:color w:val="auto"/>
          <w:sz w:val="28"/>
          <w:szCs w:val="28"/>
        </w:rPr>
      </w:pPr>
      <w:r>
        <w:rPr>
          <w:rFonts w:hint="eastAsia"/>
          <w:color w:val="auto"/>
          <w:sz w:val="28"/>
          <w:szCs w:val="28"/>
        </w:rPr>
        <w:t xml:space="preserve">二、禁止中介机构假借、冒用他人名义要求服务对象接受有偿服务，或者恶意低价竞争以及采取串标、围标等不正当竞争手段，扰乱技术服务市场秩序的行为； </w:t>
      </w:r>
    </w:p>
    <w:p>
      <w:pPr>
        <w:ind w:firstLine="560" w:firstLineChars="200"/>
        <w:rPr>
          <w:rFonts w:hint="eastAsia"/>
          <w:color w:val="auto"/>
          <w:sz w:val="28"/>
          <w:szCs w:val="28"/>
        </w:rPr>
      </w:pPr>
      <w:r>
        <w:rPr>
          <w:rFonts w:hint="eastAsia"/>
          <w:color w:val="auto"/>
          <w:sz w:val="28"/>
          <w:szCs w:val="28"/>
        </w:rPr>
        <w:t xml:space="preserve">三、禁止中介机构出具虚假或漏项、缺项技术报告的行为； </w:t>
      </w:r>
    </w:p>
    <w:p>
      <w:pPr>
        <w:ind w:firstLine="560" w:firstLineChars="200"/>
        <w:rPr>
          <w:rFonts w:hint="eastAsia"/>
          <w:color w:val="auto"/>
          <w:sz w:val="28"/>
          <w:szCs w:val="28"/>
        </w:rPr>
      </w:pPr>
      <w:r>
        <w:rPr>
          <w:rFonts w:hint="eastAsia"/>
          <w:color w:val="auto"/>
          <w:sz w:val="28"/>
          <w:szCs w:val="28"/>
        </w:rPr>
        <w:t xml:space="preserve">四、禁止中介机构出租、出借资格证书、在报告上冒用他人签名的行为； </w:t>
      </w:r>
    </w:p>
    <w:p>
      <w:pPr>
        <w:ind w:firstLine="560" w:firstLineChars="200"/>
        <w:rPr>
          <w:rFonts w:hint="eastAsia"/>
          <w:color w:val="auto"/>
          <w:sz w:val="28"/>
          <w:szCs w:val="28"/>
        </w:rPr>
      </w:pPr>
      <w:r>
        <w:rPr>
          <w:rFonts w:hint="eastAsia"/>
          <w:color w:val="auto"/>
          <w:sz w:val="28"/>
          <w:szCs w:val="28"/>
        </w:rPr>
        <w:t xml:space="preserve">五、禁止中介机构有应到而不到现场开展技术服务的行为； </w:t>
      </w:r>
    </w:p>
    <w:p>
      <w:pPr>
        <w:ind w:firstLine="560" w:firstLineChars="200"/>
        <w:rPr>
          <w:rFonts w:hint="eastAsia"/>
          <w:color w:val="auto"/>
          <w:sz w:val="28"/>
          <w:szCs w:val="28"/>
        </w:rPr>
      </w:pPr>
      <w:r>
        <w:rPr>
          <w:rFonts w:hint="eastAsia"/>
          <w:color w:val="auto"/>
          <w:sz w:val="28"/>
          <w:szCs w:val="28"/>
        </w:rPr>
        <w:t xml:space="preserve">六、禁止安全生产监管部门及其工作人员要求生产经营单位接受指定的中介机构开展技术服务的行为； </w:t>
      </w:r>
    </w:p>
    <w:p>
      <w:pPr>
        <w:ind w:firstLine="560" w:firstLineChars="200"/>
        <w:rPr>
          <w:rFonts w:hint="eastAsia"/>
          <w:color w:val="auto"/>
          <w:sz w:val="28"/>
          <w:szCs w:val="28"/>
        </w:rPr>
      </w:pPr>
      <w:r>
        <w:rPr>
          <w:rFonts w:hint="eastAsia"/>
          <w:color w:val="auto"/>
          <w:sz w:val="28"/>
          <w:szCs w:val="28"/>
        </w:rPr>
        <w:t xml:space="preserve">七、禁止安全生产监管部门及其工作人员没有法律依据组织由生产经营单位或机构支付费用的行政性评审的行为； </w:t>
      </w:r>
    </w:p>
    <w:p>
      <w:pPr>
        <w:ind w:firstLine="560" w:firstLineChars="200"/>
        <w:rPr>
          <w:rFonts w:hint="eastAsia"/>
          <w:color w:val="auto"/>
          <w:sz w:val="28"/>
          <w:szCs w:val="28"/>
        </w:rPr>
      </w:pPr>
      <w:r>
        <w:rPr>
          <w:rFonts w:hint="eastAsia"/>
          <w:color w:val="auto"/>
          <w:sz w:val="28"/>
          <w:szCs w:val="28"/>
        </w:rPr>
        <w:t xml:space="preserve">八、禁止安全生产监管部门及其工作人员干预市场定价，违规擅自出台技术服务收费标准的行为； </w:t>
      </w:r>
    </w:p>
    <w:p>
      <w:pPr>
        <w:ind w:firstLine="560" w:firstLineChars="200"/>
        <w:rPr>
          <w:color w:val="auto"/>
          <w:sz w:val="28"/>
          <w:szCs w:val="28"/>
        </w:rPr>
      </w:pPr>
      <w:r>
        <w:rPr>
          <w:rFonts w:hint="eastAsia"/>
          <w:color w:val="auto"/>
          <w:sz w:val="28"/>
          <w:szCs w:val="28"/>
        </w:rPr>
        <w:t>九、禁止安全生产监管部门及其工作人员参与、擅自干预中介机构从业活动，或者有获取不正当利益的行为。</w:t>
      </w:r>
    </w:p>
    <w:p>
      <w:pPr>
        <w:jc w:val="both"/>
        <w:rPr>
          <w:rFonts w:hint="eastAsia" w:ascii="宋体" w:hAnsi="宋体" w:cs="宋体"/>
          <w:color w:val="auto"/>
          <w:kern w:val="0"/>
          <w:sz w:val="28"/>
          <w:szCs w:val="28"/>
        </w:rPr>
      </w:pPr>
      <w:r>
        <w:rPr>
          <w:rFonts w:ascii="宋体" w:hAnsi="宋体" w:cs="宋体"/>
          <w:color w:val="auto"/>
          <w:kern w:val="0"/>
          <w:sz w:val="28"/>
          <w:szCs w:val="28"/>
        </w:rPr>
        <w:br w:type="page"/>
      </w:r>
    </w:p>
    <w:p>
      <w:pPr>
        <w:spacing w:line="600" w:lineRule="exact"/>
        <w:jc w:val="center"/>
        <w:rPr>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b/>
          <w:bCs/>
          <w:sz w:val="32"/>
          <w:szCs w:val="32"/>
        </w:rPr>
      </w:pPr>
      <w:r>
        <w:rPr>
          <w:b/>
          <w:bCs/>
          <w:sz w:val="32"/>
          <w:szCs w:val="32"/>
        </w:rPr>
        <w:t>评</w:t>
      </w:r>
      <w:r>
        <w:rPr>
          <w:rFonts w:hint="eastAsia"/>
          <w:b/>
          <w:bCs/>
          <w:sz w:val="32"/>
          <w:szCs w:val="32"/>
        </w:rPr>
        <w:t xml:space="preserve"> </w:t>
      </w:r>
      <w:r>
        <w:rPr>
          <w:b/>
          <w:bCs/>
          <w:sz w:val="32"/>
          <w:szCs w:val="32"/>
        </w:rPr>
        <w:t>价</w:t>
      </w:r>
      <w:r>
        <w:rPr>
          <w:rFonts w:hint="eastAsia"/>
          <w:b/>
          <w:bCs/>
          <w:sz w:val="32"/>
          <w:szCs w:val="32"/>
        </w:rPr>
        <w:t xml:space="preserve"> </w:t>
      </w:r>
      <w:r>
        <w:rPr>
          <w:b/>
          <w:bCs/>
          <w:sz w:val="32"/>
          <w:szCs w:val="32"/>
        </w:rPr>
        <w:t>人</w:t>
      </w:r>
      <w:r>
        <w:rPr>
          <w:rFonts w:hint="eastAsia"/>
          <w:b/>
          <w:bCs/>
          <w:sz w:val="32"/>
          <w:szCs w:val="32"/>
        </w:rPr>
        <w:t xml:space="preserve"> </w:t>
      </w:r>
      <w:r>
        <w:rPr>
          <w:b/>
          <w:bCs/>
          <w:sz w:val="32"/>
          <w:szCs w:val="32"/>
        </w:rPr>
        <w:t>员</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b/>
          <w:bCs/>
          <w:sz w:val="32"/>
          <w:szCs w:val="32"/>
        </w:rPr>
      </w:pPr>
    </w:p>
    <w:tbl>
      <w:tblPr>
        <w:tblStyle w:val="29"/>
        <w:tblW w:w="89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07"/>
        <w:gridCol w:w="1078"/>
        <w:gridCol w:w="3023"/>
        <w:gridCol w:w="1441"/>
        <w:gridCol w:w="14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atLeast"/>
          <w:jc w:val="center"/>
        </w:trPr>
        <w:tc>
          <w:tcPr>
            <w:tcW w:w="200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姓名</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职业资格证书编号</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从业信息识别卡编号</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签字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200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项目负责人</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cs="Times New Roman"/>
                <w:sz w:val="24"/>
              </w:rPr>
            </w:pPr>
            <w:r>
              <w:rPr>
                <w:rFonts w:ascii="Times New Roman" w:hAnsi="Times New Roman" w:cs="Times New Roman"/>
                <w:sz w:val="24"/>
              </w:rPr>
              <w:t>谢寒梅</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cs="Times New Roman"/>
                <w:sz w:val="24"/>
              </w:rPr>
            </w:pPr>
            <w:r>
              <w:rPr>
                <w:rFonts w:ascii="Times New Roman" w:hAnsi="Times New Roman" w:cs="Times New Roman"/>
                <w:bCs/>
                <w:sz w:val="24"/>
              </w:rPr>
              <w:t>S011035000110192001584</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cs="Times New Roman"/>
                <w:sz w:val="24"/>
              </w:rPr>
            </w:pPr>
            <w:r>
              <w:rPr>
                <w:rFonts w:ascii="Times New Roman" w:hAnsi="Times New Roman" w:cs="Times New Roman"/>
                <w:sz w:val="24"/>
              </w:rPr>
              <w:t>027089</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2007"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项目组成员</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谢寒梅</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bCs/>
                <w:sz w:val="24"/>
              </w:rPr>
              <w:t>S011035000110192001584</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027089</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2007"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罗沙浪</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S011035000110193001260</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036829</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2007"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王  波</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color w:val="000000"/>
                <w:sz w:val="24"/>
              </w:rPr>
              <w:t>S011035000110</w:t>
            </w:r>
            <w:r>
              <w:rPr>
                <w:rFonts w:hint="eastAsia"/>
                <w:color w:val="000000"/>
                <w:sz w:val="24"/>
                <w:lang w:val="en-US" w:eastAsia="zh-CN"/>
              </w:rPr>
              <w:t>202</w:t>
            </w:r>
            <w:r>
              <w:rPr>
                <w:color w:val="000000"/>
                <w:sz w:val="24"/>
              </w:rPr>
              <w:t>001</w:t>
            </w:r>
            <w:r>
              <w:rPr>
                <w:rFonts w:hint="eastAsia"/>
                <w:color w:val="000000"/>
                <w:sz w:val="24"/>
                <w:lang w:val="en-US" w:eastAsia="zh-CN"/>
              </w:rPr>
              <w:t>263</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040122</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2007"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黄伯扬</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1800000000300643</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032737</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2007"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sz w:val="24"/>
              </w:rPr>
              <w:t>郑  强</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sz w:val="24"/>
              </w:rPr>
              <w:t>0800000000101605</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sz w:val="24"/>
              </w:rPr>
              <w:t>001851</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3" w:hRule="atLeast"/>
          <w:jc w:val="center"/>
        </w:trPr>
        <w:tc>
          <w:tcPr>
            <w:tcW w:w="200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报告编制人</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sz w:val="24"/>
              </w:rPr>
              <w:t>郑  强</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sz w:val="24"/>
              </w:rPr>
              <w:t>0800000000101605</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sz w:val="24"/>
              </w:rPr>
              <w:t>001851</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200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报告审核人</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戴  磷</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1100000000200597</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019915</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200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过程控制负责人</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hint="eastAsia"/>
                <w:color w:val="000000"/>
                <w:sz w:val="24"/>
              </w:rPr>
              <w:t>王海波</w:t>
            </w:r>
          </w:p>
        </w:tc>
        <w:tc>
          <w:tcPr>
            <w:tcW w:w="302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hint="eastAsia"/>
                <w:color w:val="000000"/>
                <w:sz w:val="24"/>
              </w:rPr>
              <w:t>S011035000110201000579</w:t>
            </w:r>
          </w:p>
        </w:tc>
        <w:tc>
          <w:tcPr>
            <w:tcW w:w="144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Times New Roman" w:hAnsi="Times New Roman" w:eastAsia="宋体" w:cs="Times New Roman"/>
                <w:kern w:val="2"/>
                <w:sz w:val="24"/>
                <w:szCs w:val="28"/>
                <w:lang w:val="en-US" w:eastAsia="zh-CN" w:bidi="ar-SA"/>
              </w:rPr>
            </w:pPr>
            <w:r>
              <w:rPr>
                <w:color w:val="000000"/>
                <w:sz w:val="24"/>
              </w:rPr>
              <w:t>032727</w:t>
            </w:r>
          </w:p>
        </w:tc>
        <w:tc>
          <w:tcPr>
            <w:tcW w:w="1442"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5" w:hRule="atLeast"/>
          <w:jc w:val="center"/>
        </w:trPr>
        <w:tc>
          <w:tcPr>
            <w:tcW w:w="200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技术负责人</w:t>
            </w:r>
          </w:p>
        </w:tc>
        <w:tc>
          <w:tcPr>
            <w:tcW w:w="107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4"/>
                <w:lang w:val="en-US" w:eastAsia="zh-CN"/>
              </w:rPr>
            </w:pPr>
            <w:r>
              <w:rPr>
                <w:rFonts w:hint="eastAsia" w:cs="Times New Roman"/>
                <w:sz w:val="24"/>
                <w:lang w:val="en-US" w:eastAsia="zh-CN"/>
              </w:rPr>
              <w:t>应  宏</w:t>
            </w:r>
          </w:p>
        </w:tc>
        <w:tc>
          <w:tcPr>
            <w:tcW w:w="3023" w:type="dxa"/>
            <w:noWrap w:val="0"/>
            <w:vAlign w:val="center"/>
          </w:tcPr>
          <w:p>
            <w:pPr>
              <w:spacing w:line="400" w:lineRule="exact"/>
              <w:ind w:firstLine="480" w:firstLineChars="200"/>
              <w:jc w:val="both"/>
              <w:rPr>
                <w:rFonts w:ascii="Times New Roman" w:hAnsi="Times New Roman" w:cs="Times New Roman"/>
                <w:sz w:val="24"/>
              </w:rPr>
            </w:pPr>
            <w:r>
              <w:rPr>
                <w:rFonts w:hint="eastAsia"/>
                <w:sz w:val="24"/>
              </w:rPr>
              <w:t>0800000000101630</w:t>
            </w:r>
          </w:p>
        </w:tc>
        <w:tc>
          <w:tcPr>
            <w:tcW w:w="1441" w:type="dxa"/>
            <w:noWrap w:val="0"/>
            <w:vAlign w:val="center"/>
          </w:tcPr>
          <w:p>
            <w:pPr>
              <w:spacing w:line="400" w:lineRule="exact"/>
              <w:ind w:left="0" w:leftChars="0" w:firstLine="240" w:firstLineChars="100"/>
              <w:jc w:val="both"/>
              <w:rPr>
                <w:rFonts w:ascii="Times New Roman" w:hAnsi="Times New Roman" w:cs="Times New Roman"/>
                <w:sz w:val="24"/>
              </w:rPr>
            </w:pPr>
            <w:r>
              <w:rPr>
                <w:rFonts w:hint="eastAsia"/>
                <w:sz w:val="24"/>
              </w:rPr>
              <w:t>001630</w:t>
            </w:r>
          </w:p>
        </w:tc>
        <w:tc>
          <w:tcPr>
            <w:tcW w:w="1442" w:type="dxa"/>
            <w:noWrap w:val="0"/>
            <w:vAlign w:val="center"/>
          </w:tcPr>
          <w:p>
            <w:pPr>
              <w:jc w:val="center"/>
              <w:rPr>
                <w:rFonts w:ascii="Times New Roman" w:hAnsi="Times New Roman" w:cs="Times New Roman"/>
                <w:sz w:val="24"/>
              </w:rPr>
            </w:pPr>
          </w:p>
        </w:tc>
      </w:tr>
    </w:tbl>
    <w:p>
      <w:pPr>
        <w:rPr>
          <w:b/>
          <w:bCs/>
          <w:color w:val="auto"/>
          <w:sz w:val="32"/>
          <w:szCs w:val="32"/>
        </w:rPr>
      </w:pPr>
    </w:p>
    <w:p>
      <w:pPr>
        <w:rPr>
          <w:b/>
          <w:bCs/>
          <w:color w:val="auto"/>
          <w:sz w:val="32"/>
          <w:szCs w:val="32"/>
        </w:rPr>
      </w:pPr>
    </w:p>
    <w:p>
      <w:pPr>
        <w:rPr>
          <w:b/>
          <w:bCs/>
          <w:color w:val="auto"/>
          <w:sz w:val="32"/>
          <w:szCs w:val="32"/>
        </w:rPr>
      </w:pPr>
    </w:p>
    <w:p>
      <w:pPr>
        <w:rPr>
          <w:b/>
          <w:bCs/>
          <w:color w:val="auto"/>
          <w:sz w:val="32"/>
          <w:szCs w:val="32"/>
        </w:rPr>
      </w:pPr>
    </w:p>
    <w:p>
      <w:pPr>
        <w:rPr>
          <w:b/>
          <w:bCs/>
          <w:color w:val="auto"/>
          <w:sz w:val="32"/>
          <w:szCs w:val="32"/>
        </w:rPr>
      </w:pPr>
    </w:p>
    <w:p>
      <w:pPr>
        <w:rPr>
          <w:b/>
          <w:bCs/>
          <w:color w:val="auto"/>
          <w:sz w:val="32"/>
          <w:szCs w:val="32"/>
        </w:rPr>
      </w:pPr>
    </w:p>
    <w:p>
      <w:pPr>
        <w:keepNext w:val="0"/>
        <w:keepLines w:val="0"/>
        <w:pageBreakBefore w:val="0"/>
        <w:widowControl w:val="0"/>
        <w:kinsoku/>
        <w:wordWrap w:val="0"/>
        <w:overflowPunct/>
        <w:topLinePunct w:val="0"/>
        <w:autoSpaceDE/>
        <w:autoSpaceDN/>
        <w:bidi w:val="0"/>
        <w:adjustRightInd w:val="0"/>
        <w:snapToGrid w:val="0"/>
        <w:spacing w:line="600" w:lineRule="exact"/>
        <w:ind w:firstLine="0" w:firstLineChars="0"/>
        <w:jc w:val="center"/>
        <w:textAlignment w:val="center"/>
        <w:rPr>
          <w:b/>
          <w:bCs/>
          <w:color w:val="auto"/>
          <w:sz w:val="28"/>
          <w:szCs w:val="28"/>
        </w:rPr>
      </w:pPr>
      <w:r>
        <w:rPr>
          <w:b/>
          <w:bCs/>
          <w:color w:val="auto"/>
          <w:sz w:val="32"/>
          <w:szCs w:val="32"/>
        </w:rPr>
        <w:t>前</w:t>
      </w:r>
      <w:r>
        <w:rPr>
          <w:rFonts w:hint="eastAsia"/>
          <w:b/>
          <w:bCs/>
          <w:color w:val="auto"/>
          <w:sz w:val="32"/>
          <w:szCs w:val="32"/>
          <w:lang w:val="en-US" w:eastAsia="zh-CN"/>
        </w:rPr>
        <w:t xml:space="preserve">   </w:t>
      </w:r>
      <w:r>
        <w:rPr>
          <w:b/>
          <w:bCs/>
          <w:color w:val="auto"/>
          <w:sz w:val="32"/>
          <w:szCs w:val="32"/>
        </w:rPr>
        <w:t>言</w:t>
      </w:r>
    </w:p>
    <w:p>
      <w:pPr>
        <w:ind w:firstLine="560" w:firstLineChars="200"/>
        <w:rPr>
          <w:rFonts w:hint="default" w:eastAsia="宋体"/>
          <w:color w:val="auto"/>
          <w:sz w:val="28"/>
          <w:szCs w:val="28"/>
          <w:lang w:val="en-US" w:eastAsia="zh-CN"/>
        </w:rPr>
      </w:pPr>
      <w:r>
        <w:rPr>
          <w:rFonts w:hint="eastAsia"/>
          <w:color w:val="auto"/>
          <w:sz w:val="28"/>
          <w:szCs w:val="28"/>
          <w:lang w:val="en-US" w:eastAsia="zh-CN"/>
        </w:rPr>
        <w:t>电动汽车具有零排放、无污染、能耗低、能源转换利用率高等优点，我国电动汽车产业已进入快速发展新阶段。2023年2月3日，工信部网站发布了《关于组织开展公共领域车辆全面电动化先行区试点工作的通知》要求，新增公共充电桩(标准桩)与公共领域新能源汽车推广数量(标准车)比例力争达到1:1，高速公路服务区充电设施车位占比预期不低于小型停车位的10%等。2023年5月17日，国家发展改革委、国家能源局发布《关于加快推进充电基础设施建设更好支持新能源汽车下乡和乡村振兴的实施意见》，提出加强公共充电基础设施布局建设。支持地方政府结合实际开展县乡公共充电网络规划，并做好与国土空间规划、配电网规划等的衔接，加快实现适宜使用新能源汽车的地区充电站“县县全覆盖”、充电桩“乡乡全覆盖”。2023年6月，国务院办公厅印发《关于进一步构建高质量充电基础设施体系的指导意见》。《指导意见》提出，到2030年，基本建成覆盖广泛、规模适度、结构合理、功能完善的高质量充电基础设施体系，有力支撑新能源汽车产业发展，有效满足人民群众出行充电需求。</w:t>
      </w:r>
    </w:p>
    <w:p>
      <w:pPr>
        <w:ind w:firstLine="560" w:firstLineChars="200"/>
        <w:rPr>
          <w:rFonts w:hint="eastAsia"/>
          <w:color w:val="auto"/>
          <w:sz w:val="28"/>
          <w:szCs w:val="28"/>
          <w:lang w:val="en-US" w:eastAsia="zh-CN"/>
        </w:rPr>
      </w:pPr>
      <w:r>
        <w:rPr>
          <w:rFonts w:hint="eastAsia"/>
          <w:color w:val="auto"/>
          <w:sz w:val="28"/>
          <w:szCs w:val="28"/>
        </w:rPr>
        <w:t>中国石化销售股份有限公司江西</w:t>
      </w:r>
      <w:r>
        <w:rPr>
          <w:rFonts w:hint="eastAsia"/>
          <w:color w:val="auto"/>
          <w:sz w:val="28"/>
          <w:szCs w:val="28"/>
          <w:lang w:val="en-US" w:eastAsia="zh-CN"/>
        </w:rPr>
        <w:t>上饶</w:t>
      </w:r>
      <w:r>
        <w:rPr>
          <w:rFonts w:hint="eastAsia"/>
          <w:color w:val="auto"/>
          <w:sz w:val="28"/>
          <w:szCs w:val="28"/>
        </w:rPr>
        <w:t>石油分公司</w:t>
      </w:r>
      <w:r>
        <w:rPr>
          <w:rFonts w:hint="eastAsia"/>
          <w:color w:val="auto"/>
          <w:sz w:val="28"/>
          <w:szCs w:val="28"/>
          <w:lang w:val="en-US" w:eastAsia="zh-CN"/>
        </w:rPr>
        <w:t>为响应国家发展布局，满足市场及自身发展需要，拟对</w:t>
      </w:r>
      <w:r>
        <w:rPr>
          <w:rFonts w:hint="eastAsia"/>
          <w:color w:val="auto"/>
          <w:sz w:val="28"/>
          <w:szCs w:val="28"/>
          <w:lang w:eastAsia="zh-CN"/>
        </w:rPr>
        <w:t>中国石化销售股份有限公司江西上饶市广信石油分公司第五加油站</w:t>
      </w:r>
      <w:r>
        <w:rPr>
          <w:rFonts w:hint="eastAsia"/>
          <w:color w:val="auto"/>
          <w:sz w:val="28"/>
          <w:szCs w:val="28"/>
          <w:lang w:val="en-US" w:eastAsia="zh-CN"/>
        </w:rPr>
        <w:t>进行改建，一期项目为</w:t>
      </w:r>
      <w:r>
        <w:rPr>
          <w:rFonts w:hint="eastAsia"/>
          <w:color w:val="auto"/>
          <w:lang w:val="en-US" w:eastAsia="zh-CN"/>
        </w:rPr>
        <w:t>中国石化销售股份有限公司江西上饶市广信石油分公司第五加油站改造项目（加油站）</w:t>
      </w:r>
      <w:r>
        <w:rPr>
          <w:rFonts w:hint="eastAsia"/>
          <w:color w:val="auto"/>
          <w:sz w:val="28"/>
          <w:szCs w:val="28"/>
          <w:lang w:val="en-US" w:eastAsia="zh-CN"/>
        </w:rPr>
        <w:t>，二期项目为</w:t>
      </w:r>
      <w:r>
        <w:rPr>
          <w:rFonts w:hint="eastAsia"/>
          <w:color w:val="auto"/>
          <w:lang w:val="en-US" w:eastAsia="zh-CN"/>
        </w:rPr>
        <w:t>中国石化销售股份有限公司江西上饶市广信石油分公司第五加油站改造项目（充电站）</w:t>
      </w:r>
      <w:r>
        <w:rPr>
          <w:rFonts w:hint="eastAsia"/>
          <w:color w:val="auto"/>
          <w:sz w:val="28"/>
          <w:szCs w:val="28"/>
          <w:lang w:val="en-US" w:eastAsia="zh-CN"/>
        </w:rPr>
        <w:t>，二期充电站的建设规模：1）新设入口道闸2个，出口道闸2个；2）新设60kw快充停车位90个；3）新设1600kva箱式变压器4座，相关的充电设备进行配套；4）场地进行硬化处理，硬化面积为3292m</w:t>
      </w:r>
      <w:r>
        <w:rPr>
          <w:rFonts w:hint="eastAsia"/>
          <w:color w:val="auto"/>
          <w:sz w:val="28"/>
          <w:szCs w:val="28"/>
          <w:vertAlign w:val="superscript"/>
          <w:lang w:val="en-US" w:eastAsia="zh-CN"/>
        </w:rPr>
        <w:t>2</w:t>
      </w:r>
      <w:r>
        <w:rPr>
          <w:rFonts w:hint="eastAsia"/>
          <w:color w:val="auto"/>
          <w:sz w:val="28"/>
          <w:szCs w:val="28"/>
          <w:lang w:val="en-US" w:eastAsia="zh-CN"/>
        </w:rPr>
        <w:t>。</w:t>
      </w:r>
    </w:p>
    <w:p>
      <w:pPr>
        <w:widowControl/>
        <w:spacing w:line="620" w:lineRule="exact"/>
        <w:ind w:firstLine="560" w:firstLineChars="200"/>
        <w:jc w:val="left"/>
        <w:rPr>
          <w:color w:val="auto"/>
          <w:sz w:val="28"/>
          <w:szCs w:val="28"/>
        </w:rPr>
      </w:pPr>
      <w:r>
        <w:rPr>
          <w:color w:val="auto"/>
          <w:sz w:val="28"/>
          <w:szCs w:val="28"/>
        </w:rPr>
        <w:t>根据《中华人民共和国安全生产法》（中华人民共和国主席令第</w:t>
      </w:r>
      <w:r>
        <w:rPr>
          <w:rFonts w:hint="eastAsia"/>
          <w:color w:val="auto"/>
          <w:sz w:val="28"/>
          <w:szCs w:val="28"/>
        </w:rPr>
        <w:t>88</w:t>
      </w:r>
      <w:r>
        <w:rPr>
          <w:color w:val="auto"/>
          <w:sz w:val="28"/>
          <w:szCs w:val="28"/>
        </w:rPr>
        <w:t>号）</w:t>
      </w:r>
      <w:r>
        <w:rPr>
          <w:rFonts w:hint="eastAsia"/>
          <w:color w:val="auto"/>
          <w:sz w:val="28"/>
          <w:szCs w:val="28"/>
        </w:rPr>
        <w:t>、</w:t>
      </w:r>
      <w:r>
        <w:rPr>
          <w:color w:val="auto"/>
          <w:sz w:val="28"/>
          <w:szCs w:val="28"/>
        </w:rPr>
        <w:t>《</w:t>
      </w:r>
      <w:r>
        <w:rPr>
          <w:rFonts w:hint="eastAsia"/>
          <w:color w:val="auto"/>
          <w:sz w:val="28"/>
          <w:szCs w:val="28"/>
          <w:lang w:val="en-US" w:eastAsia="zh-CN"/>
        </w:rPr>
        <w:t>建设项目安全设施“三同时”监督管理办法</w:t>
      </w:r>
      <w:r>
        <w:rPr>
          <w:color w:val="auto"/>
          <w:sz w:val="28"/>
          <w:szCs w:val="28"/>
        </w:rPr>
        <w:t>》（</w:t>
      </w:r>
      <w:r>
        <w:rPr>
          <w:rFonts w:hint="eastAsia"/>
          <w:color w:val="auto"/>
          <w:sz w:val="28"/>
          <w:szCs w:val="28"/>
          <w:lang w:val="en-US" w:eastAsia="zh-CN"/>
        </w:rPr>
        <w:t>安监总局第36号发布，第77号令修订</w:t>
      </w:r>
      <w:r>
        <w:rPr>
          <w:color w:val="auto"/>
          <w:sz w:val="28"/>
          <w:szCs w:val="28"/>
        </w:rPr>
        <w:t>）</w:t>
      </w:r>
      <w:r>
        <w:rPr>
          <w:rFonts w:hint="eastAsia"/>
          <w:color w:val="auto"/>
          <w:sz w:val="28"/>
          <w:szCs w:val="28"/>
          <w:lang w:val="en-US" w:eastAsia="zh-CN"/>
        </w:rPr>
        <w:t>等法律、法规、规章的规定，该项目在可行性研究阶段，在设计和施工之前需进行安全预评价</w:t>
      </w:r>
      <w:r>
        <w:rPr>
          <w:color w:val="auto"/>
          <w:kern w:val="0"/>
          <w:sz w:val="28"/>
          <w:szCs w:val="28"/>
        </w:rPr>
        <w:t>。</w:t>
      </w:r>
    </w:p>
    <w:p>
      <w:pPr>
        <w:pStyle w:val="10"/>
        <w:spacing w:before="0" w:beforeAutospacing="0" w:after="0" w:afterAutospacing="0" w:line="600" w:lineRule="exact"/>
        <w:ind w:firstLine="560" w:firstLineChars="200"/>
        <w:jc w:val="both"/>
        <w:rPr>
          <w:rFonts w:hint="eastAsia" w:ascii="Times New Roman" w:eastAsia="新宋体"/>
          <w:color w:val="auto"/>
          <w:sz w:val="28"/>
          <w:szCs w:val="28"/>
          <w:lang w:val="en-US" w:eastAsia="zh-CN"/>
        </w:rPr>
      </w:pPr>
      <w:r>
        <w:rPr>
          <w:rFonts w:ascii="Times New Roman" w:eastAsia="新宋体"/>
          <w:color w:val="auto"/>
          <w:sz w:val="28"/>
          <w:szCs w:val="28"/>
        </w:rPr>
        <w:t>江西赣安安全生产科学技术咨询服务中心</w:t>
      </w:r>
      <w:r>
        <w:rPr>
          <w:rFonts w:hint="eastAsia" w:ascii="Times New Roman" w:eastAsia="新宋体"/>
          <w:color w:val="auto"/>
          <w:sz w:val="28"/>
          <w:szCs w:val="28"/>
          <w:lang w:eastAsia="zh-CN"/>
        </w:rPr>
        <w:t>（</w:t>
      </w:r>
      <w:r>
        <w:rPr>
          <w:rFonts w:hint="eastAsia" w:ascii="Times New Roman" w:eastAsia="新宋体"/>
          <w:color w:val="auto"/>
          <w:sz w:val="28"/>
          <w:szCs w:val="28"/>
          <w:lang w:val="en-US" w:eastAsia="zh-CN"/>
        </w:rPr>
        <w:t>以下简称“我中心”</w:t>
      </w:r>
      <w:r>
        <w:rPr>
          <w:rFonts w:hint="eastAsia" w:ascii="Times New Roman" w:eastAsia="新宋体"/>
          <w:color w:val="auto"/>
          <w:sz w:val="28"/>
          <w:szCs w:val="28"/>
          <w:lang w:eastAsia="zh-CN"/>
        </w:rPr>
        <w:t>）</w:t>
      </w:r>
      <w:r>
        <w:rPr>
          <w:rFonts w:ascii="Times New Roman" w:eastAsia="新宋体"/>
          <w:color w:val="auto"/>
          <w:sz w:val="28"/>
          <w:szCs w:val="28"/>
        </w:rPr>
        <w:t>受</w:t>
      </w:r>
      <w:r>
        <w:rPr>
          <w:rFonts w:ascii="Times New Roman"/>
          <w:color w:val="auto"/>
          <w:sz w:val="28"/>
          <w:szCs w:val="28"/>
        </w:rPr>
        <w:t>中国石化销售股份有限公司江西</w:t>
      </w:r>
      <w:r>
        <w:rPr>
          <w:rFonts w:hint="eastAsia" w:ascii="Times New Roman"/>
          <w:color w:val="auto"/>
          <w:sz w:val="28"/>
          <w:szCs w:val="28"/>
          <w:lang w:val="en-US" w:eastAsia="zh-CN"/>
        </w:rPr>
        <w:t>上饶</w:t>
      </w:r>
      <w:r>
        <w:rPr>
          <w:rFonts w:ascii="Times New Roman"/>
          <w:color w:val="auto"/>
          <w:sz w:val="28"/>
          <w:szCs w:val="28"/>
        </w:rPr>
        <w:t>石油分公司</w:t>
      </w:r>
      <w:r>
        <w:rPr>
          <w:rFonts w:ascii="Times New Roman" w:eastAsia="新宋体"/>
          <w:color w:val="auto"/>
          <w:sz w:val="28"/>
          <w:szCs w:val="28"/>
        </w:rPr>
        <w:t>的委托，</w:t>
      </w:r>
      <w:r>
        <w:rPr>
          <w:rFonts w:hint="eastAsia" w:ascii="Times New Roman" w:eastAsia="新宋体"/>
          <w:color w:val="auto"/>
          <w:sz w:val="28"/>
          <w:szCs w:val="28"/>
          <w:lang w:val="en-US" w:eastAsia="zh-CN"/>
        </w:rPr>
        <w:t>承担该项目的安全预评价工作。</w:t>
      </w:r>
    </w:p>
    <w:p>
      <w:pPr>
        <w:pStyle w:val="10"/>
        <w:spacing w:before="0" w:beforeAutospacing="0" w:after="0" w:afterAutospacing="0" w:line="600" w:lineRule="exact"/>
        <w:ind w:firstLine="560" w:firstLineChars="200"/>
        <w:jc w:val="both"/>
        <w:rPr>
          <w:rFonts w:hint="eastAsia" w:ascii="Times New Roman" w:hAnsi="Times New Roman" w:eastAsia="新宋体"/>
          <w:color w:val="auto"/>
          <w:sz w:val="28"/>
          <w:szCs w:val="28"/>
        </w:rPr>
      </w:pPr>
      <w:r>
        <w:rPr>
          <w:rFonts w:hint="eastAsia" w:ascii="Times New Roman" w:eastAsia="新宋体"/>
          <w:color w:val="auto"/>
          <w:sz w:val="28"/>
          <w:szCs w:val="28"/>
          <w:lang w:val="en-US" w:eastAsia="zh-CN"/>
        </w:rPr>
        <w:t>2023年11月8日，我中心</w:t>
      </w:r>
      <w:r>
        <w:rPr>
          <w:rFonts w:ascii="Times New Roman" w:eastAsia="新宋体"/>
          <w:color w:val="auto"/>
          <w:sz w:val="28"/>
          <w:szCs w:val="28"/>
        </w:rPr>
        <w:t>组织</w:t>
      </w:r>
      <w:r>
        <w:rPr>
          <w:rFonts w:hint="eastAsia" w:ascii="Times New Roman" w:eastAsia="新宋体"/>
          <w:color w:val="auto"/>
          <w:sz w:val="28"/>
          <w:szCs w:val="28"/>
        </w:rPr>
        <w:t>专家小组</w:t>
      </w:r>
      <w:r>
        <w:rPr>
          <w:rFonts w:hint="eastAsia" w:ascii="Times New Roman" w:eastAsia="新宋体"/>
          <w:color w:val="auto"/>
          <w:sz w:val="28"/>
          <w:szCs w:val="28"/>
          <w:lang w:val="en-US" w:eastAsia="zh-CN"/>
        </w:rPr>
        <w:t>进行了实地勘察和资料收集工作。根据收集和整理相关技术资料，对照相关安全的法律、法规、规章和技术标准</w:t>
      </w:r>
      <w:r>
        <w:rPr>
          <w:rFonts w:ascii="Times New Roman" w:eastAsia="新宋体"/>
          <w:color w:val="auto"/>
          <w:sz w:val="28"/>
          <w:szCs w:val="28"/>
        </w:rPr>
        <w:t>，依据</w:t>
      </w:r>
      <w:r>
        <w:rPr>
          <w:rFonts w:ascii="Times New Roman"/>
          <w:color w:val="auto"/>
          <w:sz w:val="28"/>
          <w:szCs w:val="28"/>
        </w:rPr>
        <w:t>《安全评价通则》</w:t>
      </w:r>
      <w:r>
        <w:rPr>
          <w:rFonts w:hint="eastAsia" w:ascii="Times New Roman"/>
          <w:color w:val="auto"/>
          <w:sz w:val="28"/>
          <w:szCs w:val="28"/>
          <w:lang w:eastAsia="zh-CN"/>
        </w:rPr>
        <w:t>（</w:t>
      </w:r>
      <w:r>
        <w:rPr>
          <w:rFonts w:ascii="Times New Roman" w:hAnsi="Times New Roman"/>
          <w:color w:val="auto"/>
          <w:sz w:val="28"/>
          <w:szCs w:val="28"/>
        </w:rPr>
        <w:t>AQ8001-2007</w:t>
      </w:r>
      <w:r>
        <w:rPr>
          <w:rFonts w:hint="eastAsia" w:ascii="Times New Roman"/>
          <w:color w:val="auto"/>
          <w:sz w:val="28"/>
          <w:szCs w:val="28"/>
          <w:lang w:eastAsia="zh-CN"/>
        </w:rPr>
        <w:t>）</w:t>
      </w:r>
      <w:r>
        <w:rPr>
          <w:rFonts w:ascii="Times New Roman"/>
          <w:color w:val="auto"/>
          <w:sz w:val="28"/>
          <w:szCs w:val="28"/>
        </w:rPr>
        <w:t>及</w:t>
      </w:r>
      <w:r>
        <w:rPr>
          <w:rFonts w:hint="eastAsia" w:ascii="Times New Roman"/>
          <w:color w:val="auto"/>
          <w:sz w:val="28"/>
          <w:szCs w:val="28"/>
          <w:lang w:eastAsia="zh-CN"/>
        </w:rPr>
        <w:t>《</w:t>
      </w:r>
      <w:r>
        <w:rPr>
          <w:rFonts w:hint="eastAsia" w:ascii="Times New Roman"/>
          <w:color w:val="auto"/>
          <w:sz w:val="28"/>
          <w:szCs w:val="28"/>
          <w:lang w:val="en-US" w:eastAsia="zh-CN"/>
        </w:rPr>
        <w:t>安全预评价导则</w:t>
      </w:r>
      <w:r>
        <w:rPr>
          <w:rFonts w:hint="eastAsia" w:ascii="Times New Roman"/>
          <w:color w:val="auto"/>
          <w:sz w:val="28"/>
          <w:szCs w:val="28"/>
          <w:lang w:eastAsia="zh-CN"/>
        </w:rPr>
        <w:t>》（</w:t>
      </w:r>
      <w:r>
        <w:rPr>
          <w:rFonts w:ascii="Times New Roman" w:hAnsi="Times New Roman"/>
          <w:color w:val="auto"/>
          <w:sz w:val="28"/>
          <w:szCs w:val="28"/>
        </w:rPr>
        <w:t>AQ800</w:t>
      </w:r>
      <w:r>
        <w:rPr>
          <w:rFonts w:hint="eastAsia" w:ascii="Times New Roman" w:hAnsi="Times New Roman"/>
          <w:color w:val="auto"/>
          <w:sz w:val="28"/>
          <w:szCs w:val="28"/>
          <w:lang w:val="en-US" w:eastAsia="zh-CN"/>
        </w:rPr>
        <w:t>2</w:t>
      </w:r>
      <w:r>
        <w:rPr>
          <w:rFonts w:ascii="Times New Roman" w:hAnsi="Times New Roman"/>
          <w:color w:val="auto"/>
          <w:sz w:val="28"/>
          <w:szCs w:val="28"/>
        </w:rPr>
        <w:t>-2007</w:t>
      </w:r>
      <w:r>
        <w:rPr>
          <w:rFonts w:hint="eastAsia" w:ascii="Times New Roman"/>
          <w:color w:val="auto"/>
          <w:sz w:val="28"/>
          <w:szCs w:val="28"/>
          <w:lang w:eastAsia="zh-CN"/>
        </w:rPr>
        <w:t>）</w:t>
      </w:r>
      <w:r>
        <w:rPr>
          <w:rFonts w:ascii="Times New Roman"/>
          <w:color w:val="auto"/>
          <w:sz w:val="28"/>
          <w:szCs w:val="28"/>
        </w:rPr>
        <w:t>安全评价标准</w:t>
      </w:r>
      <w:r>
        <w:rPr>
          <w:rFonts w:ascii="Times New Roman" w:eastAsia="新宋体"/>
          <w:color w:val="auto"/>
          <w:sz w:val="28"/>
          <w:szCs w:val="28"/>
        </w:rPr>
        <w:t>编制安全评价报告</w:t>
      </w:r>
      <w:r>
        <w:rPr>
          <w:rFonts w:hint="eastAsia" w:ascii="Times New Roman" w:hAnsi="Times New Roman" w:eastAsia="新宋体"/>
          <w:color w:val="auto"/>
          <w:sz w:val="28"/>
          <w:szCs w:val="28"/>
        </w:rPr>
        <w:t>。</w:t>
      </w:r>
    </w:p>
    <w:p>
      <w:pPr>
        <w:pStyle w:val="10"/>
        <w:spacing w:before="0" w:beforeAutospacing="0" w:after="0" w:afterAutospacing="0" w:line="600" w:lineRule="exact"/>
        <w:ind w:firstLine="560" w:firstLineChars="200"/>
        <w:jc w:val="both"/>
        <w:rPr>
          <w:rFonts w:ascii="Times New Roman" w:hAnsi="Times New Roman" w:eastAsia="新宋体"/>
          <w:color w:val="auto"/>
          <w:sz w:val="28"/>
          <w:szCs w:val="28"/>
        </w:rPr>
      </w:pPr>
      <w:r>
        <w:rPr>
          <w:rFonts w:hint="eastAsia" w:ascii="Times New Roman" w:hAnsi="Times New Roman" w:eastAsia="新宋体"/>
          <w:color w:val="auto"/>
          <w:sz w:val="28"/>
          <w:szCs w:val="28"/>
          <w:lang w:val="en-US" w:eastAsia="zh-CN"/>
        </w:rPr>
        <w:t>委托方所提供的各类证件、文件、资料、图纸等附件，作为本次评价的重要参考依据，委托方应对其真实性、有效性负责，我中心对当时条件下做出的安全评价结果负责。</w:t>
      </w:r>
      <w:r>
        <w:rPr>
          <w:rFonts w:ascii="Times New Roman" w:eastAsia="新宋体"/>
          <w:color w:val="auto"/>
          <w:sz w:val="28"/>
          <w:szCs w:val="28"/>
        </w:rPr>
        <w:t>在评价过程中，得到了</w:t>
      </w:r>
      <w:r>
        <w:rPr>
          <w:rFonts w:hint="eastAsia" w:ascii="Times New Roman" w:eastAsia="新宋体"/>
          <w:color w:val="auto"/>
          <w:sz w:val="28"/>
          <w:szCs w:val="28"/>
        </w:rPr>
        <w:t>中国石化销售股份有限公司江西</w:t>
      </w:r>
      <w:r>
        <w:rPr>
          <w:rFonts w:hint="eastAsia" w:ascii="Times New Roman" w:eastAsia="新宋体"/>
          <w:color w:val="auto"/>
          <w:sz w:val="28"/>
          <w:szCs w:val="28"/>
          <w:lang w:val="en-US" w:eastAsia="zh-CN"/>
        </w:rPr>
        <w:t>上饶市广信</w:t>
      </w:r>
      <w:r>
        <w:rPr>
          <w:rFonts w:hint="eastAsia" w:ascii="Times New Roman" w:eastAsia="新宋体"/>
          <w:color w:val="auto"/>
          <w:sz w:val="28"/>
          <w:szCs w:val="28"/>
        </w:rPr>
        <w:t>石油分公司</w:t>
      </w:r>
      <w:r>
        <w:rPr>
          <w:rFonts w:hint="eastAsia" w:ascii="Times New Roman" w:eastAsia="新宋体"/>
          <w:color w:val="auto"/>
          <w:sz w:val="28"/>
          <w:szCs w:val="28"/>
          <w:lang w:val="en-US" w:eastAsia="zh-CN"/>
        </w:rPr>
        <w:t>第五加油站</w:t>
      </w:r>
      <w:r>
        <w:rPr>
          <w:rFonts w:ascii="Times New Roman" w:eastAsia="新宋体"/>
          <w:color w:val="auto"/>
          <w:sz w:val="28"/>
          <w:szCs w:val="28"/>
        </w:rPr>
        <w:t>的大力支持。评价组全体成员对此表示感谢。</w:t>
      </w:r>
    </w:p>
    <w:p>
      <w:pPr>
        <w:adjustRightInd w:val="0"/>
        <w:snapToGrid w:val="0"/>
        <w:spacing w:line="600" w:lineRule="exact"/>
        <w:jc w:val="center"/>
        <w:textAlignment w:val="center"/>
        <w:rPr>
          <w:b/>
          <w:bCs/>
          <w:color w:val="auto"/>
          <w:sz w:val="32"/>
          <w:szCs w:val="32"/>
        </w:rPr>
      </w:pPr>
      <w:r>
        <w:rPr>
          <w:b/>
          <w:color w:val="auto"/>
          <w:sz w:val="28"/>
          <w:szCs w:val="28"/>
        </w:rPr>
        <w:br w:type="page"/>
      </w:r>
      <w:r>
        <w:rPr>
          <w:b/>
          <w:bCs/>
          <w:color w:val="auto"/>
          <w:sz w:val="32"/>
          <w:szCs w:val="32"/>
        </w:rPr>
        <w:t>目</w:t>
      </w:r>
      <w:r>
        <w:rPr>
          <w:rFonts w:hint="eastAsia"/>
          <w:b/>
          <w:bCs/>
          <w:color w:val="auto"/>
          <w:sz w:val="32"/>
          <w:szCs w:val="32"/>
        </w:rPr>
        <w:t xml:space="preserve">  </w:t>
      </w:r>
      <w:r>
        <w:rPr>
          <w:b/>
          <w:bCs/>
          <w:color w:val="auto"/>
          <w:sz w:val="32"/>
          <w:szCs w:val="32"/>
        </w:rPr>
        <w:t>录</w:t>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TOC \o "1-3" \h \u </w:instrText>
      </w:r>
      <w:r>
        <w:rPr>
          <w:b/>
          <w:bCs/>
          <w:color w:val="auto"/>
          <w:sz w:val="24"/>
          <w:szCs w:val="24"/>
        </w:rPr>
        <w:fldChar w:fldCharType="separate"/>
      </w:r>
      <w:r>
        <w:rPr>
          <w:b/>
          <w:bCs/>
          <w:color w:val="auto"/>
          <w:sz w:val="24"/>
          <w:szCs w:val="24"/>
        </w:rPr>
        <w:fldChar w:fldCharType="begin"/>
      </w:r>
      <w:r>
        <w:rPr>
          <w:b/>
          <w:bCs/>
          <w:color w:val="auto"/>
          <w:sz w:val="24"/>
          <w:szCs w:val="24"/>
        </w:rPr>
        <w:instrText xml:space="preserve"> HYPERLINK \l _Toc13845 </w:instrText>
      </w:r>
      <w:r>
        <w:rPr>
          <w:b/>
          <w:bCs/>
          <w:color w:val="auto"/>
          <w:sz w:val="24"/>
          <w:szCs w:val="24"/>
        </w:rPr>
        <w:fldChar w:fldCharType="separate"/>
      </w:r>
      <w:r>
        <w:rPr>
          <w:b/>
          <w:bCs/>
          <w:color w:val="auto"/>
          <w:sz w:val="24"/>
          <w:szCs w:val="24"/>
        </w:rPr>
        <w:t>1</w:t>
      </w:r>
      <w:r>
        <w:rPr>
          <w:rFonts w:hint="eastAsia" w:ascii="宋体" w:hAnsi="宋体" w:eastAsia="宋体" w:cs="宋体"/>
          <w:b/>
          <w:bCs/>
          <w:color w:val="auto"/>
          <w:sz w:val="24"/>
          <w:szCs w:val="24"/>
        </w:rPr>
        <w:t>评价概述</w:t>
      </w:r>
      <w:r>
        <w:rPr>
          <w:b/>
          <w:bCs/>
          <w:color w:val="auto"/>
          <w:sz w:val="24"/>
          <w:szCs w:val="24"/>
        </w:rPr>
        <w:tab/>
      </w:r>
      <w:r>
        <w:rPr>
          <w:b/>
          <w:bCs/>
          <w:color w:val="auto"/>
          <w:sz w:val="24"/>
          <w:szCs w:val="24"/>
        </w:rPr>
        <w:fldChar w:fldCharType="begin"/>
      </w:r>
      <w:r>
        <w:rPr>
          <w:b/>
          <w:bCs/>
          <w:color w:val="auto"/>
          <w:sz w:val="24"/>
          <w:szCs w:val="24"/>
        </w:rPr>
        <w:instrText xml:space="preserve"> PAGEREF _Toc13845 \h </w:instrText>
      </w:r>
      <w:r>
        <w:rPr>
          <w:b/>
          <w:bCs/>
          <w:color w:val="auto"/>
          <w:sz w:val="24"/>
          <w:szCs w:val="24"/>
        </w:rPr>
        <w:fldChar w:fldCharType="separate"/>
      </w:r>
      <w:r>
        <w:rPr>
          <w:b/>
          <w:bCs/>
          <w:color w:val="auto"/>
          <w:sz w:val="24"/>
          <w:szCs w:val="24"/>
        </w:rPr>
        <w:t>1</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_Toc12474 </w:instrText>
      </w:r>
      <w:r>
        <w:rPr>
          <w:b/>
          <w:bCs/>
          <w:color w:val="auto"/>
          <w:sz w:val="24"/>
          <w:szCs w:val="24"/>
        </w:rPr>
        <w:fldChar w:fldCharType="separate"/>
      </w:r>
      <w:r>
        <w:rPr>
          <w:b/>
          <w:bCs/>
          <w:color w:val="auto"/>
          <w:sz w:val="24"/>
          <w:szCs w:val="24"/>
        </w:rPr>
        <w:t>1.1</w:t>
      </w:r>
      <w:r>
        <w:rPr>
          <w:rFonts w:hint="eastAsia" w:ascii="宋体" w:hAnsi="宋体" w:eastAsia="宋体" w:cs="宋体"/>
          <w:b/>
          <w:bCs/>
          <w:color w:val="auto"/>
          <w:sz w:val="24"/>
          <w:szCs w:val="24"/>
        </w:rPr>
        <w:t>评价的目的</w:t>
      </w:r>
      <w:r>
        <w:rPr>
          <w:b/>
          <w:bCs/>
          <w:color w:val="auto"/>
          <w:sz w:val="24"/>
          <w:szCs w:val="24"/>
        </w:rPr>
        <w:tab/>
      </w:r>
      <w:r>
        <w:rPr>
          <w:b/>
          <w:bCs/>
          <w:color w:val="auto"/>
          <w:sz w:val="24"/>
          <w:szCs w:val="24"/>
        </w:rPr>
        <w:fldChar w:fldCharType="begin"/>
      </w:r>
      <w:r>
        <w:rPr>
          <w:b/>
          <w:bCs/>
          <w:color w:val="auto"/>
          <w:sz w:val="24"/>
          <w:szCs w:val="24"/>
        </w:rPr>
        <w:instrText xml:space="preserve"> PAGEREF _Toc12474 \h </w:instrText>
      </w:r>
      <w:r>
        <w:rPr>
          <w:b/>
          <w:bCs/>
          <w:color w:val="auto"/>
          <w:sz w:val="24"/>
          <w:szCs w:val="24"/>
        </w:rPr>
        <w:fldChar w:fldCharType="separate"/>
      </w:r>
      <w:r>
        <w:rPr>
          <w:b/>
          <w:bCs/>
          <w:color w:val="auto"/>
          <w:sz w:val="24"/>
          <w:szCs w:val="24"/>
        </w:rPr>
        <w:t>1</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_Toc18882 </w:instrText>
      </w:r>
      <w:r>
        <w:rPr>
          <w:b/>
          <w:bCs/>
          <w:color w:val="auto"/>
          <w:sz w:val="24"/>
          <w:szCs w:val="24"/>
        </w:rPr>
        <w:fldChar w:fldCharType="separate"/>
      </w:r>
      <w:r>
        <w:rPr>
          <w:rFonts w:ascii="Times New Roman" w:hAnsi="Times New Roman"/>
          <w:b/>
          <w:bCs/>
          <w:color w:val="auto"/>
          <w:sz w:val="24"/>
          <w:szCs w:val="24"/>
        </w:rPr>
        <w:t>1.2</w:t>
      </w:r>
      <w:r>
        <w:rPr>
          <w:rFonts w:hint="eastAsia" w:ascii="宋体" w:hAnsi="宋体" w:eastAsia="宋体" w:cs="宋体"/>
          <w:b/>
          <w:bCs/>
          <w:color w:val="auto"/>
          <w:sz w:val="24"/>
          <w:szCs w:val="24"/>
        </w:rPr>
        <w:t>评价的原则</w:t>
      </w:r>
      <w:r>
        <w:rPr>
          <w:b/>
          <w:bCs/>
          <w:color w:val="auto"/>
          <w:sz w:val="24"/>
          <w:szCs w:val="24"/>
        </w:rPr>
        <w:tab/>
      </w:r>
      <w:r>
        <w:rPr>
          <w:b/>
          <w:bCs/>
          <w:color w:val="auto"/>
          <w:sz w:val="24"/>
          <w:szCs w:val="24"/>
        </w:rPr>
        <w:fldChar w:fldCharType="begin"/>
      </w:r>
      <w:r>
        <w:rPr>
          <w:b/>
          <w:bCs/>
          <w:color w:val="auto"/>
          <w:sz w:val="24"/>
          <w:szCs w:val="24"/>
        </w:rPr>
        <w:instrText xml:space="preserve"> PAGEREF _Toc18882 \h </w:instrText>
      </w:r>
      <w:r>
        <w:rPr>
          <w:b/>
          <w:bCs/>
          <w:color w:val="auto"/>
          <w:sz w:val="24"/>
          <w:szCs w:val="24"/>
        </w:rPr>
        <w:fldChar w:fldCharType="separate"/>
      </w:r>
      <w:r>
        <w:rPr>
          <w:b/>
          <w:bCs/>
          <w:color w:val="auto"/>
          <w:sz w:val="24"/>
          <w:szCs w:val="24"/>
        </w:rPr>
        <w:t>1</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_Toc14003 </w:instrText>
      </w:r>
      <w:r>
        <w:rPr>
          <w:b/>
          <w:bCs/>
          <w:color w:val="auto"/>
          <w:sz w:val="24"/>
          <w:szCs w:val="24"/>
        </w:rPr>
        <w:fldChar w:fldCharType="separate"/>
      </w:r>
      <w:r>
        <w:rPr>
          <w:b/>
          <w:bCs/>
          <w:color w:val="auto"/>
          <w:sz w:val="24"/>
          <w:szCs w:val="24"/>
        </w:rPr>
        <w:t>1.3</w:t>
      </w:r>
      <w:r>
        <w:rPr>
          <w:rFonts w:hint="eastAsia" w:ascii="宋体" w:hAnsi="宋体" w:eastAsia="宋体" w:cs="宋体"/>
          <w:b/>
          <w:bCs/>
          <w:color w:val="auto"/>
          <w:sz w:val="24"/>
          <w:szCs w:val="24"/>
        </w:rPr>
        <w:t>评价依据</w:t>
      </w:r>
      <w:r>
        <w:rPr>
          <w:b/>
          <w:bCs/>
          <w:color w:val="auto"/>
          <w:sz w:val="24"/>
          <w:szCs w:val="24"/>
        </w:rPr>
        <w:tab/>
      </w:r>
      <w:r>
        <w:rPr>
          <w:b/>
          <w:bCs/>
          <w:color w:val="auto"/>
          <w:sz w:val="24"/>
          <w:szCs w:val="24"/>
        </w:rPr>
        <w:fldChar w:fldCharType="begin"/>
      </w:r>
      <w:r>
        <w:rPr>
          <w:b/>
          <w:bCs/>
          <w:color w:val="auto"/>
          <w:sz w:val="24"/>
          <w:szCs w:val="24"/>
        </w:rPr>
        <w:instrText xml:space="preserve"> PAGEREF _Toc14003 \h </w:instrText>
      </w:r>
      <w:r>
        <w:rPr>
          <w:b/>
          <w:bCs/>
          <w:color w:val="auto"/>
          <w:sz w:val="24"/>
          <w:szCs w:val="24"/>
        </w:rPr>
        <w:fldChar w:fldCharType="separate"/>
      </w:r>
      <w:r>
        <w:rPr>
          <w:b/>
          <w:bCs/>
          <w:color w:val="auto"/>
          <w:sz w:val="24"/>
          <w:szCs w:val="24"/>
        </w:rPr>
        <w:t>2</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_Toc3830 </w:instrText>
      </w:r>
      <w:r>
        <w:rPr>
          <w:b/>
          <w:bCs/>
          <w:color w:val="auto"/>
          <w:sz w:val="24"/>
          <w:szCs w:val="24"/>
        </w:rPr>
        <w:fldChar w:fldCharType="separate"/>
      </w:r>
      <w:r>
        <w:rPr>
          <w:b/>
          <w:bCs/>
          <w:color w:val="auto"/>
          <w:sz w:val="24"/>
          <w:szCs w:val="24"/>
        </w:rPr>
        <w:t>1.</w:t>
      </w:r>
      <w:r>
        <w:rPr>
          <w:rFonts w:hint="eastAsia"/>
          <w:b/>
          <w:bCs/>
          <w:color w:val="auto"/>
          <w:sz w:val="24"/>
          <w:szCs w:val="24"/>
        </w:rPr>
        <w:t>3</w:t>
      </w:r>
      <w:r>
        <w:rPr>
          <w:b/>
          <w:bCs/>
          <w:color w:val="auto"/>
          <w:sz w:val="24"/>
          <w:szCs w:val="24"/>
        </w:rPr>
        <w:t>.1法律、法规、规定、规范性文件</w:t>
      </w:r>
      <w:r>
        <w:rPr>
          <w:b/>
          <w:bCs/>
          <w:color w:val="auto"/>
          <w:sz w:val="24"/>
          <w:szCs w:val="24"/>
        </w:rPr>
        <w:tab/>
      </w:r>
      <w:r>
        <w:rPr>
          <w:b/>
          <w:bCs/>
          <w:color w:val="auto"/>
          <w:sz w:val="24"/>
          <w:szCs w:val="24"/>
        </w:rPr>
        <w:fldChar w:fldCharType="begin"/>
      </w:r>
      <w:r>
        <w:rPr>
          <w:b/>
          <w:bCs/>
          <w:color w:val="auto"/>
          <w:sz w:val="24"/>
          <w:szCs w:val="24"/>
        </w:rPr>
        <w:instrText xml:space="preserve"> PAGEREF _Toc3830 \h </w:instrText>
      </w:r>
      <w:r>
        <w:rPr>
          <w:b/>
          <w:bCs/>
          <w:color w:val="auto"/>
          <w:sz w:val="24"/>
          <w:szCs w:val="24"/>
        </w:rPr>
        <w:fldChar w:fldCharType="separate"/>
      </w:r>
      <w:r>
        <w:rPr>
          <w:b/>
          <w:bCs/>
          <w:color w:val="auto"/>
          <w:sz w:val="24"/>
          <w:szCs w:val="24"/>
        </w:rPr>
        <w:t>2</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_Toc4951 </w:instrText>
      </w:r>
      <w:r>
        <w:rPr>
          <w:b/>
          <w:bCs/>
          <w:color w:val="auto"/>
          <w:sz w:val="24"/>
          <w:szCs w:val="24"/>
        </w:rPr>
        <w:fldChar w:fldCharType="separate"/>
      </w:r>
      <w:r>
        <w:rPr>
          <w:b/>
          <w:bCs/>
          <w:color w:val="auto"/>
          <w:sz w:val="24"/>
          <w:szCs w:val="24"/>
        </w:rPr>
        <w:t>1.</w:t>
      </w:r>
      <w:r>
        <w:rPr>
          <w:rFonts w:hint="eastAsia"/>
          <w:b/>
          <w:bCs/>
          <w:color w:val="auto"/>
          <w:sz w:val="24"/>
          <w:szCs w:val="24"/>
        </w:rPr>
        <w:t>3</w:t>
      </w:r>
      <w:r>
        <w:rPr>
          <w:b/>
          <w:bCs/>
          <w:color w:val="auto"/>
          <w:sz w:val="24"/>
          <w:szCs w:val="24"/>
        </w:rPr>
        <w:t>.2</w:t>
      </w:r>
      <w:r>
        <w:rPr>
          <w:rFonts w:hint="eastAsia" w:ascii="宋体" w:hAnsi="宋体" w:eastAsia="宋体" w:cs="宋体"/>
          <w:b/>
          <w:bCs/>
          <w:color w:val="auto"/>
          <w:sz w:val="24"/>
          <w:szCs w:val="24"/>
        </w:rPr>
        <w:t>评价标准、规范</w:t>
      </w:r>
      <w:r>
        <w:rPr>
          <w:b/>
          <w:bCs/>
          <w:color w:val="auto"/>
          <w:sz w:val="24"/>
          <w:szCs w:val="24"/>
        </w:rPr>
        <w:tab/>
      </w:r>
      <w:r>
        <w:rPr>
          <w:b/>
          <w:bCs/>
          <w:color w:val="auto"/>
          <w:sz w:val="24"/>
          <w:szCs w:val="24"/>
        </w:rPr>
        <w:fldChar w:fldCharType="begin"/>
      </w:r>
      <w:r>
        <w:rPr>
          <w:b/>
          <w:bCs/>
          <w:color w:val="auto"/>
          <w:sz w:val="24"/>
          <w:szCs w:val="24"/>
        </w:rPr>
        <w:instrText xml:space="preserve"> PAGEREF _Toc4951 \h </w:instrText>
      </w:r>
      <w:r>
        <w:rPr>
          <w:b/>
          <w:bCs/>
          <w:color w:val="auto"/>
          <w:sz w:val="24"/>
          <w:szCs w:val="24"/>
        </w:rPr>
        <w:fldChar w:fldCharType="separate"/>
      </w:r>
      <w:r>
        <w:rPr>
          <w:b/>
          <w:bCs/>
          <w:color w:val="auto"/>
          <w:sz w:val="24"/>
          <w:szCs w:val="24"/>
        </w:rPr>
        <w:t>3</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_Toc24426 </w:instrText>
      </w:r>
      <w:r>
        <w:rPr>
          <w:b/>
          <w:bCs/>
          <w:color w:val="auto"/>
          <w:sz w:val="24"/>
          <w:szCs w:val="24"/>
        </w:rPr>
        <w:fldChar w:fldCharType="separate"/>
      </w:r>
      <w:r>
        <w:rPr>
          <w:b/>
          <w:bCs/>
          <w:color w:val="auto"/>
          <w:sz w:val="24"/>
          <w:szCs w:val="24"/>
        </w:rPr>
        <w:t>1.</w:t>
      </w:r>
      <w:r>
        <w:rPr>
          <w:rFonts w:hint="eastAsia"/>
          <w:b/>
          <w:bCs/>
          <w:color w:val="auto"/>
          <w:sz w:val="24"/>
          <w:szCs w:val="24"/>
        </w:rPr>
        <w:t>3</w:t>
      </w:r>
      <w:r>
        <w:rPr>
          <w:b/>
          <w:bCs/>
          <w:color w:val="auto"/>
          <w:sz w:val="24"/>
          <w:szCs w:val="24"/>
        </w:rPr>
        <w:t>.3</w:t>
      </w:r>
      <w:r>
        <w:rPr>
          <w:rFonts w:hint="eastAsia" w:ascii="宋体" w:hAnsi="宋体" w:eastAsia="宋体" w:cs="宋体"/>
          <w:b/>
          <w:bCs/>
          <w:color w:val="auto"/>
          <w:sz w:val="24"/>
          <w:szCs w:val="24"/>
        </w:rPr>
        <w:t>其他相关资料</w:t>
      </w:r>
      <w:r>
        <w:rPr>
          <w:b/>
          <w:bCs/>
          <w:color w:val="auto"/>
          <w:sz w:val="24"/>
          <w:szCs w:val="24"/>
        </w:rPr>
        <w:tab/>
      </w:r>
      <w:r>
        <w:rPr>
          <w:b/>
          <w:bCs/>
          <w:color w:val="auto"/>
          <w:sz w:val="24"/>
          <w:szCs w:val="24"/>
        </w:rPr>
        <w:fldChar w:fldCharType="begin"/>
      </w:r>
      <w:r>
        <w:rPr>
          <w:b/>
          <w:bCs/>
          <w:color w:val="auto"/>
          <w:sz w:val="24"/>
          <w:szCs w:val="24"/>
        </w:rPr>
        <w:instrText xml:space="preserve"> PAGEREF _Toc24426 \h </w:instrText>
      </w:r>
      <w:r>
        <w:rPr>
          <w:b/>
          <w:bCs/>
          <w:color w:val="auto"/>
          <w:sz w:val="24"/>
          <w:szCs w:val="24"/>
        </w:rPr>
        <w:fldChar w:fldCharType="separate"/>
      </w:r>
      <w:r>
        <w:rPr>
          <w:b/>
          <w:bCs/>
          <w:color w:val="auto"/>
          <w:sz w:val="24"/>
          <w:szCs w:val="24"/>
        </w:rPr>
        <w:t>6</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_Toc11643 </w:instrText>
      </w:r>
      <w:r>
        <w:rPr>
          <w:b/>
          <w:bCs/>
          <w:color w:val="auto"/>
          <w:sz w:val="24"/>
          <w:szCs w:val="24"/>
        </w:rPr>
        <w:fldChar w:fldCharType="separate"/>
      </w:r>
      <w:r>
        <w:rPr>
          <w:b/>
          <w:bCs/>
          <w:color w:val="auto"/>
          <w:sz w:val="24"/>
          <w:szCs w:val="24"/>
        </w:rPr>
        <w:t>1.4</w:t>
      </w:r>
      <w:r>
        <w:rPr>
          <w:rFonts w:hint="eastAsia" w:ascii="宋体" w:hAnsi="宋体" w:eastAsia="宋体" w:cs="宋体"/>
          <w:b/>
          <w:bCs/>
          <w:color w:val="auto"/>
          <w:sz w:val="24"/>
          <w:szCs w:val="24"/>
        </w:rPr>
        <w:t>评价范围</w:t>
      </w:r>
      <w:r>
        <w:rPr>
          <w:b/>
          <w:bCs/>
          <w:color w:val="auto"/>
          <w:sz w:val="24"/>
          <w:szCs w:val="24"/>
        </w:rPr>
        <w:tab/>
      </w:r>
      <w:r>
        <w:rPr>
          <w:b/>
          <w:bCs/>
          <w:color w:val="auto"/>
          <w:sz w:val="24"/>
          <w:szCs w:val="24"/>
        </w:rPr>
        <w:fldChar w:fldCharType="begin"/>
      </w:r>
      <w:r>
        <w:rPr>
          <w:b/>
          <w:bCs/>
          <w:color w:val="auto"/>
          <w:sz w:val="24"/>
          <w:szCs w:val="24"/>
        </w:rPr>
        <w:instrText xml:space="preserve"> PAGEREF _Toc11643 \h </w:instrText>
      </w:r>
      <w:r>
        <w:rPr>
          <w:b/>
          <w:bCs/>
          <w:color w:val="auto"/>
          <w:sz w:val="24"/>
          <w:szCs w:val="24"/>
        </w:rPr>
        <w:fldChar w:fldCharType="separate"/>
      </w:r>
      <w:r>
        <w:rPr>
          <w:b/>
          <w:bCs/>
          <w:color w:val="auto"/>
          <w:sz w:val="24"/>
          <w:szCs w:val="24"/>
        </w:rPr>
        <w:t>6</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_Toc12949 </w:instrText>
      </w:r>
      <w:r>
        <w:rPr>
          <w:b/>
          <w:bCs/>
          <w:color w:val="auto"/>
          <w:sz w:val="24"/>
          <w:szCs w:val="24"/>
        </w:rPr>
        <w:fldChar w:fldCharType="separate"/>
      </w:r>
      <w:r>
        <w:rPr>
          <w:b/>
          <w:bCs/>
          <w:color w:val="auto"/>
          <w:sz w:val="24"/>
          <w:szCs w:val="24"/>
        </w:rPr>
        <w:t>1.5</w:t>
      </w:r>
      <w:r>
        <w:rPr>
          <w:rFonts w:hint="eastAsia" w:ascii="宋体" w:hAnsi="宋体" w:eastAsia="宋体" w:cs="宋体"/>
          <w:b/>
          <w:bCs/>
          <w:color w:val="auto"/>
          <w:sz w:val="24"/>
          <w:szCs w:val="24"/>
        </w:rPr>
        <w:t>评价程序</w:t>
      </w:r>
      <w:r>
        <w:rPr>
          <w:b/>
          <w:bCs/>
          <w:color w:val="auto"/>
          <w:sz w:val="24"/>
          <w:szCs w:val="24"/>
        </w:rPr>
        <w:tab/>
      </w:r>
      <w:r>
        <w:rPr>
          <w:b/>
          <w:bCs/>
          <w:color w:val="auto"/>
          <w:sz w:val="24"/>
          <w:szCs w:val="24"/>
        </w:rPr>
        <w:fldChar w:fldCharType="begin"/>
      </w:r>
      <w:r>
        <w:rPr>
          <w:b/>
          <w:bCs/>
          <w:color w:val="auto"/>
          <w:sz w:val="24"/>
          <w:szCs w:val="24"/>
        </w:rPr>
        <w:instrText xml:space="preserve"> PAGEREF _Toc12949 \h </w:instrText>
      </w:r>
      <w:r>
        <w:rPr>
          <w:b/>
          <w:bCs/>
          <w:color w:val="auto"/>
          <w:sz w:val="24"/>
          <w:szCs w:val="24"/>
        </w:rPr>
        <w:fldChar w:fldCharType="separate"/>
      </w:r>
      <w:r>
        <w:rPr>
          <w:b/>
          <w:bCs/>
          <w:color w:val="auto"/>
          <w:sz w:val="24"/>
          <w:szCs w:val="24"/>
        </w:rPr>
        <w:t>8</w:t>
      </w:r>
      <w:r>
        <w:rPr>
          <w:b/>
          <w:bCs/>
          <w:color w:val="auto"/>
          <w:sz w:val="24"/>
          <w:szCs w:val="24"/>
        </w:rPr>
        <w:fldChar w:fldCharType="end"/>
      </w:r>
      <w:r>
        <w:rPr>
          <w:b/>
          <w:bCs/>
          <w:color w:val="auto"/>
          <w:sz w:val="24"/>
          <w:szCs w:val="24"/>
        </w:rPr>
        <w:fldChar w:fldCharType="end"/>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_Toc721 </w:instrText>
      </w:r>
      <w:r>
        <w:rPr>
          <w:b/>
          <w:bCs/>
          <w:color w:val="auto"/>
          <w:sz w:val="24"/>
          <w:szCs w:val="24"/>
        </w:rPr>
        <w:fldChar w:fldCharType="separate"/>
      </w:r>
      <w:r>
        <w:rPr>
          <w:b/>
          <w:bCs/>
          <w:color w:val="auto"/>
          <w:sz w:val="24"/>
          <w:szCs w:val="24"/>
        </w:rPr>
        <w:t>2</w:t>
      </w:r>
      <w:r>
        <w:rPr>
          <w:rFonts w:hint="eastAsia" w:ascii="宋体" w:hAnsi="宋体" w:eastAsia="宋体" w:cs="宋体"/>
          <w:b/>
          <w:bCs/>
          <w:color w:val="auto"/>
          <w:sz w:val="24"/>
          <w:szCs w:val="24"/>
          <w:lang w:val="en-US" w:eastAsia="zh-CN"/>
        </w:rPr>
        <w:t>建设项目概况</w:t>
      </w:r>
      <w:r>
        <w:rPr>
          <w:b/>
          <w:bCs/>
          <w:color w:val="auto"/>
          <w:sz w:val="24"/>
          <w:szCs w:val="24"/>
        </w:rPr>
        <w:tab/>
      </w:r>
      <w:r>
        <w:rPr>
          <w:b/>
          <w:bCs/>
          <w:color w:val="auto"/>
          <w:sz w:val="24"/>
          <w:szCs w:val="24"/>
        </w:rPr>
        <w:fldChar w:fldCharType="begin"/>
      </w:r>
      <w:r>
        <w:rPr>
          <w:b/>
          <w:bCs/>
          <w:color w:val="auto"/>
          <w:sz w:val="24"/>
          <w:szCs w:val="24"/>
        </w:rPr>
        <w:instrText xml:space="preserve"> PAGEREF _Toc721 \h </w:instrText>
      </w:r>
      <w:r>
        <w:rPr>
          <w:b/>
          <w:bCs/>
          <w:color w:val="auto"/>
          <w:sz w:val="24"/>
          <w:szCs w:val="24"/>
        </w:rPr>
        <w:fldChar w:fldCharType="separate"/>
      </w:r>
      <w:r>
        <w:rPr>
          <w:b/>
          <w:bCs/>
          <w:color w:val="auto"/>
          <w:sz w:val="24"/>
          <w:szCs w:val="24"/>
        </w:rPr>
        <w:t>9</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_Toc11055 </w:instrText>
      </w:r>
      <w:r>
        <w:rPr>
          <w:b/>
          <w:bCs/>
          <w:color w:val="auto"/>
          <w:sz w:val="24"/>
          <w:szCs w:val="24"/>
        </w:rPr>
        <w:fldChar w:fldCharType="separate"/>
      </w:r>
      <w:r>
        <w:rPr>
          <w:b/>
          <w:bCs/>
          <w:color w:val="auto"/>
          <w:sz w:val="24"/>
          <w:szCs w:val="24"/>
        </w:rPr>
        <w:t>2.1</w:t>
      </w:r>
      <w:r>
        <w:rPr>
          <w:rFonts w:hint="eastAsia" w:ascii="宋体" w:hAnsi="宋体" w:eastAsia="宋体" w:cs="宋体"/>
          <w:b/>
          <w:bCs/>
          <w:color w:val="auto"/>
          <w:sz w:val="24"/>
          <w:szCs w:val="24"/>
          <w:lang w:val="en-US" w:eastAsia="zh-CN"/>
        </w:rPr>
        <w:t>建设单位基本情况</w:t>
      </w:r>
      <w:r>
        <w:rPr>
          <w:b/>
          <w:bCs/>
          <w:color w:val="auto"/>
          <w:sz w:val="24"/>
          <w:szCs w:val="24"/>
        </w:rPr>
        <w:tab/>
      </w:r>
      <w:r>
        <w:rPr>
          <w:b/>
          <w:bCs/>
          <w:color w:val="auto"/>
          <w:sz w:val="24"/>
          <w:szCs w:val="24"/>
        </w:rPr>
        <w:fldChar w:fldCharType="begin"/>
      </w:r>
      <w:r>
        <w:rPr>
          <w:b/>
          <w:bCs/>
          <w:color w:val="auto"/>
          <w:sz w:val="24"/>
          <w:szCs w:val="24"/>
        </w:rPr>
        <w:instrText xml:space="preserve"> PAGEREF _Toc11055 \h </w:instrText>
      </w:r>
      <w:r>
        <w:rPr>
          <w:b/>
          <w:bCs/>
          <w:color w:val="auto"/>
          <w:sz w:val="24"/>
          <w:szCs w:val="24"/>
        </w:rPr>
        <w:fldChar w:fldCharType="separate"/>
      </w:r>
      <w:r>
        <w:rPr>
          <w:b/>
          <w:bCs/>
          <w:color w:val="auto"/>
          <w:sz w:val="24"/>
          <w:szCs w:val="24"/>
        </w:rPr>
        <w:t>9</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_Toc32720 </w:instrText>
      </w:r>
      <w:r>
        <w:rPr>
          <w:b/>
          <w:bCs/>
          <w:color w:val="auto"/>
          <w:sz w:val="24"/>
          <w:szCs w:val="24"/>
        </w:rPr>
        <w:fldChar w:fldCharType="separate"/>
      </w:r>
      <w:r>
        <w:rPr>
          <w:b/>
          <w:bCs/>
          <w:color w:val="auto"/>
          <w:sz w:val="24"/>
          <w:szCs w:val="24"/>
        </w:rPr>
        <w:t>2.2</w:t>
      </w:r>
      <w:r>
        <w:rPr>
          <w:rFonts w:hint="eastAsia" w:ascii="宋体" w:hAnsi="宋体" w:eastAsia="宋体" w:cs="宋体"/>
          <w:b/>
          <w:bCs/>
          <w:color w:val="auto"/>
          <w:sz w:val="24"/>
          <w:szCs w:val="24"/>
          <w:lang w:val="en-US" w:eastAsia="zh-CN"/>
        </w:rPr>
        <w:t>建设项目概况</w:t>
      </w:r>
      <w:r>
        <w:rPr>
          <w:b/>
          <w:bCs/>
          <w:color w:val="auto"/>
          <w:sz w:val="24"/>
          <w:szCs w:val="24"/>
        </w:rPr>
        <w:tab/>
      </w:r>
      <w:r>
        <w:rPr>
          <w:b/>
          <w:bCs/>
          <w:color w:val="auto"/>
          <w:sz w:val="24"/>
          <w:szCs w:val="24"/>
        </w:rPr>
        <w:fldChar w:fldCharType="begin"/>
      </w:r>
      <w:r>
        <w:rPr>
          <w:b/>
          <w:bCs/>
          <w:color w:val="auto"/>
          <w:sz w:val="24"/>
          <w:szCs w:val="24"/>
        </w:rPr>
        <w:instrText xml:space="preserve"> PAGEREF _Toc32720 \h </w:instrText>
      </w:r>
      <w:r>
        <w:rPr>
          <w:b/>
          <w:bCs/>
          <w:color w:val="auto"/>
          <w:sz w:val="24"/>
          <w:szCs w:val="24"/>
        </w:rPr>
        <w:fldChar w:fldCharType="separate"/>
      </w:r>
      <w:r>
        <w:rPr>
          <w:b/>
          <w:bCs/>
          <w:color w:val="auto"/>
          <w:sz w:val="24"/>
          <w:szCs w:val="24"/>
        </w:rPr>
        <w:t>9</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_Toc3563 </w:instrText>
      </w:r>
      <w:r>
        <w:rPr>
          <w:b/>
          <w:bCs/>
          <w:color w:val="auto"/>
          <w:sz w:val="24"/>
          <w:szCs w:val="24"/>
        </w:rPr>
        <w:fldChar w:fldCharType="separate"/>
      </w:r>
      <w:r>
        <w:rPr>
          <w:rFonts w:hint="eastAsia" w:eastAsia="黑体"/>
          <w:b/>
          <w:bCs/>
          <w:color w:val="auto"/>
          <w:kern w:val="2"/>
          <w:sz w:val="24"/>
          <w:szCs w:val="24"/>
          <w:lang w:val="en-US" w:eastAsia="zh-CN" w:bidi="ar-SA"/>
        </w:rPr>
        <w:t>2.2.1</w:t>
      </w:r>
      <w:r>
        <w:rPr>
          <w:rFonts w:hint="eastAsia"/>
          <w:b/>
          <w:bCs/>
          <w:color w:val="auto"/>
          <w:sz w:val="24"/>
          <w:szCs w:val="24"/>
          <w:lang w:val="en-US" w:eastAsia="zh-CN"/>
        </w:rPr>
        <w:t>项目背景</w:t>
      </w:r>
      <w:r>
        <w:rPr>
          <w:b/>
          <w:bCs/>
          <w:color w:val="auto"/>
          <w:sz w:val="24"/>
          <w:szCs w:val="24"/>
        </w:rPr>
        <w:tab/>
      </w:r>
      <w:r>
        <w:rPr>
          <w:b/>
          <w:bCs/>
          <w:color w:val="auto"/>
          <w:sz w:val="24"/>
          <w:szCs w:val="24"/>
        </w:rPr>
        <w:fldChar w:fldCharType="begin"/>
      </w:r>
      <w:r>
        <w:rPr>
          <w:b/>
          <w:bCs/>
          <w:color w:val="auto"/>
          <w:sz w:val="24"/>
          <w:szCs w:val="24"/>
        </w:rPr>
        <w:instrText xml:space="preserve"> PAGEREF _Toc3563 \h </w:instrText>
      </w:r>
      <w:r>
        <w:rPr>
          <w:b/>
          <w:bCs/>
          <w:color w:val="auto"/>
          <w:sz w:val="24"/>
          <w:szCs w:val="24"/>
        </w:rPr>
        <w:fldChar w:fldCharType="separate"/>
      </w:r>
      <w:r>
        <w:rPr>
          <w:b/>
          <w:bCs/>
          <w:color w:val="auto"/>
          <w:sz w:val="24"/>
          <w:szCs w:val="24"/>
        </w:rPr>
        <w:t>9</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_Toc8210 </w:instrText>
      </w:r>
      <w:r>
        <w:rPr>
          <w:b/>
          <w:bCs/>
          <w:color w:val="auto"/>
          <w:sz w:val="24"/>
          <w:szCs w:val="24"/>
        </w:rPr>
        <w:fldChar w:fldCharType="separate"/>
      </w:r>
      <w:r>
        <w:rPr>
          <w:rFonts w:hint="eastAsia" w:eastAsia="黑体"/>
          <w:b/>
          <w:bCs/>
          <w:color w:val="auto"/>
          <w:kern w:val="2"/>
          <w:sz w:val="24"/>
          <w:szCs w:val="24"/>
          <w:lang w:val="en-US" w:eastAsia="zh-CN" w:bidi="ar-SA"/>
        </w:rPr>
        <w:t>2.2.2</w:t>
      </w:r>
      <w:r>
        <w:rPr>
          <w:rFonts w:hint="eastAsia"/>
          <w:b/>
          <w:bCs/>
          <w:color w:val="auto"/>
          <w:sz w:val="24"/>
          <w:szCs w:val="24"/>
          <w:lang w:val="en-US" w:eastAsia="zh-CN"/>
        </w:rPr>
        <w:t>项目基本情况</w:t>
      </w:r>
      <w:r>
        <w:rPr>
          <w:b/>
          <w:bCs/>
          <w:color w:val="auto"/>
          <w:sz w:val="24"/>
          <w:szCs w:val="24"/>
        </w:rPr>
        <w:tab/>
      </w:r>
      <w:r>
        <w:rPr>
          <w:b/>
          <w:bCs/>
          <w:color w:val="auto"/>
          <w:sz w:val="24"/>
          <w:szCs w:val="24"/>
        </w:rPr>
        <w:fldChar w:fldCharType="begin"/>
      </w:r>
      <w:r>
        <w:rPr>
          <w:b/>
          <w:bCs/>
          <w:color w:val="auto"/>
          <w:sz w:val="24"/>
          <w:szCs w:val="24"/>
        </w:rPr>
        <w:instrText xml:space="preserve"> PAGEREF _Toc8210 \h </w:instrText>
      </w:r>
      <w:r>
        <w:rPr>
          <w:b/>
          <w:bCs/>
          <w:color w:val="auto"/>
          <w:sz w:val="24"/>
          <w:szCs w:val="24"/>
        </w:rPr>
        <w:fldChar w:fldCharType="separate"/>
      </w:r>
      <w:r>
        <w:rPr>
          <w:b/>
          <w:bCs/>
          <w:color w:val="auto"/>
          <w:sz w:val="24"/>
          <w:szCs w:val="24"/>
        </w:rPr>
        <w:t>10</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_Toc21222 </w:instrText>
      </w:r>
      <w:r>
        <w:rPr>
          <w:b/>
          <w:bCs/>
          <w:color w:val="auto"/>
          <w:sz w:val="24"/>
          <w:szCs w:val="24"/>
        </w:rPr>
        <w:fldChar w:fldCharType="separate"/>
      </w:r>
      <w:r>
        <w:rPr>
          <w:rFonts w:hint="eastAsia"/>
          <w:b/>
          <w:bCs/>
          <w:color w:val="auto"/>
          <w:sz w:val="24"/>
          <w:szCs w:val="24"/>
          <w:lang w:val="en-US" w:eastAsia="zh-CN"/>
        </w:rPr>
        <w:t>2.2.3主要建设内容及规模</w:t>
      </w:r>
      <w:r>
        <w:rPr>
          <w:b/>
          <w:bCs/>
          <w:color w:val="auto"/>
          <w:sz w:val="24"/>
          <w:szCs w:val="24"/>
        </w:rPr>
        <w:tab/>
      </w:r>
      <w:r>
        <w:rPr>
          <w:b/>
          <w:bCs/>
          <w:color w:val="auto"/>
          <w:sz w:val="24"/>
          <w:szCs w:val="24"/>
        </w:rPr>
        <w:fldChar w:fldCharType="begin"/>
      </w:r>
      <w:r>
        <w:rPr>
          <w:b/>
          <w:bCs/>
          <w:color w:val="auto"/>
          <w:sz w:val="24"/>
          <w:szCs w:val="24"/>
        </w:rPr>
        <w:instrText xml:space="preserve"> PAGEREF _Toc21222 \h </w:instrText>
      </w:r>
      <w:r>
        <w:rPr>
          <w:b/>
          <w:bCs/>
          <w:color w:val="auto"/>
          <w:sz w:val="24"/>
          <w:szCs w:val="24"/>
        </w:rPr>
        <w:fldChar w:fldCharType="separate"/>
      </w:r>
      <w:r>
        <w:rPr>
          <w:b/>
          <w:bCs/>
          <w:color w:val="auto"/>
          <w:sz w:val="24"/>
          <w:szCs w:val="24"/>
        </w:rPr>
        <w:t>12</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_Toc25218 </w:instrText>
      </w:r>
      <w:r>
        <w:rPr>
          <w:b/>
          <w:bCs/>
          <w:color w:val="auto"/>
          <w:sz w:val="24"/>
          <w:szCs w:val="24"/>
        </w:rPr>
        <w:fldChar w:fldCharType="separate"/>
      </w:r>
      <w:r>
        <w:rPr>
          <w:rFonts w:hint="default" w:ascii="Times New Roman" w:hAnsi="Times New Roman" w:eastAsia="宋体" w:cs="Times New Roman"/>
          <w:b/>
          <w:bCs/>
          <w:color w:val="auto"/>
          <w:sz w:val="24"/>
          <w:szCs w:val="24"/>
          <w:lang w:val="en-US" w:eastAsia="zh-CN"/>
        </w:rPr>
        <w:t>2.3</w:t>
      </w:r>
      <w:r>
        <w:rPr>
          <w:rFonts w:hint="eastAsia" w:ascii="宋体" w:hAnsi="宋体" w:cs="宋体"/>
          <w:b/>
          <w:bCs/>
          <w:color w:val="auto"/>
          <w:sz w:val="24"/>
          <w:szCs w:val="24"/>
          <w:lang w:val="en-US" w:eastAsia="zh-CN"/>
        </w:rPr>
        <w:t>建设项目选址概况</w:t>
      </w:r>
      <w:r>
        <w:rPr>
          <w:b/>
          <w:bCs/>
          <w:color w:val="auto"/>
          <w:sz w:val="24"/>
          <w:szCs w:val="24"/>
        </w:rPr>
        <w:tab/>
      </w:r>
      <w:r>
        <w:rPr>
          <w:b/>
          <w:bCs/>
          <w:color w:val="auto"/>
          <w:sz w:val="24"/>
          <w:szCs w:val="24"/>
        </w:rPr>
        <w:fldChar w:fldCharType="begin"/>
      </w:r>
      <w:r>
        <w:rPr>
          <w:b/>
          <w:bCs/>
          <w:color w:val="auto"/>
          <w:sz w:val="24"/>
          <w:szCs w:val="24"/>
        </w:rPr>
        <w:instrText xml:space="preserve"> PAGEREF _Toc25218 \h </w:instrText>
      </w:r>
      <w:r>
        <w:rPr>
          <w:b/>
          <w:bCs/>
          <w:color w:val="auto"/>
          <w:sz w:val="24"/>
          <w:szCs w:val="24"/>
        </w:rPr>
        <w:fldChar w:fldCharType="separate"/>
      </w:r>
      <w:r>
        <w:rPr>
          <w:b/>
          <w:bCs/>
          <w:color w:val="auto"/>
          <w:sz w:val="24"/>
          <w:szCs w:val="24"/>
        </w:rPr>
        <w:t>12</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_Toc20375 </w:instrText>
      </w:r>
      <w:r>
        <w:rPr>
          <w:b/>
          <w:bCs/>
          <w:color w:val="auto"/>
          <w:sz w:val="24"/>
          <w:szCs w:val="24"/>
        </w:rPr>
        <w:fldChar w:fldCharType="separate"/>
      </w:r>
      <w:r>
        <w:rPr>
          <w:rFonts w:hint="eastAsia"/>
          <w:b/>
          <w:bCs/>
          <w:color w:val="auto"/>
          <w:sz w:val="24"/>
          <w:szCs w:val="24"/>
          <w:lang w:val="en-US" w:eastAsia="zh-CN"/>
        </w:rPr>
        <w:t>2.3.1地理位置与周边环境</w:t>
      </w:r>
      <w:r>
        <w:rPr>
          <w:b/>
          <w:bCs/>
          <w:color w:val="auto"/>
          <w:sz w:val="24"/>
          <w:szCs w:val="24"/>
        </w:rPr>
        <w:tab/>
      </w:r>
      <w:r>
        <w:rPr>
          <w:b/>
          <w:bCs/>
          <w:color w:val="auto"/>
          <w:sz w:val="24"/>
          <w:szCs w:val="24"/>
        </w:rPr>
        <w:fldChar w:fldCharType="begin"/>
      </w:r>
      <w:r>
        <w:rPr>
          <w:b/>
          <w:bCs/>
          <w:color w:val="auto"/>
          <w:sz w:val="24"/>
          <w:szCs w:val="24"/>
        </w:rPr>
        <w:instrText xml:space="preserve"> PAGEREF _Toc20375 \h </w:instrText>
      </w:r>
      <w:r>
        <w:rPr>
          <w:b/>
          <w:bCs/>
          <w:color w:val="auto"/>
          <w:sz w:val="24"/>
          <w:szCs w:val="24"/>
        </w:rPr>
        <w:fldChar w:fldCharType="separate"/>
      </w:r>
      <w:r>
        <w:rPr>
          <w:b/>
          <w:bCs/>
          <w:color w:val="auto"/>
          <w:sz w:val="24"/>
          <w:szCs w:val="24"/>
        </w:rPr>
        <w:t>12</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_Toc14346 </w:instrText>
      </w:r>
      <w:r>
        <w:rPr>
          <w:b/>
          <w:bCs/>
          <w:color w:val="auto"/>
          <w:sz w:val="24"/>
          <w:szCs w:val="24"/>
        </w:rPr>
        <w:fldChar w:fldCharType="separate"/>
      </w:r>
      <w:r>
        <w:rPr>
          <w:rFonts w:hint="eastAsia"/>
          <w:b/>
          <w:bCs/>
          <w:color w:val="auto"/>
          <w:sz w:val="24"/>
          <w:szCs w:val="24"/>
          <w:lang w:val="en-US" w:eastAsia="zh-CN"/>
        </w:rPr>
        <w:t>2.3.2自然条件</w:t>
      </w:r>
      <w:r>
        <w:rPr>
          <w:b/>
          <w:bCs/>
          <w:color w:val="auto"/>
          <w:sz w:val="24"/>
          <w:szCs w:val="24"/>
        </w:rPr>
        <w:tab/>
      </w:r>
      <w:r>
        <w:rPr>
          <w:b/>
          <w:bCs/>
          <w:color w:val="auto"/>
          <w:sz w:val="24"/>
          <w:szCs w:val="24"/>
        </w:rPr>
        <w:fldChar w:fldCharType="begin"/>
      </w:r>
      <w:r>
        <w:rPr>
          <w:b/>
          <w:bCs/>
          <w:color w:val="auto"/>
          <w:sz w:val="24"/>
          <w:szCs w:val="24"/>
        </w:rPr>
        <w:instrText xml:space="preserve"> PAGEREF _Toc14346 \h </w:instrText>
      </w:r>
      <w:r>
        <w:rPr>
          <w:b/>
          <w:bCs/>
          <w:color w:val="auto"/>
          <w:sz w:val="24"/>
          <w:szCs w:val="24"/>
        </w:rPr>
        <w:fldChar w:fldCharType="separate"/>
      </w:r>
      <w:r>
        <w:rPr>
          <w:b/>
          <w:bCs/>
          <w:color w:val="auto"/>
          <w:sz w:val="24"/>
          <w:szCs w:val="24"/>
        </w:rPr>
        <w:t>14</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_Toc9549 </w:instrText>
      </w:r>
      <w:r>
        <w:rPr>
          <w:b/>
          <w:bCs/>
          <w:color w:val="auto"/>
          <w:sz w:val="24"/>
          <w:szCs w:val="24"/>
        </w:rPr>
        <w:fldChar w:fldCharType="separate"/>
      </w:r>
      <w:r>
        <w:rPr>
          <w:b/>
          <w:bCs/>
          <w:color w:val="auto"/>
          <w:sz w:val="24"/>
          <w:szCs w:val="24"/>
        </w:rPr>
        <w:t>2.</w:t>
      </w:r>
      <w:r>
        <w:rPr>
          <w:rFonts w:hint="eastAsia"/>
          <w:b/>
          <w:bCs/>
          <w:color w:val="auto"/>
          <w:sz w:val="24"/>
          <w:szCs w:val="24"/>
          <w:lang w:val="en-US" w:eastAsia="zh-CN"/>
        </w:rPr>
        <w:t>4</w:t>
      </w:r>
      <w:r>
        <w:rPr>
          <w:rFonts w:hint="eastAsia" w:ascii="宋体" w:hAnsi="宋体" w:eastAsia="宋体" w:cs="宋体"/>
          <w:b/>
          <w:bCs/>
          <w:color w:val="auto"/>
          <w:sz w:val="24"/>
          <w:szCs w:val="24"/>
          <w:lang w:val="en-US" w:eastAsia="zh-CN"/>
        </w:rPr>
        <w:t>总</w:t>
      </w:r>
      <w:r>
        <w:rPr>
          <w:rFonts w:hint="eastAsia" w:ascii="宋体" w:hAnsi="宋体" w:cs="宋体"/>
          <w:b/>
          <w:bCs/>
          <w:color w:val="auto"/>
          <w:sz w:val="24"/>
          <w:szCs w:val="24"/>
          <w:lang w:val="en-US" w:eastAsia="zh-CN"/>
        </w:rPr>
        <w:t>图及</w:t>
      </w:r>
      <w:r>
        <w:rPr>
          <w:rFonts w:hint="eastAsia" w:ascii="宋体" w:hAnsi="宋体" w:eastAsia="宋体" w:cs="宋体"/>
          <w:b/>
          <w:bCs/>
          <w:color w:val="auto"/>
          <w:sz w:val="24"/>
          <w:szCs w:val="24"/>
          <w:lang w:val="en-US" w:eastAsia="zh-CN"/>
        </w:rPr>
        <w:t>平面布置</w:t>
      </w:r>
      <w:r>
        <w:rPr>
          <w:b/>
          <w:bCs/>
          <w:color w:val="auto"/>
          <w:sz w:val="24"/>
          <w:szCs w:val="24"/>
        </w:rPr>
        <w:tab/>
      </w:r>
      <w:r>
        <w:rPr>
          <w:b/>
          <w:bCs/>
          <w:color w:val="auto"/>
          <w:sz w:val="24"/>
          <w:szCs w:val="24"/>
        </w:rPr>
        <w:fldChar w:fldCharType="begin"/>
      </w:r>
      <w:r>
        <w:rPr>
          <w:b/>
          <w:bCs/>
          <w:color w:val="auto"/>
          <w:sz w:val="24"/>
          <w:szCs w:val="24"/>
        </w:rPr>
        <w:instrText xml:space="preserve"> PAGEREF _Toc9549 \h </w:instrText>
      </w:r>
      <w:r>
        <w:rPr>
          <w:b/>
          <w:bCs/>
          <w:color w:val="auto"/>
          <w:sz w:val="24"/>
          <w:szCs w:val="24"/>
        </w:rPr>
        <w:fldChar w:fldCharType="separate"/>
      </w:r>
      <w:r>
        <w:rPr>
          <w:b/>
          <w:bCs/>
          <w:color w:val="auto"/>
          <w:sz w:val="24"/>
          <w:szCs w:val="24"/>
        </w:rPr>
        <w:t>14</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_Toc2210 </w:instrText>
      </w:r>
      <w:r>
        <w:rPr>
          <w:b/>
          <w:bCs/>
          <w:color w:val="auto"/>
          <w:sz w:val="24"/>
          <w:szCs w:val="24"/>
        </w:rPr>
        <w:fldChar w:fldCharType="separate"/>
      </w:r>
      <w:r>
        <w:rPr>
          <w:b/>
          <w:bCs/>
          <w:color w:val="auto"/>
          <w:sz w:val="24"/>
          <w:szCs w:val="24"/>
        </w:rPr>
        <w:t>2.</w:t>
      </w:r>
      <w:r>
        <w:rPr>
          <w:rFonts w:hint="eastAsia"/>
          <w:b/>
          <w:bCs/>
          <w:color w:val="auto"/>
          <w:sz w:val="24"/>
          <w:szCs w:val="24"/>
          <w:lang w:val="en-US" w:eastAsia="zh-CN"/>
        </w:rPr>
        <w:t>5</w:t>
      </w:r>
      <w:r>
        <w:rPr>
          <w:rFonts w:hint="eastAsia"/>
          <w:b/>
          <w:bCs/>
          <w:color w:val="auto"/>
          <w:sz w:val="24"/>
          <w:szCs w:val="24"/>
        </w:rPr>
        <w:t xml:space="preserve"> </w:t>
      </w:r>
      <w:r>
        <w:rPr>
          <w:rFonts w:hint="eastAsia" w:ascii="宋体" w:hAnsi="宋体" w:eastAsia="宋体" w:cs="宋体"/>
          <w:b/>
          <w:bCs/>
          <w:color w:val="auto"/>
          <w:sz w:val="24"/>
          <w:szCs w:val="24"/>
        </w:rPr>
        <w:t>工艺</w:t>
      </w:r>
      <w:r>
        <w:rPr>
          <w:rFonts w:hint="eastAsia" w:ascii="宋体" w:hAnsi="宋体" w:cs="宋体"/>
          <w:b/>
          <w:bCs/>
          <w:color w:val="auto"/>
          <w:sz w:val="24"/>
          <w:szCs w:val="24"/>
          <w:lang w:val="en-US" w:eastAsia="zh-CN"/>
        </w:rPr>
        <w:t>方案</w:t>
      </w:r>
      <w:r>
        <w:rPr>
          <w:b/>
          <w:bCs/>
          <w:color w:val="auto"/>
          <w:sz w:val="24"/>
          <w:szCs w:val="24"/>
        </w:rPr>
        <w:tab/>
      </w:r>
      <w:r>
        <w:rPr>
          <w:b/>
          <w:bCs/>
          <w:color w:val="auto"/>
          <w:sz w:val="24"/>
          <w:szCs w:val="24"/>
        </w:rPr>
        <w:fldChar w:fldCharType="begin"/>
      </w:r>
      <w:r>
        <w:rPr>
          <w:b/>
          <w:bCs/>
          <w:color w:val="auto"/>
          <w:sz w:val="24"/>
          <w:szCs w:val="24"/>
        </w:rPr>
        <w:instrText xml:space="preserve"> PAGEREF _Toc2210 \h </w:instrText>
      </w:r>
      <w:r>
        <w:rPr>
          <w:b/>
          <w:bCs/>
          <w:color w:val="auto"/>
          <w:sz w:val="24"/>
          <w:szCs w:val="24"/>
        </w:rPr>
        <w:fldChar w:fldCharType="separate"/>
      </w:r>
      <w:r>
        <w:rPr>
          <w:b/>
          <w:bCs/>
          <w:color w:val="auto"/>
          <w:sz w:val="24"/>
          <w:szCs w:val="24"/>
        </w:rPr>
        <w:t>15</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_Toc16501 </w:instrText>
      </w:r>
      <w:r>
        <w:rPr>
          <w:b/>
          <w:bCs/>
          <w:color w:val="auto"/>
          <w:sz w:val="24"/>
          <w:szCs w:val="24"/>
        </w:rPr>
        <w:fldChar w:fldCharType="separate"/>
      </w:r>
      <w:r>
        <w:rPr>
          <w:b/>
          <w:bCs/>
          <w:color w:val="auto"/>
          <w:sz w:val="24"/>
          <w:szCs w:val="24"/>
        </w:rPr>
        <w:t>2.</w:t>
      </w:r>
      <w:r>
        <w:rPr>
          <w:rFonts w:hint="eastAsia"/>
          <w:b/>
          <w:bCs/>
          <w:color w:val="auto"/>
          <w:sz w:val="24"/>
          <w:szCs w:val="24"/>
          <w:lang w:val="en-US" w:eastAsia="zh-CN"/>
        </w:rPr>
        <w:t>5</w:t>
      </w:r>
      <w:r>
        <w:rPr>
          <w:b/>
          <w:bCs/>
          <w:color w:val="auto"/>
          <w:sz w:val="24"/>
          <w:szCs w:val="24"/>
        </w:rPr>
        <w:t>.</w:t>
      </w:r>
      <w:r>
        <w:rPr>
          <w:rFonts w:hint="eastAsia"/>
          <w:b/>
          <w:bCs/>
          <w:color w:val="auto"/>
          <w:sz w:val="24"/>
          <w:szCs w:val="24"/>
          <w:lang w:val="en-US" w:eastAsia="zh-CN"/>
        </w:rPr>
        <w:t>1充电</w:t>
      </w:r>
      <w:r>
        <w:rPr>
          <w:b/>
          <w:bCs/>
          <w:color w:val="auto"/>
          <w:sz w:val="24"/>
          <w:szCs w:val="24"/>
        </w:rPr>
        <w:t>工艺流程</w:t>
      </w:r>
      <w:r>
        <w:rPr>
          <w:b/>
          <w:bCs/>
          <w:color w:val="auto"/>
          <w:sz w:val="24"/>
          <w:szCs w:val="24"/>
        </w:rPr>
        <w:tab/>
      </w:r>
      <w:r>
        <w:rPr>
          <w:b/>
          <w:bCs/>
          <w:color w:val="auto"/>
          <w:sz w:val="24"/>
          <w:szCs w:val="24"/>
        </w:rPr>
        <w:fldChar w:fldCharType="begin"/>
      </w:r>
      <w:r>
        <w:rPr>
          <w:b/>
          <w:bCs/>
          <w:color w:val="auto"/>
          <w:sz w:val="24"/>
          <w:szCs w:val="24"/>
        </w:rPr>
        <w:instrText xml:space="preserve"> PAGEREF _Toc16501 \h </w:instrText>
      </w:r>
      <w:r>
        <w:rPr>
          <w:b/>
          <w:bCs/>
          <w:color w:val="auto"/>
          <w:sz w:val="24"/>
          <w:szCs w:val="24"/>
        </w:rPr>
        <w:fldChar w:fldCharType="separate"/>
      </w:r>
      <w:r>
        <w:rPr>
          <w:b/>
          <w:bCs/>
          <w:color w:val="auto"/>
          <w:sz w:val="24"/>
          <w:szCs w:val="24"/>
        </w:rPr>
        <w:t>15</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_Toc2547 </w:instrText>
      </w:r>
      <w:r>
        <w:rPr>
          <w:b/>
          <w:bCs/>
          <w:color w:val="auto"/>
          <w:sz w:val="24"/>
          <w:szCs w:val="24"/>
        </w:rPr>
        <w:fldChar w:fldCharType="separate"/>
      </w:r>
      <w:r>
        <w:rPr>
          <w:b/>
          <w:bCs/>
          <w:color w:val="auto"/>
          <w:sz w:val="24"/>
          <w:szCs w:val="24"/>
        </w:rPr>
        <w:t>2.</w:t>
      </w:r>
      <w:r>
        <w:rPr>
          <w:rFonts w:hint="eastAsia"/>
          <w:b/>
          <w:bCs/>
          <w:color w:val="auto"/>
          <w:sz w:val="24"/>
          <w:szCs w:val="24"/>
          <w:lang w:val="en-US" w:eastAsia="zh-CN"/>
        </w:rPr>
        <w:t>5.2</w:t>
      </w:r>
      <w:r>
        <w:rPr>
          <w:rFonts w:hint="eastAsia" w:ascii="宋体" w:hAnsi="宋体" w:eastAsia="宋体" w:cs="宋体"/>
          <w:b/>
          <w:bCs/>
          <w:color w:val="auto"/>
          <w:sz w:val="24"/>
          <w:szCs w:val="24"/>
          <w:lang w:val="en-US" w:eastAsia="zh-CN"/>
        </w:rPr>
        <w:t>系统选择</w:t>
      </w:r>
      <w:r>
        <w:rPr>
          <w:b/>
          <w:bCs/>
          <w:color w:val="auto"/>
          <w:sz w:val="24"/>
          <w:szCs w:val="24"/>
        </w:rPr>
        <w:tab/>
      </w:r>
      <w:r>
        <w:rPr>
          <w:b/>
          <w:bCs/>
          <w:color w:val="auto"/>
          <w:sz w:val="24"/>
          <w:szCs w:val="24"/>
        </w:rPr>
        <w:fldChar w:fldCharType="begin"/>
      </w:r>
      <w:r>
        <w:rPr>
          <w:b/>
          <w:bCs/>
          <w:color w:val="auto"/>
          <w:sz w:val="24"/>
          <w:szCs w:val="24"/>
        </w:rPr>
        <w:instrText xml:space="preserve"> PAGEREF _Toc2547 \h </w:instrText>
      </w:r>
      <w:r>
        <w:rPr>
          <w:b/>
          <w:bCs/>
          <w:color w:val="auto"/>
          <w:sz w:val="24"/>
          <w:szCs w:val="24"/>
        </w:rPr>
        <w:fldChar w:fldCharType="separate"/>
      </w:r>
      <w:r>
        <w:rPr>
          <w:b/>
          <w:bCs/>
          <w:color w:val="auto"/>
          <w:sz w:val="24"/>
          <w:szCs w:val="24"/>
        </w:rPr>
        <w:t>17</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_Toc22339 </w:instrText>
      </w:r>
      <w:r>
        <w:rPr>
          <w:b/>
          <w:bCs/>
          <w:color w:val="auto"/>
          <w:sz w:val="24"/>
          <w:szCs w:val="24"/>
        </w:rPr>
        <w:fldChar w:fldCharType="separate"/>
      </w:r>
      <w:r>
        <w:rPr>
          <w:rFonts w:hint="eastAsia"/>
          <w:b/>
          <w:bCs/>
          <w:color w:val="auto"/>
          <w:sz w:val="24"/>
          <w:szCs w:val="24"/>
          <w:lang w:val="en-US" w:eastAsia="zh-CN"/>
        </w:rPr>
        <w:t>2.5.3柔性充电</w:t>
      </w:r>
      <w:r>
        <w:rPr>
          <w:b/>
          <w:bCs/>
          <w:color w:val="auto"/>
          <w:sz w:val="24"/>
          <w:szCs w:val="24"/>
        </w:rPr>
        <w:tab/>
      </w:r>
      <w:r>
        <w:rPr>
          <w:b/>
          <w:bCs/>
          <w:color w:val="auto"/>
          <w:sz w:val="24"/>
          <w:szCs w:val="24"/>
        </w:rPr>
        <w:fldChar w:fldCharType="begin"/>
      </w:r>
      <w:r>
        <w:rPr>
          <w:b/>
          <w:bCs/>
          <w:color w:val="auto"/>
          <w:sz w:val="24"/>
          <w:szCs w:val="24"/>
        </w:rPr>
        <w:instrText xml:space="preserve"> PAGEREF _Toc22339 \h </w:instrText>
      </w:r>
      <w:r>
        <w:rPr>
          <w:b/>
          <w:bCs/>
          <w:color w:val="auto"/>
          <w:sz w:val="24"/>
          <w:szCs w:val="24"/>
        </w:rPr>
        <w:fldChar w:fldCharType="separate"/>
      </w:r>
      <w:r>
        <w:rPr>
          <w:b/>
          <w:bCs/>
          <w:color w:val="auto"/>
          <w:sz w:val="24"/>
          <w:szCs w:val="24"/>
        </w:rPr>
        <w:t>18</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_Toc15335 </w:instrText>
      </w:r>
      <w:r>
        <w:rPr>
          <w:b/>
          <w:bCs/>
          <w:color w:val="auto"/>
          <w:sz w:val="24"/>
          <w:szCs w:val="24"/>
        </w:rPr>
        <w:fldChar w:fldCharType="separate"/>
      </w:r>
      <w:r>
        <w:rPr>
          <w:rFonts w:hint="eastAsia"/>
          <w:b/>
          <w:bCs/>
          <w:color w:val="auto"/>
          <w:sz w:val="24"/>
          <w:szCs w:val="24"/>
          <w:lang w:val="en-US" w:eastAsia="zh-CN"/>
        </w:rPr>
        <w:t>2.5.4智能管理</w:t>
      </w:r>
      <w:r>
        <w:rPr>
          <w:b/>
          <w:bCs/>
          <w:color w:val="auto"/>
          <w:sz w:val="24"/>
          <w:szCs w:val="24"/>
        </w:rPr>
        <w:tab/>
      </w:r>
      <w:r>
        <w:rPr>
          <w:b/>
          <w:bCs/>
          <w:color w:val="auto"/>
          <w:sz w:val="24"/>
          <w:szCs w:val="24"/>
        </w:rPr>
        <w:fldChar w:fldCharType="begin"/>
      </w:r>
      <w:r>
        <w:rPr>
          <w:b/>
          <w:bCs/>
          <w:color w:val="auto"/>
          <w:sz w:val="24"/>
          <w:szCs w:val="24"/>
        </w:rPr>
        <w:instrText xml:space="preserve"> PAGEREF _Toc15335 \h </w:instrText>
      </w:r>
      <w:r>
        <w:rPr>
          <w:b/>
          <w:bCs/>
          <w:color w:val="auto"/>
          <w:sz w:val="24"/>
          <w:szCs w:val="24"/>
        </w:rPr>
        <w:fldChar w:fldCharType="separate"/>
      </w:r>
      <w:r>
        <w:rPr>
          <w:b/>
          <w:bCs/>
          <w:color w:val="auto"/>
          <w:sz w:val="24"/>
          <w:szCs w:val="24"/>
        </w:rPr>
        <w:t>20</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_Toc2674 </w:instrText>
      </w:r>
      <w:r>
        <w:rPr>
          <w:b/>
          <w:bCs/>
          <w:color w:val="auto"/>
          <w:sz w:val="24"/>
          <w:szCs w:val="24"/>
        </w:rPr>
        <w:fldChar w:fldCharType="separate"/>
      </w:r>
      <w:r>
        <w:rPr>
          <w:rFonts w:hint="eastAsia"/>
          <w:b/>
          <w:bCs/>
          <w:color w:val="auto"/>
          <w:sz w:val="24"/>
          <w:szCs w:val="24"/>
          <w:lang w:val="en-US" w:eastAsia="zh-CN"/>
        </w:rPr>
        <w:t>2.6公用工程及辅助设施</w:t>
      </w:r>
      <w:r>
        <w:rPr>
          <w:b/>
          <w:bCs/>
          <w:color w:val="auto"/>
          <w:sz w:val="24"/>
          <w:szCs w:val="24"/>
        </w:rPr>
        <w:tab/>
      </w:r>
      <w:r>
        <w:rPr>
          <w:b/>
          <w:bCs/>
          <w:color w:val="auto"/>
          <w:sz w:val="24"/>
          <w:szCs w:val="24"/>
        </w:rPr>
        <w:fldChar w:fldCharType="begin"/>
      </w:r>
      <w:r>
        <w:rPr>
          <w:b/>
          <w:bCs/>
          <w:color w:val="auto"/>
          <w:sz w:val="24"/>
          <w:szCs w:val="24"/>
        </w:rPr>
        <w:instrText xml:space="preserve"> PAGEREF _Toc2674 \h </w:instrText>
      </w:r>
      <w:r>
        <w:rPr>
          <w:b/>
          <w:bCs/>
          <w:color w:val="auto"/>
          <w:sz w:val="24"/>
          <w:szCs w:val="24"/>
        </w:rPr>
        <w:fldChar w:fldCharType="separate"/>
      </w:r>
      <w:r>
        <w:rPr>
          <w:b/>
          <w:bCs/>
          <w:color w:val="auto"/>
          <w:sz w:val="24"/>
          <w:szCs w:val="24"/>
        </w:rPr>
        <w:t>20</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_Toc17114 </w:instrText>
      </w:r>
      <w:r>
        <w:rPr>
          <w:b/>
          <w:bCs/>
          <w:color w:val="auto"/>
          <w:sz w:val="24"/>
          <w:szCs w:val="24"/>
        </w:rPr>
        <w:fldChar w:fldCharType="separate"/>
      </w:r>
      <w:r>
        <w:rPr>
          <w:rFonts w:hint="eastAsia"/>
          <w:b/>
          <w:bCs/>
          <w:color w:val="auto"/>
          <w:sz w:val="24"/>
          <w:szCs w:val="24"/>
          <w:lang w:val="en-US" w:eastAsia="zh-CN"/>
        </w:rPr>
        <w:t>2.6.1供配电</w:t>
      </w:r>
      <w:r>
        <w:rPr>
          <w:b/>
          <w:bCs/>
          <w:color w:val="auto"/>
          <w:sz w:val="24"/>
          <w:szCs w:val="24"/>
        </w:rPr>
        <w:tab/>
      </w:r>
      <w:r>
        <w:rPr>
          <w:b/>
          <w:bCs/>
          <w:color w:val="auto"/>
          <w:sz w:val="24"/>
          <w:szCs w:val="24"/>
        </w:rPr>
        <w:fldChar w:fldCharType="begin"/>
      </w:r>
      <w:r>
        <w:rPr>
          <w:b/>
          <w:bCs/>
          <w:color w:val="auto"/>
          <w:sz w:val="24"/>
          <w:szCs w:val="24"/>
        </w:rPr>
        <w:instrText xml:space="preserve"> PAGEREF _Toc17114 \h </w:instrText>
      </w:r>
      <w:r>
        <w:rPr>
          <w:b/>
          <w:bCs/>
          <w:color w:val="auto"/>
          <w:sz w:val="24"/>
          <w:szCs w:val="24"/>
        </w:rPr>
        <w:fldChar w:fldCharType="separate"/>
      </w:r>
      <w:r>
        <w:rPr>
          <w:b/>
          <w:bCs/>
          <w:color w:val="auto"/>
          <w:sz w:val="24"/>
          <w:szCs w:val="24"/>
        </w:rPr>
        <w:t>20</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_Toc8504 </w:instrText>
      </w:r>
      <w:r>
        <w:rPr>
          <w:b/>
          <w:bCs/>
          <w:color w:val="auto"/>
          <w:sz w:val="24"/>
          <w:szCs w:val="24"/>
        </w:rPr>
        <w:fldChar w:fldCharType="separate"/>
      </w:r>
      <w:r>
        <w:rPr>
          <w:rFonts w:hint="eastAsia"/>
          <w:b/>
          <w:bCs/>
          <w:color w:val="auto"/>
          <w:sz w:val="24"/>
          <w:szCs w:val="24"/>
          <w:lang w:val="en-US" w:eastAsia="zh-CN"/>
        </w:rPr>
        <w:t>2.6.2给排水</w:t>
      </w:r>
      <w:r>
        <w:rPr>
          <w:b/>
          <w:bCs/>
          <w:color w:val="auto"/>
          <w:sz w:val="24"/>
          <w:szCs w:val="24"/>
        </w:rPr>
        <w:tab/>
      </w:r>
      <w:r>
        <w:rPr>
          <w:b/>
          <w:bCs/>
          <w:color w:val="auto"/>
          <w:sz w:val="24"/>
          <w:szCs w:val="24"/>
        </w:rPr>
        <w:fldChar w:fldCharType="begin"/>
      </w:r>
      <w:r>
        <w:rPr>
          <w:b/>
          <w:bCs/>
          <w:color w:val="auto"/>
          <w:sz w:val="24"/>
          <w:szCs w:val="24"/>
        </w:rPr>
        <w:instrText xml:space="preserve"> PAGEREF _Toc8504 \h </w:instrText>
      </w:r>
      <w:r>
        <w:rPr>
          <w:b/>
          <w:bCs/>
          <w:color w:val="auto"/>
          <w:sz w:val="24"/>
          <w:szCs w:val="24"/>
        </w:rPr>
        <w:fldChar w:fldCharType="separate"/>
      </w:r>
      <w:r>
        <w:rPr>
          <w:b/>
          <w:bCs/>
          <w:color w:val="auto"/>
          <w:sz w:val="24"/>
          <w:szCs w:val="24"/>
        </w:rPr>
        <w:t>21</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_Toc21584 </w:instrText>
      </w:r>
      <w:r>
        <w:rPr>
          <w:b/>
          <w:bCs/>
          <w:color w:val="auto"/>
          <w:sz w:val="24"/>
          <w:szCs w:val="24"/>
        </w:rPr>
        <w:fldChar w:fldCharType="separate"/>
      </w:r>
      <w:r>
        <w:rPr>
          <w:rFonts w:hint="eastAsia"/>
          <w:b/>
          <w:bCs/>
          <w:color w:val="auto"/>
          <w:sz w:val="24"/>
          <w:szCs w:val="24"/>
          <w:lang w:val="en-US" w:eastAsia="zh-CN"/>
        </w:rPr>
        <w:t>2.6.3通风与照明</w:t>
      </w:r>
      <w:r>
        <w:rPr>
          <w:b/>
          <w:bCs/>
          <w:color w:val="auto"/>
          <w:sz w:val="24"/>
          <w:szCs w:val="24"/>
        </w:rPr>
        <w:tab/>
      </w:r>
      <w:r>
        <w:rPr>
          <w:b/>
          <w:bCs/>
          <w:color w:val="auto"/>
          <w:sz w:val="24"/>
          <w:szCs w:val="24"/>
        </w:rPr>
        <w:fldChar w:fldCharType="begin"/>
      </w:r>
      <w:r>
        <w:rPr>
          <w:b/>
          <w:bCs/>
          <w:color w:val="auto"/>
          <w:sz w:val="24"/>
          <w:szCs w:val="24"/>
        </w:rPr>
        <w:instrText xml:space="preserve"> PAGEREF _Toc21584 \h </w:instrText>
      </w:r>
      <w:r>
        <w:rPr>
          <w:b/>
          <w:bCs/>
          <w:color w:val="auto"/>
          <w:sz w:val="24"/>
          <w:szCs w:val="24"/>
        </w:rPr>
        <w:fldChar w:fldCharType="separate"/>
      </w:r>
      <w:r>
        <w:rPr>
          <w:b/>
          <w:bCs/>
          <w:color w:val="auto"/>
          <w:sz w:val="24"/>
          <w:szCs w:val="24"/>
        </w:rPr>
        <w:t>21</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_Toc24991 </w:instrText>
      </w:r>
      <w:r>
        <w:rPr>
          <w:b/>
          <w:bCs/>
          <w:color w:val="auto"/>
          <w:sz w:val="24"/>
          <w:szCs w:val="24"/>
        </w:rPr>
        <w:fldChar w:fldCharType="separate"/>
      </w:r>
      <w:r>
        <w:rPr>
          <w:rFonts w:hint="eastAsia"/>
          <w:b/>
          <w:bCs/>
          <w:color w:val="auto"/>
          <w:sz w:val="24"/>
          <w:szCs w:val="24"/>
          <w:lang w:val="en-US" w:eastAsia="zh-CN"/>
        </w:rPr>
        <w:t>2.7</w:t>
      </w:r>
      <w:r>
        <w:rPr>
          <w:b/>
          <w:bCs/>
          <w:color w:val="auto"/>
          <w:sz w:val="24"/>
          <w:szCs w:val="24"/>
        </w:rPr>
        <w:t>消防</w:t>
      </w:r>
      <w:r>
        <w:rPr>
          <w:b/>
          <w:bCs/>
          <w:color w:val="auto"/>
          <w:sz w:val="24"/>
          <w:szCs w:val="24"/>
        </w:rPr>
        <w:tab/>
      </w:r>
      <w:r>
        <w:rPr>
          <w:b/>
          <w:bCs/>
          <w:color w:val="auto"/>
          <w:sz w:val="24"/>
          <w:szCs w:val="24"/>
        </w:rPr>
        <w:fldChar w:fldCharType="begin"/>
      </w:r>
      <w:r>
        <w:rPr>
          <w:b/>
          <w:bCs/>
          <w:color w:val="auto"/>
          <w:sz w:val="24"/>
          <w:szCs w:val="24"/>
        </w:rPr>
        <w:instrText xml:space="preserve"> PAGEREF _Toc24991 \h </w:instrText>
      </w:r>
      <w:r>
        <w:rPr>
          <w:b/>
          <w:bCs/>
          <w:color w:val="auto"/>
          <w:sz w:val="24"/>
          <w:szCs w:val="24"/>
        </w:rPr>
        <w:fldChar w:fldCharType="separate"/>
      </w:r>
      <w:r>
        <w:rPr>
          <w:b/>
          <w:bCs/>
          <w:color w:val="auto"/>
          <w:sz w:val="24"/>
          <w:szCs w:val="24"/>
        </w:rPr>
        <w:t>21</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_Toc21083 </w:instrText>
      </w:r>
      <w:r>
        <w:rPr>
          <w:b/>
          <w:bCs/>
          <w:color w:val="auto"/>
          <w:sz w:val="24"/>
          <w:szCs w:val="24"/>
        </w:rPr>
        <w:fldChar w:fldCharType="separate"/>
      </w:r>
      <w:r>
        <w:rPr>
          <w:rFonts w:hint="eastAsia"/>
          <w:b/>
          <w:bCs/>
          <w:color w:val="auto"/>
          <w:sz w:val="24"/>
          <w:szCs w:val="24"/>
          <w:lang w:val="en-US" w:eastAsia="zh-CN"/>
        </w:rPr>
        <w:t>2.8防雷防静电</w:t>
      </w:r>
      <w:r>
        <w:rPr>
          <w:b/>
          <w:bCs/>
          <w:color w:val="auto"/>
          <w:sz w:val="24"/>
          <w:szCs w:val="24"/>
        </w:rPr>
        <w:tab/>
      </w:r>
      <w:r>
        <w:rPr>
          <w:b/>
          <w:bCs/>
          <w:color w:val="auto"/>
          <w:sz w:val="24"/>
          <w:szCs w:val="24"/>
        </w:rPr>
        <w:fldChar w:fldCharType="begin"/>
      </w:r>
      <w:r>
        <w:rPr>
          <w:b/>
          <w:bCs/>
          <w:color w:val="auto"/>
          <w:sz w:val="24"/>
          <w:szCs w:val="24"/>
        </w:rPr>
        <w:instrText xml:space="preserve"> PAGEREF _Toc21083 \h </w:instrText>
      </w:r>
      <w:r>
        <w:rPr>
          <w:b/>
          <w:bCs/>
          <w:color w:val="auto"/>
          <w:sz w:val="24"/>
          <w:szCs w:val="24"/>
        </w:rPr>
        <w:fldChar w:fldCharType="separate"/>
      </w:r>
      <w:r>
        <w:rPr>
          <w:b/>
          <w:bCs/>
          <w:color w:val="auto"/>
          <w:sz w:val="24"/>
          <w:szCs w:val="24"/>
        </w:rPr>
        <w:t>21</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_Toc20706 </w:instrText>
      </w:r>
      <w:r>
        <w:rPr>
          <w:b/>
          <w:bCs/>
          <w:color w:val="auto"/>
          <w:sz w:val="24"/>
          <w:szCs w:val="24"/>
        </w:rPr>
        <w:fldChar w:fldCharType="separate"/>
      </w:r>
      <w:r>
        <w:rPr>
          <w:b/>
          <w:bCs/>
          <w:color w:val="auto"/>
          <w:sz w:val="24"/>
          <w:szCs w:val="24"/>
        </w:rPr>
        <w:t>2.</w:t>
      </w:r>
      <w:r>
        <w:rPr>
          <w:rFonts w:hint="eastAsia"/>
          <w:b/>
          <w:bCs/>
          <w:color w:val="auto"/>
          <w:sz w:val="24"/>
          <w:szCs w:val="24"/>
          <w:lang w:val="en-US" w:eastAsia="zh-CN"/>
        </w:rPr>
        <w:t>9</w:t>
      </w:r>
      <w:r>
        <w:rPr>
          <w:rFonts w:hint="eastAsia" w:ascii="宋体" w:hAnsi="宋体" w:eastAsia="宋体" w:cs="宋体"/>
          <w:b/>
          <w:bCs/>
          <w:color w:val="auto"/>
          <w:sz w:val="24"/>
          <w:szCs w:val="24"/>
        </w:rPr>
        <w:t>安全管理体系</w:t>
      </w:r>
      <w:r>
        <w:rPr>
          <w:b/>
          <w:bCs/>
          <w:color w:val="auto"/>
          <w:sz w:val="24"/>
          <w:szCs w:val="24"/>
        </w:rPr>
        <w:tab/>
      </w:r>
      <w:r>
        <w:rPr>
          <w:b/>
          <w:bCs/>
          <w:color w:val="auto"/>
          <w:sz w:val="24"/>
          <w:szCs w:val="24"/>
        </w:rPr>
        <w:fldChar w:fldCharType="begin"/>
      </w:r>
      <w:r>
        <w:rPr>
          <w:b/>
          <w:bCs/>
          <w:color w:val="auto"/>
          <w:sz w:val="24"/>
          <w:szCs w:val="24"/>
        </w:rPr>
        <w:instrText xml:space="preserve"> PAGEREF _Toc20706 \h </w:instrText>
      </w:r>
      <w:r>
        <w:rPr>
          <w:b/>
          <w:bCs/>
          <w:color w:val="auto"/>
          <w:sz w:val="24"/>
          <w:szCs w:val="24"/>
        </w:rPr>
        <w:fldChar w:fldCharType="separate"/>
      </w:r>
      <w:r>
        <w:rPr>
          <w:b/>
          <w:bCs/>
          <w:color w:val="auto"/>
          <w:sz w:val="24"/>
          <w:szCs w:val="24"/>
        </w:rPr>
        <w:t>22</w:t>
      </w:r>
      <w:r>
        <w:rPr>
          <w:b/>
          <w:bCs/>
          <w:color w:val="auto"/>
          <w:sz w:val="24"/>
          <w:szCs w:val="24"/>
        </w:rPr>
        <w:fldChar w:fldCharType="end"/>
      </w:r>
      <w:r>
        <w:rPr>
          <w:b/>
          <w:bCs/>
          <w:color w:val="auto"/>
          <w:sz w:val="24"/>
          <w:szCs w:val="24"/>
        </w:rPr>
        <w:fldChar w:fldCharType="end"/>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_Toc21259 </w:instrText>
      </w:r>
      <w:r>
        <w:rPr>
          <w:b/>
          <w:bCs/>
          <w:color w:val="auto"/>
          <w:sz w:val="24"/>
          <w:szCs w:val="24"/>
        </w:rPr>
        <w:fldChar w:fldCharType="separate"/>
      </w:r>
      <w:r>
        <w:rPr>
          <w:b/>
          <w:bCs/>
          <w:color w:val="auto"/>
          <w:sz w:val="24"/>
          <w:szCs w:val="24"/>
        </w:rPr>
        <w:t>3</w:t>
      </w:r>
      <w:r>
        <w:rPr>
          <w:rFonts w:hint="eastAsia" w:ascii="宋体" w:hAnsi="宋体" w:eastAsia="宋体" w:cs="宋体"/>
          <w:b/>
          <w:bCs/>
          <w:color w:val="auto"/>
          <w:sz w:val="24"/>
          <w:szCs w:val="24"/>
        </w:rPr>
        <w:t>主要危险、有害因素分析</w:t>
      </w:r>
      <w:r>
        <w:rPr>
          <w:b/>
          <w:bCs/>
          <w:color w:val="auto"/>
          <w:sz w:val="24"/>
          <w:szCs w:val="24"/>
        </w:rPr>
        <w:tab/>
      </w:r>
      <w:r>
        <w:rPr>
          <w:b/>
          <w:bCs/>
          <w:color w:val="auto"/>
          <w:sz w:val="24"/>
          <w:szCs w:val="24"/>
        </w:rPr>
        <w:fldChar w:fldCharType="begin"/>
      </w:r>
      <w:r>
        <w:rPr>
          <w:b/>
          <w:bCs/>
          <w:color w:val="auto"/>
          <w:sz w:val="24"/>
          <w:szCs w:val="24"/>
        </w:rPr>
        <w:instrText xml:space="preserve"> PAGEREF _Toc21259 \h </w:instrText>
      </w:r>
      <w:r>
        <w:rPr>
          <w:b/>
          <w:bCs/>
          <w:color w:val="auto"/>
          <w:sz w:val="24"/>
          <w:szCs w:val="24"/>
        </w:rPr>
        <w:fldChar w:fldCharType="separate"/>
      </w:r>
      <w:r>
        <w:rPr>
          <w:b/>
          <w:bCs/>
          <w:color w:val="auto"/>
          <w:sz w:val="24"/>
          <w:szCs w:val="24"/>
        </w:rPr>
        <w:t>23</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_Toc17284 </w:instrText>
      </w:r>
      <w:r>
        <w:rPr>
          <w:b/>
          <w:bCs/>
          <w:color w:val="auto"/>
          <w:sz w:val="24"/>
          <w:szCs w:val="24"/>
        </w:rPr>
        <w:fldChar w:fldCharType="separate"/>
      </w:r>
      <w:r>
        <w:rPr>
          <w:b/>
          <w:bCs/>
          <w:color w:val="auto"/>
          <w:sz w:val="24"/>
          <w:szCs w:val="24"/>
        </w:rPr>
        <w:t>3.1</w:t>
      </w:r>
      <w:r>
        <w:rPr>
          <w:rFonts w:hint="eastAsia" w:ascii="宋体" w:hAnsi="宋体" w:eastAsia="宋体" w:cs="宋体"/>
          <w:b/>
          <w:bCs/>
          <w:color w:val="auto"/>
          <w:sz w:val="24"/>
          <w:szCs w:val="24"/>
          <w:lang w:val="en-US" w:eastAsia="zh-CN"/>
        </w:rPr>
        <w:t>危险有害因素辨识的依据</w:t>
      </w:r>
      <w:r>
        <w:rPr>
          <w:b/>
          <w:bCs/>
          <w:color w:val="auto"/>
          <w:sz w:val="24"/>
          <w:szCs w:val="24"/>
        </w:rPr>
        <w:tab/>
      </w:r>
      <w:r>
        <w:rPr>
          <w:b/>
          <w:bCs/>
          <w:color w:val="auto"/>
          <w:sz w:val="24"/>
          <w:szCs w:val="24"/>
        </w:rPr>
        <w:fldChar w:fldCharType="begin"/>
      </w:r>
      <w:r>
        <w:rPr>
          <w:b/>
          <w:bCs/>
          <w:color w:val="auto"/>
          <w:sz w:val="24"/>
          <w:szCs w:val="24"/>
        </w:rPr>
        <w:instrText xml:space="preserve"> PAGEREF _Toc17284 \h </w:instrText>
      </w:r>
      <w:r>
        <w:rPr>
          <w:b/>
          <w:bCs/>
          <w:color w:val="auto"/>
          <w:sz w:val="24"/>
          <w:szCs w:val="24"/>
        </w:rPr>
        <w:fldChar w:fldCharType="separate"/>
      </w:r>
      <w:r>
        <w:rPr>
          <w:b/>
          <w:bCs/>
          <w:color w:val="auto"/>
          <w:sz w:val="24"/>
          <w:szCs w:val="24"/>
        </w:rPr>
        <w:t>23</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_Toc31916 </w:instrText>
      </w:r>
      <w:r>
        <w:rPr>
          <w:b/>
          <w:bCs/>
          <w:color w:val="auto"/>
          <w:sz w:val="24"/>
          <w:szCs w:val="24"/>
        </w:rPr>
        <w:fldChar w:fldCharType="separate"/>
      </w:r>
      <w:r>
        <w:rPr>
          <w:b/>
          <w:bCs/>
          <w:color w:val="auto"/>
          <w:sz w:val="24"/>
          <w:szCs w:val="24"/>
        </w:rPr>
        <w:t>3.</w:t>
      </w:r>
      <w:r>
        <w:rPr>
          <w:rFonts w:hint="eastAsia"/>
          <w:b/>
          <w:bCs/>
          <w:color w:val="auto"/>
          <w:sz w:val="24"/>
          <w:szCs w:val="24"/>
          <w:lang w:val="en-US" w:eastAsia="zh-CN"/>
        </w:rPr>
        <w:t>2</w:t>
      </w:r>
      <w:r>
        <w:rPr>
          <w:rFonts w:hint="eastAsia" w:ascii="宋体" w:hAnsi="宋体" w:cs="宋体"/>
          <w:b/>
          <w:bCs/>
          <w:color w:val="auto"/>
          <w:sz w:val="24"/>
          <w:szCs w:val="24"/>
          <w:lang w:val="en-US" w:eastAsia="zh-CN"/>
        </w:rPr>
        <w:t>主要</w:t>
      </w:r>
      <w:r>
        <w:rPr>
          <w:rFonts w:hint="eastAsia" w:ascii="宋体" w:hAnsi="宋体" w:eastAsia="宋体" w:cs="宋体"/>
          <w:b/>
          <w:bCs/>
          <w:color w:val="auto"/>
          <w:sz w:val="24"/>
          <w:szCs w:val="24"/>
        </w:rPr>
        <w:t>危险</w:t>
      </w:r>
      <w:r>
        <w:rPr>
          <w:rFonts w:hint="eastAsia" w:ascii="宋体" w:hAnsi="宋体" w:cs="宋体"/>
          <w:b/>
          <w:bCs/>
          <w:color w:val="auto"/>
          <w:sz w:val="24"/>
          <w:szCs w:val="24"/>
          <w:lang w:eastAsia="zh-CN"/>
        </w:rPr>
        <w:t>、</w:t>
      </w:r>
      <w:r>
        <w:rPr>
          <w:rFonts w:hint="eastAsia" w:ascii="宋体" w:hAnsi="宋体" w:eastAsia="宋体" w:cs="宋体"/>
          <w:b/>
          <w:bCs/>
          <w:color w:val="auto"/>
          <w:sz w:val="24"/>
          <w:szCs w:val="24"/>
        </w:rPr>
        <w:t>有害因素分析</w:t>
      </w:r>
      <w:r>
        <w:rPr>
          <w:b/>
          <w:bCs/>
          <w:color w:val="auto"/>
          <w:sz w:val="24"/>
          <w:szCs w:val="24"/>
        </w:rPr>
        <w:tab/>
      </w:r>
      <w:r>
        <w:rPr>
          <w:b/>
          <w:bCs/>
          <w:color w:val="auto"/>
          <w:sz w:val="24"/>
          <w:szCs w:val="24"/>
        </w:rPr>
        <w:fldChar w:fldCharType="begin"/>
      </w:r>
      <w:r>
        <w:rPr>
          <w:b/>
          <w:bCs/>
          <w:color w:val="auto"/>
          <w:sz w:val="24"/>
          <w:szCs w:val="24"/>
        </w:rPr>
        <w:instrText xml:space="preserve"> PAGEREF _Toc31916 \h </w:instrText>
      </w:r>
      <w:r>
        <w:rPr>
          <w:b/>
          <w:bCs/>
          <w:color w:val="auto"/>
          <w:sz w:val="24"/>
          <w:szCs w:val="24"/>
        </w:rPr>
        <w:fldChar w:fldCharType="separate"/>
      </w:r>
      <w:r>
        <w:rPr>
          <w:b/>
          <w:bCs/>
          <w:color w:val="auto"/>
          <w:sz w:val="24"/>
          <w:szCs w:val="24"/>
        </w:rPr>
        <w:t>24</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_Toc9009 </w:instrText>
      </w:r>
      <w:r>
        <w:rPr>
          <w:b/>
          <w:bCs/>
          <w:color w:val="auto"/>
          <w:sz w:val="24"/>
          <w:szCs w:val="24"/>
        </w:rPr>
        <w:fldChar w:fldCharType="separate"/>
      </w:r>
      <w:r>
        <w:rPr>
          <w:rFonts w:hint="eastAsia"/>
          <w:b/>
          <w:bCs/>
          <w:color w:val="auto"/>
          <w:sz w:val="24"/>
          <w:szCs w:val="24"/>
          <w:lang w:val="en-US" w:eastAsia="zh-CN"/>
        </w:rPr>
        <w:t>3.3经营</w:t>
      </w:r>
      <w:r>
        <w:rPr>
          <w:b/>
          <w:bCs/>
          <w:color w:val="auto"/>
          <w:sz w:val="24"/>
          <w:szCs w:val="24"/>
        </w:rPr>
        <w:t>过程中的危险、有害因素分析</w:t>
      </w:r>
      <w:r>
        <w:rPr>
          <w:b/>
          <w:bCs/>
          <w:color w:val="auto"/>
          <w:sz w:val="24"/>
          <w:szCs w:val="24"/>
        </w:rPr>
        <w:tab/>
      </w:r>
      <w:r>
        <w:rPr>
          <w:b/>
          <w:bCs/>
          <w:color w:val="auto"/>
          <w:sz w:val="24"/>
          <w:szCs w:val="24"/>
        </w:rPr>
        <w:fldChar w:fldCharType="begin"/>
      </w:r>
      <w:r>
        <w:rPr>
          <w:b/>
          <w:bCs/>
          <w:color w:val="auto"/>
          <w:sz w:val="24"/>
          <w:szCs w:val="24"/>
        </w:rPr>
        <w:instrText xml:space="preserve"> PAGEREF _Toc9009 \h </w:instrText>
      </w:r>
      <w:r>
        <w:rPr>
          <w:b/>
          <w:bCs/>
          <w:color w:val="auto"/>
          <w:sz w:val="24"/>
          <w:szCs w:val="24"/>
        </w:rPr>
        <w:fldChar w:fldCharType="separate"/>
      </w:r>
      <w:r>
        <w:rPr>
          <w:b/>
          <w:bCs/>
          <w:color w:val="auto"/>
          <w:sz w:val="24"/>
          <w:szCs w:val="24"/>
        </w:rPr>
        <w:t>26</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_Toc9366 </w:instrText>
      </w:r>
      <w:r>
        <w:rPr>
          <w:b/>
          <w:bCs/>
          <w:color w:val="auto"/>
          <w:sz w:val="24"/>
          <w:szCs w:val="24"/>
        </w:rPr>
        <w:fldChar w:fldCharType="separate"/>
      </w:r>
      <w:r>
        <w:rPr>
          <w:b/>
          <w:bCs/>
          <w:color w:val="auto"/>
          <w:sz w:val="24"/>
          <w:szCs w:val="24"/>
        </w:rPr>
        <w:t>3.</w:t>
      </w:r>
      <w:r>
        <w:rPr>
          <w:rFonts w:hint="eastAsia"/>
          <w:b/>
          <w:bCs/>
          <w:color w:val="auto"/>
          <w:sz w:val="24"/>
          <w:szCs w:val="24"/>
          <w:lang w:val="en-US" w:eastAsia="zh-CN"/>
        </w:rPr>
        <w:t>4</w:t>
      </w:r>
      <w:r>
        <w:rPr>
          <w:rFonts w:hint="eastAsia"/>
          <w:b/>
          <w:bCs/>
          <w:color w:val="auto"/>
          <w:sz w:val="24"/>
          <w:szCs w:val="24"/>
        </w:rPr>
        <w:t>自然环境条件影响分析</w:t>
      </w:r>
      <w:r>
        <w:rPr>
          <w:b/>
          <w:bCs/>
          <w:color w:val="auto"/>
          <w:sz w:val="24"/>
          <w:szCs w:val="24"/>
        </w:rPr>
        <w:tab/>
      </w:r>
      <w:r>
        <w:rPr>
          <w:b/>
          <w:bCs/>
          <w:color w:val="auto"/>
          <w:sz w:val="24"/>
          <w:szCs w:val="24"/>
        </w:rPr>
        <w:fldChar w:fldCharType="begin"/>
      </w:r>
      <w:r>
        <w:rPr>
          <w:b/>
          <w:bCs/>
          <w:color w:val="auto"/>
          <w:sz w:val="24"/>
          <w:szCs w:val="24"/>
        </w:rPr>
        <w:instrText xml:space="preserve"> PAGEREF _Toc9366 \h </w:instrText>
      </w:r>
      <w:r>
        <w:rPr>
          <w:b/>
          <w:bCs/>
          <w:color w:val="auto"/>
          <w:sz w:val="24"/>
          <w:szCs w:val="24"/>
        </w:rPr>
        <w:fldChar w:fldCharType="separate"/>
      </w:r>
      <w:r>
        <w:rPr>
          <w:b/>
          <w:bCs/>
          <w:color w:val="auto"/>
          <w:sz w:val="24"/>
          <w:szCs w:val="24"/>
        </w:rPr>
        <w:t>29</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_Toc16566 </w:instrText>
      </w:r>
      <w:r>
        <w:rPr>
          <w:b/>
          <w:bCs/>
          <w:color w:val="auto"/>
          <w:sz w:val="24"/>
          <w:szCs w:val="24"/>
        </w:rPr>
        <w:fldChar w:fldCharType="separate"/>
      </w:r>
      <w:r>
        <w:rPr>
          <w:rFonts w:hint="eastAsia"/>
          <w:b/>
          <w:bCs/>
          <w:color w:val="auto"/>
          <w:sz w:val="24"/>
          <w:szCs w:val="24"/>
          <w:lang w:val="en-US" w:eastAsia="zh-CN"/>
        </w:rPr>
        <w:t>3.5重大危险源辨识</w:t>
      </w:r>
      <w:r>
        <w:rPr>
          <w:b/>
          <w:bCs/>
          <w:color w:val="auto"/>
          <w:sz w:val="24"/>
          <w:szCs w:val="24"/>
        </w:rPr>
        <w:tab/>
      </w:r>
      <w:r>
        <w:rPr>
          <w:b/>
          <w:bCs/>
          <w:color w:val="auto"/>
          <w:sz w:val="24"/>
          <w:szCs w:val="24"/>
        </w:rPr>
        <w:fldChar w:fldCharType="begin"/>
      </w:r>
      <w:r>
        <w:rPr>
          <w:b/>
          <w:bCs/>
          <w:color w:val="auto"/>
          <w:sz w:val="24"/>
          <w:szCs w:val="24"/>
        </w:rPr>
        <w:instrText xml:space="preserve"> PAGEREF _Toc16566 \h </w:instrText>
      </w:r>
      <w:r>
        <w:rPr>
          <w:b/>
          <w:bCs/>
          <w:color w:val="auto"/>
          <w:sz w:val="24"/>
          <w:szCs w:val="24"/>
        </w:rPr>
        <w:fldChar w:fldCharType="separate"/>
      </w:r>
      <w:r>
        <w:rPr>
          <w:b/>
          <w:bCs/>
          <w:color w:val="auto"/>
          <w:sz w:val="24"/>
          <w:szCs w:val="24"/>
        </w:rPr>
        <w:t>30</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_Toc19933 </w:instrText>
      </w:r>
      <w:r>
        <w:rPr>
          <w:b/>
          <w:bCs/>
          <w:color w:val="auto"/>
          <w:sz w:val="24"/>
          <w:szCs w:val="24"/>
        </w:rPr>
        <w:fldChar w:fldCharType="separate"/>
      </w:r>
      <w:r>
        <w:rPr>
          <w:rFonts w:hint="default"/>
          <w:b/>
          <w:bCs/>
          <w:color w:val="auto"/>
          <w:sz w:val="24"/>
          <w:szCs w:val="24"/>
          <w:lang w:val="en-US" w:eastAsia="zh-CN"/>
        </w:rPr>
        <w:t>3</w:t>
      </w:r>
      <w:r>
        <w:rPr>
          <w:rFonts w:hint="eastAsia"/>
          <w:b/>
          <w:bCs/>
          <w:color w:val="auto"/>
          <w:sz w:val="24"/>
          <w:szCs w:val="24"/>
          <w:lang w:val="en-US" w:eastAsia="zh-CN"/>
        </w:rPr>
        <w:t>.6</w:t>
      </w:r>
      <w:r>
        <w:rPr>
          <w:rFonts w:hint="default"/>
          <w:b/>
          <w:bCs/>
          <w:color w:val="auto"/>
          <w:sz w:val="24"/>
          <w:szCs w:val="24"/>
          <w:lang w:val="en-US" w:eastAsia="zh-CN"/>
        </w:rPr>
        <w:t>典型</w:t>
      </w:r>
      <w:r>
        <w:rPr>
          <w:rFonts w:hint="eastAsia"/>
          <w:b/>
          <w:bCs/>
          <w:color w:val="auto"/>
          <w:sz w:val="24"/>
          <w:szCs w:val="24"/>
          <w:lang w:val="en-US" w:eastAsia="zh-CN"/>
        </w:rPr>
        <w:t>事</w:t>
      </w:r>
      <w:r>
        <w:rPr>
          <w:rFonts w:hint="default"/>
          <w:b/>
          <w:bCs/>
          <w:color w:val="auto"/>
          <w:sz w:val="24"/>
          <w:szCs w:val="24"/>
          <w:lang w:val="en-US" w:eastAsia="zh-CN"/>
        </w:rPr>
        <w:t>故案例分析</w:t>
      </w:r>
      <w:r>
        <w:rPr>
          <w:b/>
          <w:bCs/>
          <w:color w:val="auto"/>
          <w:sz w:val="24"/>
          <w:szCs w:val="24"/>
        </w:rPr>
        <w:tab/>
      </w:r>
      <w:r>
        <w:rPr>
          <w:b/>
          <w:bCs/>
          <w:color w:val="auto"/>
          <w:sz w:val="24"/>
          <w:szCs w:val="24"/>
        </w:rPr>
        <w:fldChar w:fldCharType="begin"/>
      </w:r>
      <w:r>
        <w:rPr>
          <w:b/>
          <w:bCs/>
          <w:color w:val="auto"/>
          <w:sz w:val="24"/>
          <w:szCs w:val="24"/>
        </w:rPr>
        <w:instrText xml:space="preserve"> PAGEREF _Toc19933 \h </w:instrText>
      </w:r>
      <w:r>
        <w:rPr>
          <w:b/>
          <w:bCs/>
          <w:color w:val="auto"/>
          <w:sz w:val="24"/>
          <w:szCs w:val="24"/>
        </w:rPr>
        <w:fldChar w:fldCharType="separate"/>
      </w:r>
      <w:r>
        <w:rPr>
          <w:b/>
          <w:bCs/>
          <w:color w:val="auto"/>
          <w:sz w:val="24"/>
          <w:szCs w:val="24"/>
        </w:rPr>
        <w:t>30</w:t>
      </w:r>
      <w:r>
        <w:rPr>
          <w:b/>
          <w:bCs/>
          <w:color w:val="auto"/>
          <w:sz w:val="24"/>
          <w:szCs w:val="24"/>
        </w:rPr>
        <w:fldChar w:fldCharType="end"/>
      </w:r>
      <w:r>
        <w:rPr>
          <w:b/>
          <w:bCs/>
          <w:color w:val="auto"/>
          <w:sz w:val="24"/>
          <w:szCs w:val="24"/>
        </w:rPr>
        <w:fldChar w:fldCharType="end"/>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_Toc31366 </w:instrText>
      </w:r>
      <w:r>
        <w:rPr>
          <w:b/>
          <w:bCs/>
          <w:color w:val="auto"/>
          <w:sz w:val="24"/>
          <w:szCs w:val="24"/>
        </w:rPr>
        <w:fldChar w:fldCharType="separate"/>
      </w:r>
      <w:r>
        <w:rPr>
          <w:b/>
          <w:bCs/>
          <w:color w:val="auto"/>
          <w:sz w:val="24"/>
          <w:szCs w:val="24"/>
        </w:rPr>
        <w:t>4</w:t>
      </w:r>
      <w:r>
        <w:rPr>
          <w:rFonts w:hint="eastAsia" w:ascii="宋体" w:hAnsi="宋体" w:eastAsia="宋体" w:cs="宋体"/>
          <w:b/>
          <w:bCs/>
          <w:color w:val="auto"/>
          <w:sz w:val="24"/>
          <w:szCs w:val="24"/>
        </w:rPr>
        <w:t>评价单元的确定及评价方法选择</w:t>
      </w:r>
      <w:r>
        <w:rPr>
          <w:b/>
          <w:bCs/>
          <w:color w:val="auto"/>
          <w:sz w:val="24"/>
          <w:szCs w:val="24"/>
        </w:rPr>
        <w:tab/>
      </w:r>
      <w:r>
        <w:rPr>
          <w:b/>
          <w:bCs/>
          <w:color w:val="auto"/>
          <w:sz w:val="24"/>
          <w:szCs w:val="24"/>
        </w:rPr>
        <w:fldChar w:fldCharType="begin"/>
      </w:r>
      <w:r>
        <w:rPr>
          <w:b/>
          <w:bCs/>
          <w:color w:val="auto"/>
          <w:sz w:val="24"/>
          <w:szCs w:val="24"/>
        </w:rPr>
        <w:instrText xml:space="preserve"> PAGEREF _Toc31366 \h </w:instrText>
      </w:r>
      <w:r>
        <w:rPr>
          <w:b/>
          <w:bCs/>
          <w:color w:val="auto"/>
          <w:sz w:val="24"/>
          <w:szCs w:val="24"/>
        </w:rPr>
        <w:fldChar w:fldCharType="separate"/>
      </w:r>
      <w:r>
        <w:rPr>
          <w:b/>
          <w:bCs/>
          <w:color w:val="auto"/>
          <w:sz w:val="24"/>
          <w:szCs w:val="24"/>
        </w:rPr>
        <w:t>33</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_Toc20004 </w:instrText>
      </w:r>
      <w:r>
        <w:rPr>
          <w:b/>
          <w:bCs/>
          <w:color w:val="auto"/>
          <w:sz w:val="24"/>
          <w:szCs w:val="24"/>
        </w:rPr>
        <w:fldChar w:fldCharType="separate"/>
      </w:r>
      <w:r>
        <w:rPr>
          <w:b/>
          <w:bCs/>
          <w:color w:val="auto"/>
          <w:sz w:val="24"/>
          <w:szCs w:val="24"/>
        </w:rPr>
        <w:t>4.1</w:t>
      </w:r>
      <w:r>
        <w:rPr>
          <w:rFonts w:hint="eastAsia" w:ascii="宋体" w:hAnsi="宋体" w:eastAsia="宋体" w:cs="宋体"/>
          <w:b/>
          <w:bCs/>
          <w:color w:val="auto"/>
          <w:sz w:val="24"/>
          <w:szCs w:val="24"/>
        </w:rPr>
        <w:t>评价单元的确定</w:t>
      </w:r>
      <w:r>
        <w:rPr>
          <w:b/>
          <w:bCs/>
          <w:color w:val="auto"/>
          <w:sz w:val="24"/>
          <w:szCs w:val="24"/>
        </w:rPr>
        <w:tab/>
      </w:r>
      <w:r>
        <w:rPr>
          <w:b/>
          <w:bCs/>
          <w:color w:val="auto"/>
          <w:sz w:val="24"/>
          <w:szCs w:val="24"/>
        </w:rPr>
        <w:fldChar w:fldCharType="begin"/>
      </w:r>
      <w:r>
        <w:rPr>
          <w:b/>
          <w:bCs/>
          <w:color w:val="auto"/>
          <w:sz w:val="24"/>
          <w:szCs w:val="24"/>
        </w:rPr>
        <w:instrText xml:space="preserve"> PAGEREF _Toc20004 \h </w:instrText>
      </w:r>
      <w:r>
        <w:rPr>
          <w:b/>
          <w:bCs/>
          <w:color w:val="auto"/>
          <w:sz w:val="24"/>
          <w:szCs w:val="24"/>
        </w:rPr>
        <w:fldChar w:fldCharType="separate"/>
      </w:r>
      <w:r>
        <w:rPr>
          <w:b/>
          <w:bCs/>
          <w:color w:val="auto"/>
          <w:sz w:val="24"/>
          <w:szCs w:val="24"/>
        </w:rPr>
        <w:t>33</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_Toc1196 </w:instrText>
      </w:r>
      <w:r>
        <w:rPr>
          <w:b/>
          <w:bCs/>
          <w:color w:val="auto"/>
          <w:sz w:val="24"/>
          <w:szCs w:val="24"/>
        </w:rPr>
        <w:fldChar w:fldCharType="separate"/>
      </w:r>
      <w:r>
        <w:rPr>
          <w:b/>
          <w:bCs/>
          <w:color w:val="auto"/>
          <w:sz w:val="24"/>
          <w:szCs w:val="24"/>
        </w:rPr>
        <w:t>4.1.1</w:t>
      </w:r>
      <w:r>
        <w:rPr>
          <w:rFonts w:hint="eastAsia" w:ascii="宋体" w:hAnsi="宋体" w:eastAsia="宋体" w:cs="宋体"/>
          <w:b/>
          <w:bCs/>
          <w:color w:val="auto"/>
          <w:sz w:val="24"/>
          <w:szCs w:val="24"/>
        </w:rPr>
        <w:t>评价单元划分原则</w:t>
      </w:r>
      <w:r>
        <w:rPr>
          <w:b/>
          <w:bCs/>
          <w:color w:val="auto"/>
          <w:sz w:val="24"/>
          <w:szCs w:val="24"/>
        </w:rPr>
        <w:tab/>
      </w:r>
      <w:r>
        <w:rPr>
          <w:b/>
          <w:bCs/>
          <w:color w:val="auto"/>
          <w:sz w:val="24"/>
          <w:szCs w:val="24"/>
        </w:rPr>
        <w:fldChar w:fldCharType="begin"/>
      </w:r>
      <w:r>
        <w:rPr>
          <w:b/>
          <w:bCs/>
          <w:color w:val="auto"/>
          <w:sz w:val="24"/>
          <w:szCs w:val="24"/>
        </w:rPr>
        <w:instrText xml:space="preserve"> PAGEREF _Toc1196 \h </w:instrText>
      </w:r>
      <w:r>
        <w:rPr>
          <w:b/>
          <w:bCs/>
          <w:color w:val="auto"/>
          <w:sz w:val="24"/>
          <w:szCs w:val="24"/>
        </w:rPr>
        <w:fldChar w:fldCharType="separate"/>
      </w:r>
      <w:r>
        <w:rPr>
          <w:b/>
          <w:bCs/>
          <w:color w:val="auto"/>
          <w:sz w:val="24"/>
          <w:szCs w:val="24"/>
        </w:rPr>
        <w:t>33</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_Toc21085 </w:instrText>
      </w:r>
      <w:r>
        <w:rPr>
          <w:b/>
          <w:bCs/>
          <w:color w:val="auto"/>
          <w:sz w:val="24"/>
          <w:szCs w:val="24"/>
        </w:rPr>
        <w:fldChar w:fldCharType="separate"/>
      </w:r>
      <w:r>
        <w:rPr>
          <w:b/>
          <w:bCs/>
          <w:color w:val="auto"/>
          <w:sz w:val="24"/>
          <w:szCs w:val="24"/>
        </w:rPr>
        <w:t>4.1.2</w:t>
      </w:r>
      <w:r>
        <w:rPr>
          <w:rFonts w:hint="eastAsia" w:ascii="宋体" w:hAnsi="宋体" w:eastAsia="宋体" w:cs="宋体"/>
          <w:b/>
          <w:bCs/>
          <w:color w:val="auto"/>
          <w:sz w:val="24"/>
          <w:szCs w:val="24"/>
        </w:rPr>
        <w:t>确定评价单元</w:t>
      </w:r>
      <w:r>
        <w:rPr>
          <w:b/>
          <w:bCs/>
          <w:color w:val="auto"/>
          <w:sz w:val="24"/>
          <w:szCs w:val="24"/>
        </w:rPr>
        <w:tab/>
      </w:r>
      <w:r>
        <w:rPr>
          <w:b/>
          <w:bCs/>
          <w:color w:val="auto"/>
          <w:sz w:val="24"/>
          <w:szCs w:val="24"/>
        </w:rPr>
        <w:fldChar w:fldCharType="begin"/>
      </w:r>
      <w:r>
        <w:rPr>
          <w:b/>
          <w:bCs/>
          <w:color w:val="auto"/>
          <w:sz w:val="24"/>
          <w:szCs w:val="24"/>
        </w:rPr>
        <w:instrText xml:space="preserve"> PAGEREF _Toc21085 \h </w:instrText>
      </w:r>
      <w:r>
        <w:rPr>
          <w:b/>
          <w:bCs/>
          <w:color w:val="auto"/>
          <w:sz w:val="24"/>
          <w:szCs w:val="24"/>
        </w:rPr>
        <w:fldChar w:fldCharType="separate"/>
      </w:r>
      <w:r>
        <w:rPr>
          <w:b/>
          <w:bCs/>
          <w:color w:val="auto"/>
          <w:sz w:val="24"/>
          <w:szCs w:val="24"/>
        </w:rPr>
        <w:t>33</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_Toc17696 </w:instrText>
      </w:r>
      <w:r>
        <w:rPr>
          <w:b/>
          <w:bCs/>
          <w:color w:val="auto"/>
          <w:sz w:val="24"/>
          <w:szCs w:val="24"/>
        </w:rPr>
        <w:fldChar w:fldCharType="separate"/>
      </w:r>
      <w:r>
        <w:rPr>
          <w:b/>
          <w:bCs/>
          <w:color w:val="auto"/>
          <w:sz w:val="24"/>
          <w:szCs w:val="24"/>
        </w:rPr>
        <w:t>4.2</w:t>
      </w:r>
      <w:r>
        <w:rPr>
          <w:rFonts w:hint="eastAsia" w:ascii="宋体" w:hAnsi="宋体" w:eastAsia="宋体" w:cs="宋体"/>
          <w:b/>
          <w:bCs/>
          <w:color w:val="auto"/>
          <w:sz w:val="24"/>
          <w:szCs w:val="24"/>
        </w:rPr>
        <w:t>评价方法简介</w:t>
      </w:r>
      <w:r>
        <w:rPr>
          <w:b/>
          <w:bCs/>
          <w:color w:val="auto"/>
          <w:sz w:val="24"/>
          <w:szCs w:val="24"/>
        </w:rPr>
        <w:tab/>
      </w:r>
      <w:r>
        <w:rPr>
          <w:b/>
          <w:bCs/>
          <w:color w:val="auto"/>
          <w:sz w:val="24"/>
          <w:szCs w:val="24"/>
        </w:rPr>
        <w:fldChar w:fldCharType="begin"/>
      </w:r>
      <w:r>
        <w:rPr>
          <w:b/>
          <w:bCs/>
          <w:color w:val="auto"/>
          <w:sz w:val="24"/>
          <w:szCs w:val="24"/>
        </w:rPr>
        <w:instrText xml:space="preserve"> PAGEREF _Toc17696 \h </w:instrText>
      </w:r>
      <w:r>
        <w:rPr>
          <w:b/>
          <w:bCs/>
          <w:color w:val="auto"/>
          <w:sz w:val="24"/>
          <w:szCs w:val="24"/>
        </w:rPr>
        <w:fldChar w:fldCharType="separate"/>
      </w:r>
      <w:r>
        <w:rPr>
          <w:b/>
          <w:bCs/>
          <w:color w:val="auto"/>
          <w:sz w:val="24"/>
          <w:szCs w:val="24"/>
        </w:rPr>
        <w:t>33</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_Toc2626 </w:instrText>
      </w:r>
      <w:r>
        <w:rPr>
          <w:b/>
          <w:bCs/>
          <w:color w:val="auto"/>
          <w:sz w:val="24"/>
          <w:szCs w:val="24"/>
        </w:rPr>
        <w:fldChar w:fldCharType="separate"/>
      </w:r>
      <w:r>
        <w:rPr>
          <w:b/>
          <w:bCs/>
          <w:color w:val="auto"/>
          <w:sz w:val="24"/>
          <w:szCs w:val="24"/>
        </w:rPr>
        <w:t>4.2.1</w:t>
      </w:r>
      <w:r>
        <w:rPr>
          <w:rFonts w:hint="eastAsia" w:ascii="宋体" w:hAnsi="宋体" w:eastAsia="宋体" w:cs="宋体"/>
          <w:b/>
          <w:bCs/>
          <w:color w:val="auto"/>
          <w:sz w:val="24"/>
          <w:szCs w:val="24"/>
        </w:rPr>
        <w:t>安全检查表分析法</w:t>
      </w:r>
      <w:r>
        <w:rPr>
          <w:b/>
          <w:bCs/>
          <w:color w:val="auto"/>
          <w:sz w:val="24"/>
          <w:szCs w:val="24"/>
        </w:rPr>
        <w:tab/>
      </w:r>
      <w:r>
        <w:rPr>
          <w:b/>
          <w:bCs/>
          <w:color w:val="auto"/>
          <w:sz w:val="24"/>
          <w:szCs w:val="24"/>
        </w:rPr>
        <w:fldChar w:fldCharType="begin"/>
      </w:r>
      <w:r>
        <w:rPr>
          <w:b/>
          <w:bCs/>
          <w:color w:val="auto"/>
          <w:sz w:val="24"/>
          <w:szCs w:val="24"/>
        </w:rPr>
        <w:instrText xml:space="preserve"> PAGEREF _Toc2626 \h </w:instrText>
      </w:r>
      <w:r>
        <w:rPr>
          <w:b/>
          <w:bCs/>
          <w:color w:val="auto"/>
          <w:sz w:val="24"/>
          <w:szCs w:val="24"/>
        </w:rPr>
        <w:fldChar w:fldCharType="separate"/>
      </w:r>
      <w:r>
        <w:rPr>
          <w:b/>
          <w:bCs/>
          <w:color w:val="auto"/>
          <w:sz w:val="24"/>
          <w:szCs w:val="24"/>
        </w:rPr>
        <w:t>33</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_Toc4046 </w:instrText>
      </w:r>
      <w:r>
        <w:rPr>
          <w:b/>
          <w:bCs/>
          <w:color w:val="auto"/>
          <w:sz w:val="24"/>
          <w:szCs w:val="24"/>
        </w:rPr>
        <w:fldChar w:fldCharType="separate"/>
      </w:r>
      <w:r>
        <w:rPr>
          <w:rFonts w:hint="default"/>
          <w:b/>
          <w:bCs/>
          <w:color w:val="auto"/>
          <w:sz w:val="24"/>
          <w:szCs w:val="24"/>
        </w:rPr>
        <w:t>4.2.</w:t>
      </w:r>
      <w:r>
        <w:rPr>
          <w:rFonts w:hint="eastAsia"/>
          <w:b/>
          <w:bCs/>
          <w:color w:val="auto"/>
          <w:sz w:val="24"/>
          <w:szCs w:val="24"/>
          <w:lang w:val="en-US" w:eastAsia="zh-CN"/>
        </w:rPr>
        <w:t>2</w:t>
      </w:r>
      <w:r>
        <w:rPr>
          <w:rFonts w:hint="default"/>
          <w:b/>
          <w:bCs/>
          <w:color w:val="auto"/>
          <w:sz w:val="24"/>
          <w:szCs w:val="24"/>
        </w:rPr>
        <w:t>预先危险性分析评价（PHA）</w:t>
      </w:r>
      <w:r>
        <w:rPr>
          <w:b/>
          <w:bCs/>
          <w:color w:val="auto"/>
          <w:sz w:val="24"/>
          <w:szCs w:val="24"/>
        </w:rPr>
        <w:tab/>
      </w:r>
      <w:r>
        <w:rPr>
          <w:b/>
          <w:bCs/>
          <w:color w:val="auto"/>
          <w:sz w:val="24"/>
          <w:szCs w:val="24"/>
        </w:rPr>
        <w:fldChar w:fldCharType="begin"/>
      </w:r>
      <w:r>
        <w:rPr>
          <w:b/>
          <w:bCs/>
          <w:color w:val="auto"/>
          <w:sz w:val="24"/>
          <w:szCs w:val="24"/>
        </w:rPr>
        <w:instrText xml:space="preserve"> PAGEREF _Toc4046 \h </w:instrText>
      </w:r>
      <w:r>
        <w:rPr>
          <w:b/>
          <w:bCs/>
          <w:color w:val="auto"/>
          <w:sz w:val="24"/>
          <w:szCs w:val="24"/>
        </w:rPr>
        <w:fldChar w:fldCharType="separate"/>
      </w:r>
      <w:r>
        <w:rPr>
          <w:b/>
          <w:bCs/>
          <w:color w:val="auto"/>
          <w:sz w:val="24"/>
          <w:szCs w:val="24"/>
        </w:rPr>
        <w:t>34</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_Toc14529 </w:instrText>
      </w:r>
      <w:r>
        <w:rPr>
          <w:b/>
          <w:bCs/>
          <w:color w:val="auto"/>
          <w:sz w:val="24"/>
          <w:szCs w:val="24"/>
        </w:rPr>
        <w:fldChar w:fldCharType="separate"/>
      </w:r>
      <w:r>
        <w:rPr>
          <w:b/>
          <w:bCs/>
          <w:color w:val="auto"/>
          <w:sz w:val="24"/>
          <w:szCs w:val="24"/>
        </w:rPr>
        <w:t>4.</w:t>
      </w:r>
      <w:r>
        <w:rPr>
          <w:rFonts w:hint="eastAsia"/>
          <w:b/>
          <w:bCs/>
          <w:color w:val="auto"/>
          <w:sz w:val="24"/>
          <w:szCs w:val="24"/>
          <w:lang w:val="en-US" w:eastAsia="zh-CN"/>
        </w:rPr>
        <w:t>2</w:t>
      </w:r>
      <w:r>
        <w:rPr>
          <w:b/>
          <w:bCs/>
          <w:color w:val="auto"/>
          <w:sz w:val="24"/>
          <w:szCs w:val="24"/>
        </w:rPr>
        <w:t>.</w:t>
      </w:r>
      <w:r>
        <w:rPr>
          <w:rFonts w:hint="eastAsia"/>
          <w:b/>
          <w:bCs/>
          <w:color w:val="auto"/>
          <w:sz w:val="24"/>
          <w:szCs w:val="24"/>
        </w:rPr>
        <w:t>3</w:t>
      </w:r>
      <w:r>
        <w:rPr>
          <w:b/>
          <w:bCs/>
          <w:color w:val="auto"/>
          <w:sz w:val="24"/>
          <w:szCs w:val="24"/>
        </w:rPr>
        <w:t>作业条件危险性评价法</w:t>
      </w:r>
      <w:r>
        <w:rPr>
          <w:b/>
          <w:bCs/>
          <w:color w:val="auto"/>
          <w:sz w:val="24"/>
          <w:szCs w:val="24"/>
        </w:rPr>
        <w:tab/>
      </w:r>
      <w:r>
        <w:rPr>
          <w:b/>
          <w:bCs/>
          <w:color w:val="auto"/>
          <w:sz w:val="24"/>
          <w:szCs w:val="24"/>
        </w:rPr>
        <w:fldChar w:fldCharType="begin"/>
      </w:r>
      <w:r>
        <w:rPr>
          <w:b/>
          <w:bCs/>
          <w:color w:val="auto"/>
          <w:sz w:val="24"/>
          <w:szCs w:val="24"/>
        </w:rPr>
        <w:instrText xml:space="preserve"> PAGEREF _Toc14529 \h </w:instrText>
      </w:r>
      <w:r>
        <w:rPr>
          <w:b/>
          <w:bCs/>
          <w:color w:val="auto"/>
          <w:sz w:val="24"/>
          <w:szCs w:val="24"/>
        </w:rPr>
        <w:fldChar w:fldCharType="separate"/>
      </w:r>
      <w:r>
        <w:rPr>
          <w:b/>
          <w:bCs/>
          <w:color w:val="auto"/>
          <w:sz w:val="24"/>
          <w:szCs w:val="24"/>
        </w:rPr>
        <w:t>35</w:t>
      </w:r>
      <w:r>
        <w:rPr>
          <w:b/>
          <w:bCs/>
          <w:color w:val="auto"/>
          <w:sz w:val="24"/>
          <w:szCs w:val="24"/>
        </w:rPr>
        <w:fldChar w:fldCharType="end"/>
      </w:r>
      <w:r>
        <w:rPr>
          <w:b/>
          <w:bCs/>
          <w:color w:val="auto"/>
          <w:sz w:val="24"/>
          <w:szCs w:val="24"/>
        </w:rPr>
        <w:fldChar w:fldCharType="end"/>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_Toc10198 </w:instrText>
      </w:r>
      <w:r>
        <w:rPr>
          <w:b/>
          <w:bCs/>
          <w:color w:val="auto"/>
          <w:sz w:val="24"/>
          <w:szCs w:val="24"/>
        </w:rPr>
        <w:fldChar w:fldCharType="separate"/>
      </w:r>
      <w:r>
        <w:rPr>
          <w:rFonts w:hint="eastAsia"/>
          <w:b/>
          <w:bCs/>
          <w:color w:val="auto"/>
          <w:sz w:val="24"/>
          <w:szCs w:val="24"/>
        </w:rPr>
        <w:t>5 危险性分析评价</w:t>
      </w:r>
      <w:r>
        <w:rPr>
          <w:b/>
          <w:bCs/>
          <w:color w:val="auto"/>
          <w:sz w:val="24"/>
          <w:szCs w:val="24"/>
        </w:rPr>
        <w:tab/>
      </w:r>
      <w:r>
        <w:rPr>
          <w:b/>
          <w:bCs/>
          <w:color w:val="auto"/>
          <w:sz w:val="24"/>
          <w:szCs w:val="24"/>
        </w:rPr>
        <w:fldChar w:fldCharType="begin"/>
      </w:r>
      <w:r>
        <w:rPr>
          <w:b/>
          <w:bCs/>
          <w:color w:val="auto"/>
          <w:sz w:val="24"/>
          <w:szCs w:val="24"/>
        </w:rPr>
        <w:instrText xml:space="preserve"> PAGEREF _Toc10198 \h </w:instrText>
      </w:r>
      <w:r>
        <w:rPr>
          <w:b/>
          <w:bCs/>
          <w:color w:val="auto"/>
          <w:sz w:val="24"/>
          <w:szCs w:val="24"/>
        </w:rPr>
        <w:fldChar w:fldCharType="separate"/>
      </w:r>
      <w:r>
        <w:rPr>
          <w:b/>
          <w:bCs/>
          <w:color w:val="auto"/>
          <w:sz w:val="24"/>
          <w:szCs w:val="24"/>
        </w:rPr>
        <w:t>38</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_Toc6330 </w:instrText>
      </w:r>
      <w:r>
        <w:rPr>
          <w:b/>
          <w:bCs/>
          <w:color w:val="auto"/>
          <w:sz w:val="24"/>
          <w:szCs w:val="24"/>
        </w:rPr>
        <w:fldChar w:fldCharType="separate"/>
      </w:r>
      <w:r>
        <w:rPr>
          <w:b/>
          <w:bCs/>
          <w:color w:val="auto"/>
          <w:sz w:val="24"/>
          <w:szCs w:val="24"/>
        </w:rPr>
        <w:t>5.1预先危险性分析评价（PHA）</w:t>
      </w:r>
      <w:r>
        <w:rPr>
          <w:b/>
          <w:bCs/>
          <w:color w:val="auto"/>
          <w:sz w:val="24"/>
          <w:szCs w:val="24"/>
        </w:rPr>
        <w:tab/>
      </w:r>
      <w:r>
        <w:rPr>
          <w:b/>
          <w:bCs/>
          <w:color w:val="auto"/>
          <w:sz w:val="24"/>
          <w:szCs w:val="24"/>
        </w:rPr>
        <w:fldChar w:fldCharType="begin"/>
      </w:r>
      <w:r>
        <w:rPr>
          <w:b/>
          <w:bCs/>
          <w:color w:val="auto"/>
          <w:sz w:val="24"/>
          <w:szCs w:val="24"/>
        </w:rPr>
        <w:instrText xml:space="preserve"> PAGEREF _Toc6330 \h </w:instrText>
      </w:r>
      <w:r>
        <w:rPr>
          <w:b/>
          <w:bCs/>
          <w:color w:val="auto"/>
          <w:sz w:val="24"/>
          <w:szCs w:val="24"/>
        </w:rPr>
        <w:fldChar w:fldCharType="separate"/>
      </w:r>
      <w:r>
        <w:rPr>
          <w:b/>
          <w:bCs/>
          <w:color w:val="auto"/>
          <w:sz w:val="24"/>
          <w:szCs w:val="24"/>
        </w:rPr>
        <w:t>38</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_Toc22479 </w:instrText>
      </w:r>
      <w:r>
        <w:rPr>
          <w:b/>
          <w:bCs/>
          <w:color w:val="auto"/>
          <w:sz w:val="24"/>
          <w:szCs w:val="24"/>
        </w:rPr>
        <w:fldChar w:fldCharType="separate"/>
      </w:r>
      <w:r>
        <w:rPr>
          <w:b/>
          <w:bCs/>
          <w:color w:val="auto"/>
          <w:sz w:val="24"/>
          <w:szCs w:val="24"/>
        </w:rPr>
        <w:t>5.</w:t>
      </w:r>
      <w:r>
        <w:rPr>
          <w:rFonts w:hint="eastAsia"/>
          <w:b/>
          <w:bCs/>
          <w:color w:val="auto"/>
          <w:sz w:val="24"/>
          <w:szCs w:val="24"/>
          <w:lang w:val="en-US" w:eastAsia="zh-CN"/>
        </w:rPr>
        <w:t>2</w:t>
      </w:r>
      <w:r>
        <w:rPr>
          <w:b/>
          <w:bCs/>
          <w:color w:val="auto"/>
          <w:sz w:val="24"/>
          <w:szCs w:val="24"/>
        </w:rPr>
        <w:t>作业条件危险性评价法（LEC）</w:t>
      </w:r>
      <w:r>
        <w:rPr>
          <w:b/>
          <w:bCs/>
          <w:color w:val="auto"/>
          <w:sz w:val="24"/>
          <w:szCs w:val="24"/>
        </w:rPr>
        <w:tab/>
      </w:r>
      <w:r>
        <w:rPr>
          <w:b/>
          <w:bCs/>
          <w:color w:val="auto"/>
          <w:sz w:val="24"/>
          <w:szCs w:val="24"/>
        </w:rPr>
        <w:fldChar w:fldCharType="begin"/>
      </w:r>
      <w:r>
        <w:rPr>
          <w:b/>
          <w:bCs/>
          <w:color w:val="auto"/>
          <w:sz w:val="24"/>
          <w:szCs w:val="24"/>
        </w:rPr>
        <w:instrText xml:space="preserve"> PAGEREF _Toc22479 \h </w:instrText>
      </w:r>
      <w:r>
        <w:rPr>
          <w:b/>
          <w:bCs/>
          <w:color w:val="auto"/>
          <w:sz w:val="24"/>
          <w:szCs w:val="24"/>
        </w:rPr>
        <w:fldChar w:fldCharType="separate"/>
      </w:r>
      <w:r>
        <w:rPr>
          <w:b/>
          <w:bCs/>
          <w:color w:val="auto"/>
          <w:sz w:val="24"/>
          <w:szCs w:val="24"/>
        </w:rPr>
        <w:t>41</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_Toc16577 </w:instrText>
      </w:r>
      <w:r>
        <w:rPr>
          <w:b/>
          <w:bCs/>
          <w:color w:val="auto"/>
          <w:sz w:val="24"/>
          <w:szCs w:val="24"/>
        </w:rPr>
        <w:fldChar w:fldCharType="separate"/>
      </w:r>
      <w:r>
        <w:rPr>
          <w:b/>
          <w:bCs/>
          <w:color w:val="auto"/>
          <w:sz w:val="24"/>
          <w:szCs w:val="24"/>
        </w:rPr>
        <w:t>5.</w:t>
      </w:r>
      <w:r>
        <w:rPr>
          <w:rFonts w:hint="eastAsia"/>
          <w:b/>
          <w:bCs/>
          <w:color w:val="auto"/>
          <w:sz w:val="24"/>
          <w:szCs w:val="24"/>
          <w:lang w:val="en-US" w:eastAsia="zh-CN"/>
        </w:rPr>
        <w:t>2</w:t>
      </w:r>
      <w:r>
        <w:rPr>
          <w:b/>
          <w:bCs/>
          <w:color w:val="auto"/>
          <w:sz w:val="24"/>
          <w:szCs w:val="24"/>
        </w:rPr>
        <w:t>.1评价单元</w:t>
      </w:r>
      <w:r>
        <w:rPr>
          <w:b/>
          <w:bCs/>
          <w:color w:val="auto"/>
          <w:sz w:val="24"/>
          <w:szCs w:val="24"/>
        </w:rPr>
        <w:tab/>
      </w:r>
      <w:r>
        <w:rPr>
          <w:b/>
          <w:bCs/>
          <w:color w:val="auto"/>
          <w:sz w:val="24"/>
          <w:szCs w:val="24"/>
        </w:rPr>
        <w:fldChar w:fldCharType="begin"/>
      </w:r>
      <w:r>
        <w:rPr>
          <w:b/>
          <w:bCs/>
          <w:color w:val="auto"/>
          <w:sz w:val="24"/>
          <w:szCs w:val="24"/>
        </w:rPr>
        <w:instrText xml:space="preserve"> PAGEREF _Toc16577 \h </w:instrText>
      </w:r>
      <w:r>
        <w:rPr>
          <w:b/>
          <w:bCs/>
          <w:color w:val="auto"/>
          <w:sz w:val="24"/>
          <w:szCs w:val="24"/>
        </w:rPr>
        <w:fldChar w:fldCharType="separate"/>
      </w:r>
      <w:r>
        <w:rPr>
          <w:b/>
          <w:bCs/>
          <w:color w:val="auto"/>
          <w:sz w:val="24"/>
          <w:szCs w:val="24"/>
        </w:rPr>
        <w:t>41</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_Toc16652 </w:instrText>
      </w:r>
      <w:r>
        <w:rPr>
          <w:b/>
          <w:bCs/>
          <w:color w:val="auto"/>
          <w:sz w:val="24"/>
          <w:szCs w:val="24"/>
        </w:rPr>
        <w:fldChar w:fldCharType="separate"/>
      </w:r>
      <w:r>
        <w:rPr>
          <w:b/>
          <w:bCs/>
          <w:color w:val="auto"/>
          <w:sz w:val="24"/>
          <w:szCs w:val="24"/>
        </w:rPr>
        <w:t>5.</w:t>
      </w:r>
      <w:r>
        <w:rPr>
          <w:rFonts w:hint="eastAsia"/>
          <w:b/>
          <w:bCs/>
          <w:color w:val="auto"/>
          <w:sz w:val="24"/>
          <w:szCs w:val="24"/>
          <w:lang w:val="en-US" w:eastAsia="zh-CN"/>
        </w:rPr>
        <w:t>2</w:t>
      </w:r>
      <w:r>
        <w:rPr>
          <w:b/>
          <w:bCs/>
          <w:color w:val="auto"/>
          <w:sz w:val="24"/>
          <w:szCs w:val="24"/>
        </w:rPr>
        <w:t>.2作业条件危险性评价法的计算结果</w:t>
      </w:r>
      <w:r>
        <w:rPr>
          <w:b/>
          <w:bCs/>
          <w:color w:val="auto"/>
          <w:sz w:val="24"/>
          <w:szCs w:val="24"/>
        </w:rPr>
        <w:tab/>
      </w:r>
      <w:r>
        <w:rPr>
          <w:b/>
          <w:bCs/>
          <w:color w:val="auto"/>
          <w:sz w:val="24"/>
          <w:szCs w:val="24"/>
        </w:rPr>
        <w:fldChar w:fldCharType="begin"/>
      </w:r>
      <w:r>
        <w:rPr>
          <w:b/>
          <w:bCs/>
          <w:color w:val="auto"/>
          <w:sz w:val="24"/>
          <w:szCs w:val="24"/>
        </w:rPr>
        <w:instrText xml:space="preserve"> PAGEREF _Toc16652 \h </w:instrText>
      </w:r>
      <w:r>
        <w:rPr>
          <w:b/>
          <w:bCs/>
          <w:color w:val="auto"/>
          <w:sz w:val="24"/>
          <w:szCs w:val="24"/>
        </w:rPr>
        <w:fldChar w:fldCharType="separate"/>
      </w:r>
      <w:r>
        <w:rPr>
          <w:b/>
          <w:bCs/>
          <w:color w:val="auto"/>
          <w:sz w:val="24"/>
          <w:szCs w:val="24"/>
        </w:rPr>
        <w:t>41</w:t>
      </w:r>
      <w:r>
        <w:rPr>
          <w:b/>
          <w:bCs/>
          <w:color w:val="auto"/>
          <w:sz w:val="24"/>
          <w:szCs w:val="24"/>
        </w:rPr>
        <w:fldChar w:fldCharType="end"/>
      </w:r>
      <w:r>
        <w:rPr>
          <w:b/>
          <w:bCs/>
          <w:color w:val="auto"/>
          <w:sz w:val="24"/>
          <w:szCs w:val="24"/>
        </w:rPr>
        <w:fldChar w:fldCharType="end"/>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_Toc17848 </w:instrText>
      </w:r>
      <w:r>
        <w:rPr>
          <w:b/>
          <w:bCs/>
          <w:color w:val="auto"/>
          <w:sz w:val="24"/>
          <w:szCs w:val="24"/>
        </w:rPr>
        <w:fldChar w:fldCharType="separate"/>
      </w:r>
      <w:r>
        <w:rPr>
          <w:rFonts w:hint="eastAsia"/>
          <w:b/>
          <w:bCs/>
          <w:color w:val="auto"/>
          <w:sz w:val="24"/>
          <w:szCs w:val="24"/>
          <w:lang w:val="en-US" w:eastAsia="zh-CN"/>
        </w:rPr>
        <w:t>6建设项目设施和条件符合性评价</w:t>
      </w:r>
      <w:r>
        <w:rPr>
          <w:b/>
          <w:bCs/>
          <w:color w:val="auto"/>
          <w:sz w:val="24"/>
          <w:szCs w:val="24"/>
        </w:rPr>
        <w:tab/>
      </w:r>
      <w:r>
        <w:rPr>
          <w:b/>
          <w:bCs/>
          <w:color w:val="auto"/>
          <w:sz w:val="24"/>
          <w:szCs w:val="24"/>
        </w:rPr>
        <w:fldChar w:fldCharType="begin"/>
      </w:r>
      <w:r>
        <w:rPr>
          <w:b/>
          <w:bCs/>
          <w:color w:val="auto"/>
          <w:sz w:val="24"/>
          <w:szCs w:val="24"/>
        </w:rPr>
        <w:instrText xml:space="preserve"> PAGEREF _Toc17848 \h </w:instrText>
      </w:r>
      <w:r>
        <w:rPr>
          <w:b/>
          <w:bCs/>
          <w:color w:val="auto"/>
          <w:sz w:val="24"/>
          <w:szCs w:val="24"/>
        </w:rPr>
        <w:fldChar w:fldCharType="separate"/>
      </w:r>
      <w:r>
        <w:rPr>
          <w:b/>
          <w:bCs/>
          <w:color w:val="auto"/>
          <w:sz w:val="24"/>
          <w:szCs w:val="24"/>
        </w:rPr>
        <w:t>43</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_Toc16957 </w:instrText>
      </w:r>
      <w:r>
        <w:rPr>
          <w:b/>
          <w:bCs/>
          <w:color w:val="auto"/>
          <w:sz w:val="24"/>
          <w:szCs w:val="24"/>
        </w:rPr>
        <w:fldChar w:fldCharType="separate"/>
      </w:r>
      <w:r>
        <w:rPr>
          <w:rFonts w:hint="eastAsia"/>
          <w:b/>
          <w:bCs/>
          <w:color w:val="auto"/>
          <w:sz w:val="24"/>
          <w:szCs w:val="24"/>
          <w:lang w:val="en-US" w:eastAsia="zh-CN"/>
        </w:rPr>
        <w:t>6.1选址及周边环境评价单元</w:t>
      </w:r>
      <w:r>
        <w:rPr>
          <w:b/>
          <w:bCs/>
          <w:color w:val="auto"/>
          <w:sz w:val="24"/>
          <w:szCs w:val="24"/>
        </w:rPr>
        <w:tab/>
      </w:r>
      <w:r>
        <w:rPr>
          <w:b/>
          <w:bCs/>
          <w:color w:val="auto"/>
          <w:sz w:val="24"/>
          <w:szCs w:val="24"/>
        </w:rPr>
        <w:fldChar w:fldCharType="begin"/>
      </w:r>
      <w:r>
        <w:rPr>
          <w:b/>
          <w:bCs/>
          <w:color w:val="auto"/>
          <w:sz w:val="24"/>
          <w:szCs w:val="24"/>
        </w:rPr>
        <w:instrText xml:space="preserve"> PAGEREF _Toc16957 \h </w:instrText>
      </w:r>
      <w:r>
        <w:rPr>
          <w:b/>
          <w:bCs/>
          <w:color w:val="auto"/>
          <w:sz w:val="24"/>
          <w:szCs w:val="24"/>
        </w:rPr>
        <w:fldChar w:fldCharType="separate"/>
      </w:r>
      <w:r>
        <w:rPr>
          <w:b/>
          <w:bCs/>
          <w:color w:val="auto"/>
          <w:sz w:val="24"/>
          <w:szCs w:val="24"/>
        </w:rPr>
        <w:t>43</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_Toc7043 </w:instrText>
      </w:r>
      <w:r>
        <w:rPr>
          <w:b/>
          <w:bCs/>
          <w:color w:val="auto"/>
          <w:sz w:val="24"/>
          <w:szCs w:val="24"/>
        </w:rPr>
        <w:fldChar w:fldCharType="separate"/>
      </w:r>
      <w:r>
        <w:rPr>
          <w:rFonts w:hint="eastAsia"/>
          <w:b/>
          <w:bCs/>
          <w:color w:val="auto"/>
          <w:sz w:val="24"/>
          <w:szCs w:val="24"/>
          <w:lang w:val="en-US" w:eastAsia="zh-CN"/>
        </w:rPr>
        <w:t>6.2总平面布置符合性评价</w:t>
      </w:r>
      <w:r>
        <w:rPr>
          <w:b/>
          <w:bCs/>
          <w:color w:val="auto"/>
          <w:sz w:val="24"/>
          <w:szCs w:val="24"/>
        </w:rPr>
        <w:tab/>
      </w:r>
      <w:r>
        <w:rPr>
          <w:b/>
          <w:bCs/>
          <w:color w:val="auto"/>
          <w:sz w:val="24"/>
          <w:szCs w:val="24"/>
        </w:rPr>
        <w:fldChar w:fldCharType="begin"/>
      </w:r>
      <w:r>
        <w:rPr>
          <w:b/>
          <w:bCs/>
          <w:color w:val="auto"/>
          <w:sz w:val="24"/>
          <w:szCs w:val="24"/>
        </w:rPr>
        <w:instrText xml:space="preserve"> PAGEREF _Toc7043 \h </w:instrText>
      </w:r>
      <w:r>
        <w:rPr>
          <w:b/>
          <w:bCs/>
          <w:color w:val="auto"/>
          <w:sz w:val="24"/>
          <w:szCs w:val="24"/>
        </w:rPr>
        <w:fldChar w:fldCharType="separate"/>
      </w:r>
      <w:r>
        <w:rPr>
          <w:b/>
          <w:bCs/>
          <w:color w:val="auto"/>
          <w:sz w:val="24"/>
          <w:szCs w:val="24"/>
        </w:rPr>
        <w:t>45</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_Toc6112 </w:instrText>
      </w:r>
      <w:r>
        <w:rPr>
          <w:b/>
          <w:bCs/>
          <w:color w:val="auto"/>
          <w:sz w:val="24"/>
          <w:szCs w:val="24"/>
        </w:rPr>
        <w:fldChar w:fldCharType="separate"/>
      </w:r>
      <w:r>
        <w:rPr>
          <w:rFonts w:hint="eastAsia"/>
          <w:b/>
          <w:bCs/>
          <w:color w:val="auto"/>
          <w:sz w:val="24"/>
          <w:szCs w:val="24"/>
          <w:lang w:val="en-US" w:eastAsia="zh-CN"/>
        </w:rPr>
        <w:t>6.3建设项目与加油站相互间的影响</w:t>
      </w:r>
      <w:r>
        <w:rPr>
          <w:b/>
          <w:bCs/>
          <w:color w:val="auto"/>
          <w:sz w:val="24"/>
          <w:szCs w:val="24"/>
        </w:rPr>
        <w:tab/>
      </w:r>
      <w:r>
        <w:rPr>
          <w:b/>
          <w:bCs/>
          <w:color w:val="auto"/>
          <w:sz w:val="24"/>
          <w:szCs w:val="24"/>
        </w:rPr>
        <w:fldChar w:fldCharType="begin"/>
      </w:r>
      <w:r>
        <w:rPr>
          <w:b/>
          <w:bCs/>
          <w:color w:val="auto"/>
          <w:sz w:val="24"/>
          <w:szCs w:val="24"/>
        </w:rPr>
        <w:instrText xml:space="preserve"> PAGEREF _Toc6112 \h </w:instrText>
      </w:r>
      <w:r>
        <w:rPr>
          <w:b/>
          <w:bCs/>
          <w:color w:val="auto"/>
          <w:sz w:val="24"/>
          <w:szCs w:val="24"/>
        </w:rPr>
        <w:fldChar w:fldCharType="separate"/>
      </w:r>
      <w:r>
        <w:rPr>
          <w:b/>
          <w:bCs/>
          <w:color w:val="auto"/>
          <w:sz w:val="24"/>
          <w:szCs w:val="24"/>
        </w:rPr>
        <w:t>46</w:t>
      </w:r>
      <w:r>
        <w:rPr>
          <w:b/>
          <w:bCs/>
          <w:color w:val="auto"/>
          <w:sz w:val="24"/>
          <w:szCs w:val="24"/>
        </w:rPr>
        <w:fldChar w:fldCharType="end"/>
      </w:r>
      <w:r>
        <w:rPr>
          <w:b/>
          <w:bCs/>
          <w:color w:val="auto"/>
          <w:sz w:val="24"/>
          <w:szCs w:val="24"/>
        </w:rPr>
        <w:fldChar w:fldCharType="end"/>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_Toc27691 </w:instrText>
      </w:r>
      <w:r>
        <w:rPr>
          <w:b/>
          <w:bCs/>
          <w:color w:val="auto"/>
          <w:sz w:val="24"/>
          <w:szCs w:val="24"/>
        </w:rPr>
        <w:fldChar w:fldCharType="separate"/>
      </w:r>
      <w:r>
        <w:rPr>
          <w:rFonts w:hint="eastAsia"/>
          <w:b/>
          <w:bCs/>
          <w:color w:val="auto"/>
          <w:sz w:val="24"/>
          <w:szCs w:val="24"/>
          <w:lang w:eastAsia="zh-CN"/>
        </w:rPr>
        <w:t xml:space="preserve">7 </w:t>
      </w:r>
      <w:r>
        <w:rPr>
          <w:b/>
          <w:bCs/>
          <w:color w:val="auto"/>
          <w:sz w:val="24"/>
          <w:szCs w:val="24"/>
          <w:lang w:eastAsia="zh-CN"/>
        </w:rPr>
        <w:t>安全对策措施</w:t>
      </w:r>
      <w:r>
        <w:rPr>
          <w:rFonts w:hint="eastAsia"/>
          <w:b/>
          <w:bCs/>
          <w:color w:val="auto"/>
          <w:sz w:val="24"/>
          <w:szCs w:val="24"/>
          <w:lang w:eastAsia="zh-CN"/>
        </w:rPr>
        <w:t>建议</w:t>
      </w:r>
      <w:r>
        <w:rPr>
          <w:b/>
          <w:bCs/>
          <w:color w:val="auto"/>
          <w:sz w:val="24"/>
          <w:szCs w:val="24"/>
        </w:rPr>
        <w:tab/>
      </w:r>
      <w:r>
        <w:rPr>
          <w:b/>
          <w:bCs/>
          <w:color w:val="auto"/>
          <w:sz w:val="24"/>
          <w:szCs w:val="24"/>
        </w:rPr>
        <w:fldChar w:fldCharType="begin"/>
      </w:r>
      <w:r>
        <w:rPr>
          <w:b/>
          <w:bCs/>
          <w:color w:val="auto"/>
          <w:sz w:val="24"/>
          <w:szCs w:val="24"/>
        </w:rPr>
        <w:instrText xml:space="preserve"> PAGEREF _Toc27691 \h </w:instrText>
      </w:r>
      <w:r>
        <w:rPr>
          <w:b/>
          <w:bCs/>
          <w:color w:val="auto"/>
          <w:sz w:val="24"/>
          <w:szCs w:val="24"/>
        </w:rPr>
        <w:fldChar w:fldCharType="separate"/>
      </w:r>
      <w:r>
        <w:rPr>
          <w:b/>
          <w:bCs/>
          <w:color w:val="auto"/>
          <w:sz w:val="24"/>
          <w:szCs w:val="24"/>
        </w:rPr>
        <w:t>48</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_Toc8477 </w:instrText>
      </w:r>
      <w:r>
        <w:rPr>
          <w:b/>
          <w:bCs/>
          <w:color w:val="auto"/>
          <w:sz w:val="24"/>
          <w:szCs w:val="24"/>
        </w:rPr>
        <w:fldChar w:fldCharType="separate"/>
      </w:r>
      <w:r>
        <w:rPr>
          <w:rFonts w:hint="eastAsia"/>
          <w:b/>
          <w:bCs/>
          <w:color w:val="auto"/>
          <w:sz w:val="24"/>
          <w:szCs w:val="24"/>
        </w:rPr>
        <w:t>7.</w:t>
      </w:r>
      <w:r>
        <w:rPr>
          <w:b/>
          <w:bCs/>
          <w:color w:val="auto"/>
          <w:sz w:val="24"/>
          <w:szCs w:val="24"/>
        </w:rPr>
        <w:t>1总平面布置</w:t>
      </w:r>
      <w:r>
        <w:rPr>
          <w:rFonts w:hint="eastAsia"/>
          <w:b/>
          <w:bCs/>
          <w:color w:val="auto"/>
          <w:sz w:val="24"/>
          <w:szCs w:val="24"/>
        </w:rPr>
        <w:t>及建（构）筑物</w:t>
      </w:r>
      <w:r>
        <w:rPr>
          <w:b/>
          <w:bCs/>
          <w:color w:val="auto"/>
          <w:sz w:val="24"/>
          <w:szCs w:val="24"/>
        </w:rPr>
        <w:t>安全对策措施建议</w:t>
      </w:r>
      <w:r>
        <w:rPr>
          <w:b/>
          <w:bCs/>
          <w:color w:val="auto"/>
          <w:sz w:val="24"/>
          <w:szCs w:val="24"/>
        </w:rPr>
        <w:tab/>
      </w:r>
      <w:r>
        <w:rPr>
          <w:b/>
          <w:bCs/>
          <w:color w:val="auto"/>
          <w:sz w:val="24"/>
          <w:szCs w:val="24"/>
        </w:rPr>
        <w:fldChar w:fldCharType="begin"/>
      </w:r>
      <w:r>
        <w:rPr>
          <w:b/>
          <w:bCs/>
          <w:color w:val="auto"/>
          <w:sz w:val="24"/>
          <w:szCs w:val="24"/>
        </w:rPr>
        <w:instrText xml:space="preserve"> PAGEREF _Toc8477 \h </w:instrText>
      </w:r>
      <w:r>
        <w:rPr>
          <w:b/>
          <w:bCs/>
          <w:color w:val="auto"/>
          <w:sz w:val="24"/>
          <w:szCs w:val="24"/>
        </w:rPr>
        <w:fldChar w:fldCharType="separate"/>
      </w:r>
      <w:r>
        <w:rPr>
          <w:b/>
          <w:bCs/>
          <w:color w:val="auto"/>
          <w:sz w:val="24"/>
          <w:szCs w:val="24"/>
        </w:rPr>
        <w:t>48</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_Toc2980 </w:instrText>
      </w:r>
      <w:r>
        <w:rPr>
          <w:b/>
          <w:bCs/>
          <w:color w:val="auto"/>
          <w:sz w:val="24"/>
          <w:szCs w:val="24"/>
        </w:rPr>
        <w:fldChar w:fldCharType="separate"/>
      </w:r>
      <w:r>
        <w:rPr>
          <w:rFonts w:hint="eastAsia"/>
          <w:b/>
          <w:bCs/>
          <w:color w:val="auto"/>
          <w:sz w:val="24"/>
          <w:szCs w:val="24"/>
        </w:rPr>
        <w:t>7.2</w:t>
      </w:r>
      <w:r>
        <w:rPr>
          <w:b/>
          <w:bCs/>
          <w:color w:val="auto"/>
          <w:sz w:val="24"/>
          <w:szCs w:val="24"/>
        </w:rPr>
        <w:t>工艺及设</w:t>
      </w:r>
      <w:r>
        <w:rPr>
          <w:rFonts w:hint="eastAsia"/>
          <w:b/>
          <w:bCs/>
          <w:color w:val="auto"/>
          <w:sz w:val="24"/>
          <w:szCs w:val="24"/>
        </w:rPr>
        <w:t>备</w:t>
      </w:r>
      <w:r>
        <w:rPr>
          <w:b/>
          <w:bCs/>
          <w:color w:val="auto"/>
          <w:sz w:val="24"/>
          <w:szCs w:val="24"/>
        </w:rPr>
        <w:t>安全对策措施建议</w:t>
      </w:r>
      <w:r>
        <w:rPr>
          <w:b/>
          <w:bCs/>
          <w:color w:val="auto"/>
          <w:sz w:val="24"/>
          <w:szCs w:val="24"/>
        </w:rPr>
        <w:tab/>
      </w:r>
      <w:r>
        <w:rPr>
          <w:b/>
          <w:bCs/>
          <w:color w:val="auto"/>
          <w:sz w:val="24"/>
          <w:szCs w:val="24"/>
        </w:rPr>
        <w:fldChar w:fldCharType="begin"/>
      </w:r>
      <w:r>
        <w:rPr>
          <w:b/>
          <w:bCs/>
          <w:color w:val="auto"/>
          <w:sz w:val="24"/>
          <w:szCs w:val="24"/>
        </w:rPr>
        <w:instrText xml:space="preserve"> PAGEREF _Toc2980 \h </w:instrText>
      </w:r>
      <w:r>
        <w:rPr>
          <w:b/>
          <w:bCs/>
          <w:color w:val="auto"/>
          <w:sz w:val="24"/>
          <w:szCs w:val="24"/>
        </w:rPr>
        <w:fldChar w:fldCharType="separate"/>
      </w:r>
      <w:r>
        <w:rPr>
          <w:b/>
          <w:bCs/>
          <w:color w:val="auto"/>
          <w:sz w:val="24"/>
          <w:szCs w:val="24"/>
        </w:rPr>
        <w:t>50</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_Toc30574 </w:instrText>
      </w:r>
      <w:r>
        <w:rPr>
          <w:b/>
          <w:bCs/>
          <w:color w:val="auto"/>
          <w:sz w:val="24"/>
          <w:szCs w:val="24"/>
        </w:rPr>
        <w:fldChar w:fldCharType="separate"/>
      </w:r>
      <w:r>
        <w:rPr>
          <w:rFonts w:hint="eastAsia"/>
          <w:b/>
          <w:bCs/>
          <w:color w:val="auto"/>
          <w:sz w:val="24"/>
          <w:szCs w:val="24"/>
          <w:lang w:val="en-US" w:eastAsia="zh-CN"/>
        </w:rPr>
        <w:t>7.3系统工程安全对策措施建议</w:t>
      </w:r>
      <w:r>
        <w:rPr>
          <w:b/>
          <w:bCs/>
          <w:color w:val="auto"/>
          <w:sz w:val="24"/>
          <w:szCs w:val="24"/>
        </w:rPr>
        <w:tab/>
      </w:r>
      <w:r>
        <w:rPr>
          <w:b/>
          <w:bCs/>
          <w:color w:val="auto"/>
          <w:sz w:val="24"/>
          <w:szCs w:val="24"/>
        </w:rPr>
        <w:fldChar w:fldCharType="begin"/>
      </w:r>
      <w:r>
        <w:rPr>
          <w:b/>
          <w:bCs/>
          <w:color w:val="auto"/>
          <w:sz w:val="24"/>
          <w:szCs w:val="24"/>
        </w:rPr>
        <w:instrText xml:space="preserve"> PAGEREF _Toc30574 \h </w:instrText>
      </w:r>
      <w:r>
        <w:rPr>
          <w:b/>
          <w:bCs/>
          <w:color w:val="auto"/>
          <w:sz w:val="24"/>
          <w:szCs w:val="24"/>
        </w:rPr>
        <w:fldChar w:fldCharType="separate"/>
      </w:r>
      <w:r>
        <w:rPr>
          <w:b/>
          <w:bCs/>
          <w:color w:val="auto"/>
          <w:sz w:val="24"/>
          <w:szCs w:val="24"/>
        </w:rPr>
        <w:t>58</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_Toc31518 </w:instrText>
      </w:r>
      <w:r>
        <w:rPr>
          <w:b/>
          <w:bCs/>
          <w:color w:val="auto"/>
          <w:sz w:val="24"/>
          <w:szCs w:val="24"/>
        </w:rPr>
        <w:fldChar w:fldCharType="separate"/>
      </w:r>
      <w:r>
        <w:rPr>
          <w:rFonts w:hint="eastAsia"/>
          <w:b/>
          <w:bCs/>
          <w:color w:val="auto"/>
          <w:sz w:val="24"/>
          <w:szCs w:val="24"/>
        </w:rPr>
        <w:t>7.</w:t>
      </w:r>
      <w:r>
        <w:rPr>
          <w:rFonts w:hint="eastAsia"/>
          <w:b/>
          <w:bCs/>
          <w:color w:val="auto"/>
          <w:sz w:val="24"/>
          <w:szCs w:val="24"/>
          <w:lang w:val="en-US" w:eastAsia="zh-CN"/>
        </w:rPr>
        <w:t>4</w:t>
      </w:r>
      <w:r>
        <w:rPr>
          <w:b/>
          <w:bCs/>
          <w:color w:val="auto"/>
          <w:sz w:val="24"/>
          <w:szCs w:val="24"/>
        </w:rPr>
        <w:t>公用工程安全对策措施建议</w:t>
      </w:r>
      <w:r>
        <w:rPr>
          <w:b/>
          <w:bCs/>
          <w:color w:val="auto"/>
          <w:sz w:val="24"/>
          <w:szCs w:val="24"/>
        </w:rPr>
        <w:tab/>
      </w:r>
      <w:r>
        <w:rPr>
          <w:b/>
          <w:bCs/>
          <w:color w:val="auto"/>
          <w:sz w:val="24"/>
          <w:szCs w:val="24"/>
        </w:rPr>
        <w:fldChar w:fldCharType="begin"/>
      </w:r>
      <w:r>
        <w:rPr>
          <w:b/>
          <w:bCs/>
          <w:color w:val="auto"/>
          <w:sz w:val="24"/>
          <w:szCs w:val="24"/>
        </w:rPr>
        <w:instrText xml:space="preserve"> PAGEREF _Toc31518 \h </w:instrText>
      </w:r>
      <w:r>
        <w:rPr>
          <w:b/>
          <w:bCs/>
          <w:color w:val="auto"/>
          <w:sz w:val="24"/>
          <w:szCs w:val="24"/>
        </w:rPr>
        <w:fldChar w:fldCharType="separate"/>
      </w:r>
      <w:r>
        <w:rPr>
          <w:b/>
          <w:bCs/>
          <w:color w:val="auto"/>
          <w:sz w:val="24"/>
          <w:szCs w:val="24"/>
        </w:rPr>
        <w:t>61</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_Toc32597 </w:instrText>
      </w:r>
      <w:r>
        <w:rPr>
          <w:b/>
          <w:bCs/>
          <w:color w:val="auto"/>
          <w:sz w:val="24"/>
          <w:szCs w:val="24"/>
        </w:rPr>
        <w:fldChar w:fldCharType="separate"/>
      </w:r>
      <w:r>
        <w:rPr>
          <w:b/>
          <w:bCs/>
          <w:color w:val="auto"/>
          <w:sz w:val="24"/>
          <w:szCs w:val="24"/>
        </w:rPr>
        <w:t>7.</w:t>
      </w:r>
      <w:r>
        <w:rPr>
          <w:rFonts w:hint="eastAsia"/>
          <w:b/>
          <w:bCs/>
          <w:color w:val="auto"/>
          <w:sz w:val="24"/>
          <w:szCs w:val="24"/>
          <w:lang w:val="en-US" w:eastAsia="zh-CN"/>
        </w:rPr>
        <w:t>4</w:t>
      </w:r>
      <w:r>
        <w:rPr>
          <w:b/>
          <w:bCs/>
          <w:color w:val="auto"/>
          <w:sz w:val="24"/>
          <w:szCs w:val="24"/>
        </w:rPr>
        <w:t>.1消防设施及给排水</w:t>
      </w:r>
      <w:r>
        <w:rPr>
          <w:b/>
          <w:bCs/>
          <w:color w:val="auto"/>
          <w:sz w:val="24"/>
          <w:szCs w:val="24"/>
        </w:rPr>
        <w:tab/>
      </w:r>
      <w:r>
        <w:rPr>
          <w:b/>
          <w:bCs/>
          <w:color w:val="auto"/>
          <w:sz w:val="24"/>
          <w:szCs w:val="24"/>
        </w:rPr>
        <w:fldChar w:fldCharType="begin"/>
      </w:r>
      <w:r>
        <w:rPr>
          <w:b/>
          <w:bCs/>
          <w:color w:val="auto"/>
          <w:sz w:val="24"/>
          <w:szCs w:val="24"/>
        </w:rPr>
        <w:instrText xml:space="preserve"> PAGEREF _Toc32597 \h </w:instrText>
      </w:r>
      <w:r>
        <w:rPr>
          <w:b/>
          <w:bCs/>
          <w:color w:val="auto"/>
          <w:sz w:val="24"/>
          <w:szCs w:val="24"/>
        </w:rPr>
        <w:fldChar w:fldCharType="separate"/>
      </w:r>
      <w:r>
        <w:rPr>
          <w:b/>
          <w:bCs/>
          <w:color w:val="auto"/>
          <w:sz w:val="24"/>
          <w:szCs w:val="24"/>
        </w:rPr>
        <w:t>61</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_Toc22417 </w:instrText>
      </w:r>
      <w:r>
        <w:rPr>
          <w:b/>
          <w:bCs/>
          <w:color w:val="auto"/>
          <w:sz w:val="24"/>
          <w:szCs w:val="24"/>
        </w:rPr>
        <w:fldChar w:fldCharType="separate"/>
      </w:r>
      <w:r>
        <w:rPr>
          <w:b/>
          <w:bCs/>
          <w:color w:val="auto"/>
          <w:sz w:val="24"/>
          <w:szCs w:val="24"/>
        </w:rPr>
        <w:t>7.</w:t>
      </w:r>
      <w:r>
        <w:rPr>
          <w:rFonts w:hint="eastAsia"/>
          <w:b/>
          <w:bCs/>
          <w:color w:val="auto"/>
          <w:sz w:val="24"/>
          <w:szCs w:val="24"/>
          <w:lang w:val="en-US" w:eastAsia="zh-CN"/>
        </w:rPr>
        <w:t>4</w:t>
      </w:r>
      <w:r>
        <w:rPr>
          <w:b/>
          <w:bCs/>
          <w:color w:val="auto"/>
          <w:sz w:val="24"/>
          <w:szCs w:val="24"/>
        </w:rPr>
        <w:t>.</w:t>
      </w:r>
      <w:r>
        <w:rPr>
          <w:rFonts w:hint="eastAsia"/>
          <w:b/>
          <w:bCs/>
          <w:color w:val="auto"/>
          <w:sz w:val="24"/>
          <w:szCs w:val="24"/>
        </w:rPr>
        <w:t>2电气系统</w:t>
      </w:r>
      <w:r>
        <w:rPr>
          <w:b/>
          <w:bCs/>
          <w:color w:val="auto"/>
          <w:sz w:val="24"/>
          <w:szCs w:val="24"/>
        </w:rPr>
        <w:tab/>
      </w:r>
      <w:r>
        <w:rPr>
          <w:b/>
          <w:bCs/>
          <w:color w:val="auto"/>
          <w:sz w:val="24"/>
          <w:szCs w:val="24"/>
        </w:rPr>
        <w:fldChar w:fldCharType="begin"/>
      </w:r>
      <w:r>
        <w:rPr>
          <w:b/>
          <w:bCs/>
          <w:color w:val="auto"/>
          <w:sz w:val="24"/>
          <w:szCs w:val="24"/>
        </w:rPr>
        <w:instrText xml:space="preserve"> PAGEREF _Toc22417 \h </w:instrText>
      </w:r>
      <w:r>
        <w:rPr>
          <w:b/>
          <w:bCs/>
          <w:color w:val="auto"/>
          <w:sz w:val="24"/>
          <w:szCs w:val="24"/>
        </w:rPr>
        <w:fldChar w:fldCharType="separate"/>
      </w:r>
      <w:r>
        <w:rPr>
          <w:b/>
          <w:bCs/>
          <w:color w:val="auto"/>
          <w:sz w:val="24"/>
          <w:szCs w:val="24"/>
        </w:rPr>
        <w:t>63</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_Toc10280 </w:instrText>
      </w:r>
      <w:r>
        <w:rPr>
          <w:b/>
          <w:bCs/>
          <w:color w:val="auto"/>
          <w:sz w:val="24"/>
          <w:szCs w:val="24"/>
        </w:rPr>
        <w:fldChar w:fldCharType="separate"/>
      </w:r>
      <w:r>
        <w:rPr>
          <w:rFonts w:hint="eastAsia"/>
          <w:b/>
          <w:bCs/>
          <w:color w:val="auto"/>
          <w:sz w:val="24"/>
          <w:szCs w:val="24"/>
        </w:rPr>
        <w:t>7.</w:t>
      </w:r>
      <w:r>
        <w:rPr>
          <w:rFonts w:hint="eastAsia"/>
          <w:b/>
          <w:bCs/>
          <w:color w:val="auto"/>
          <w:sz w:val="24"/>
          <w:szCs w:val="24"/>
          <w:lang w:val="en-US" w:eastAsia="zh-CN"/>
        </w:rPr>
        <w:t>4</w:t>
      </w:r>
      <w:r>
        <w:rPr>
          <w:b/>
          <w:bCs/>
          <w:color w:val="auto"/>
          <w:sz w:val="24"/>
          <w:szCs w:val="24"/>
        </w:rPr>
        <w:t>.3安全</w:t>
      </w:r>
      <w:r>
        <w:rPr>
          <w:rFonts w:hint="eastAsia"/>
          <w:b/>
          <w:bCs/>
          <w:color w:val="auto"/>
          <w:sz w:val="24"/>
          <w:szCs w:val="24"/>
          <w:lang w:val="en-US" w:eastAsia="zh-CN"/>
        </w:rPr>
        <w:t>使用</w:t>
      </w:r>
      <w:r>
        <w:rPr>
          <w:b/>
          <w:bCs/>
          <w:color w:val="auto"/>
          <w:sz w:val="24"/>
          <w:szCs w:val="24"/>
        </w:rPr>
        <w:t>安全对策措施建议</w:t>
      </w:r>
      <w:r>
        <w:rPr>
          <w:b/>
          <w:bCs/>
          <w:color w:val="auto"/>
          <w:sz w:val="24"/>
          <w:szCs w:val="24"/>
        </w:rPr>
        <w:tab/>
      </w:r>
      <w:r>
        <w:rPr>
          <w:b/>
          <w:bCs/>
          <w:color w:val="auto"/>
          <w:sz w:val="24"/>
          <w:szCs w:val="24"/>
        </w:rPr>
        <w:fldChar w:fldCharType="begin"/>
      </w:r>
      <w:r>
        <w:rPr>
          <w:b/>
          <w:bCs/>
          <w:color w:val="auto"/>
          <w:sz w:val="24"/>
          <w:szCs w:val="24"/>
        </w:rPr>
        <w:instrText xml:space="preserve"> PAGEREF _Toc10280 \h </w:instrText>
      </w:r>
      <w:r>
        <w:rPr>
          <w:b/>
          <w:bCs/>
          <w:color w:val="auto"/>
          <w:sz w:val="24"/>
          <w:szCs w:val="24"/>
        </w:rPr>
        <w:fldChar w:fldCharType="separate"/>
      </w:r>
      <w:r>
        <w:rPr>
          <w:b/>
          <w:bCs/>
          <w:color w:val="auto"/>
          <w:sz w:val="24"/>
          <w:szCs w:val="24"/>
        </w:rPr>
        <w:t>65</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_Toc21166 </w:instrText>
      </w:r>
      <w:r>
        <w:rPr>
          <w:b/>
          <w:bCs/>
          <w:color w:val="auto"/>
          <w:sz w:val="24"/>
          <w:szCs w:val="24"/>
        </w:rPr>
        <w:fldChar w:fldCharType="separate"/>
      </w:r>
      <w:r>
        <w:rPr>
          <w:rFonts w:hint="eastAsia"/>
          <w:b/>
          <w:bCs/>
          <w:color w:val="auto"/>
          <w:sz w:val="24"/>
          <w:szCs w:val="24"/>
        </w:rPr>
        <w:t>7.</w:t>
      </w:r>
      <w:r>
        <w:rPr>
          <w:rFonts w:hint="eastAsia"/>
          <w:b/>
          <w:bCs/>
          <w:color w:val="auto"/>
          <w:sz w:val="24"/>
          <w:szCs w:val="24"/>
          <w:lang w:val="en-US" w:eastAsia="zh-CN"/>
        </w:rPr>
        <w:t>4</w:t>
      </w:r>
      <w:r>
        <w:rPr>
          <w:b/>
          <w:bCs/>
          <w:color w:val="auto"/>
          <w:sz w:val="24"/>
          <w:szCs w:val="24"/>
        </w:rPr>
        <w:t>.4安全管理对策措施建议</w:t>
      </w:r>
      <w:r>
        <w:rPr>
          <w:b/>
          <w:bCs/>
          <w:color w:val="auto"/>
          <w:sz w:val="24"/>
          <w:szCs w:val="24"/>
        </w:rPr>
        <w:tab/>
      </w:r>
      <w:r>
        <w:rPr>
          <w:b/>
          <w:bCs/>
          <w:color w:val="auto"/>
          <w:sz w:val="24"/>
          <w:szCs w:val="24"/>
        </w:rPr>
        <w:fldChar w:fldCharType="begin"/>
      </w:r>
      <w:r>
        <w:rPr>
          <w:b/>
          <w:bCs/>
          <w:color w:val="auto"/>
          <w:sz w:val="24"/>
          <w:szCs w:val="24"/>
        </w:rPr>
        <w:instrText xml:space="preserve"> PAGEREF _Toc21166 \h </w:instrText>
      </w:r>
      <w:r>
        <w:rPr>
          <w:b/>
          <w:bCs/>
          <w:color w:val="auto"/>
          <w:sz w:val="24"/>
          <w:szCs w:val="24"/>
        </w:rPr>
        <w:fldChar w:fldCharType="separate"/>
      </w:r>
      <w:r>
        <w:rPr>
          <w:b/>
          <w:bCs/>
          <w:color w:val="auto"/>
          <w:sz w:val="24"/>
          <w:szCs w:val="24"/>
        </w:rPr>
        <w:t>66</w:t>
      </w:r>
      <w:r>
        <w:rPr>
          <w:b/>
          <w:bCs/>
          <w:color w:val="auto"/>
          <w:sz w:val="24"/>
          <w:szCs w:val="24"/>
        </w:rPr>
        <w:fldChar w:fldCharType="end"/>
      </w:r>
      <w:r>
        <w:rPr>
          <w:b/>
          <w:bCs/>
          <w:color w:val="auto"/>
          <w:sz w:val="24"/>
          <w:szCs w:val="24"/>
        </w:rPr>
        <w:fldChar w:fldCharType="end"/>
      </w:r>
    </w:p>
    <w:p>
      <w:pPr>
        <w:pStyle w:val="13"/>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_Toc17834 </w:instrText>
      </w:r>
      <w:r>
        <w:rPr>
          <w:b/>
          <w:bCs/>
          <w:color w:val="auto"/>
          <w:sz w:val="24"/>
          <w:szCs w:val="24"/>
        </w:rPr>
        <w:fldChar w:fldCharType="separate"/>
      </w:r>
      <w:r>
        <w:rPr>
          <w:rFonts w:hint="eastAsia"/>
          <w:b/>
          <w:bCs/>
          <w:color w:val="auto"/>
          <w:sz w:val="24"/>
          <w:szCs w:val="24"/>
        </w:rPr>
        <w:t>7.</w:t>
      </w:r>
      <w:r>
        <w:rPr>
          <w:b/>
          <w:bCs/>
          <w:color w:val="auto"/>
          <w:sz w:val="24"/>
          <w:szCs w:val="24"/>
        </w:rPr>
        <w:t>3.5施工时安全对策措施建议</w:t>
      </w:r>
      <w:r>
        <w:rPr>
          <w:b/>
          <w:bCs/>
          <w:color w:val="auto"/>
          <w:sz w:val="24"/>
          <w:szCs w:val="24"/>
        </w:rPr>
        <w:tab/>
      </w:r>
      <w:r>
        <w:rPr>
          <w:b/>
          <w:bCs/>
          <w:color w:val="auto"/>
          <w:sz w:val="24"/>
          <w:szCs w:val="24"/>
        </w:rPr>
        <w:fldChar w:fldCharType="begin"/>
      </w:r>
      <w:r>
        <w:rPr>
          <w:b/>
          <w:bCs/>
          <w:color w:val="auto"/>
          <w:sz w:val="24"/>
          <w:szCs w:val="24"/>
        </w:rPr>
        <w:instrText xml:space="preserve"> PAGEREF _Toc17834 \h </w:instrText>
      </w:r>
      <w:r>
        <w:rPr>
          <w:b/>
          <w:bCs/>
          <w:color w:val="auto"/>
          <w:sz w:val="24"/>
          <w:szCs w:val="24"/>
        </w:rPr>
        <w:fldChar w:fldCharType="separate"/>
      </w:r>
      <w:r>
        <w:rPr>
          <w:b/>
          <w:bCs/>
          <w:color w:val="auto"/>
          <w:sz w:val="24"/>
          <w:szCs w:val="24"/>
        </w:rPr>
        <w:t>69</w:t>
      </w:r>
      <w:r>
        <w:rPr>
          <w:b/>
          <w:bCs/>
          <w:color w:val="auto"/>
          <w:sz w:val="24"/>
          <w:szCs w:val="24"/>
        </w:rPr>
        <w:fldChar w:fldCharType="end"/>
      </w:r>
      <w:r>
        <w:rPr>
          <w:b/>
          <w:bCs/>
          <w:color w:val="auto"/>
          <w:sz w:val="24"/>
          <w:szCs w:val="24"/>
        </w:rPr>
        <w:fldChar w:fldCharType="end"/>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_Toc32441 </w:instrText>
      </w:r>
      <w:r>
        <w:rPr>
          <w:b/>
          <w:bCs/>
          <w:color w:val="auto"/>
          <w:sz w:val="24"/>
          <w:szCs w:val="24"/>
        </w:rPr>
        <w:fldChar w:fldCharType="separate"/>
      </w:r>
      <w:r>
        <w:rPr>
          <w:rFonts w:hint="eastAsia"/>
          <w:b/>
          <w:bCs/>
          <w:color w:val="auto"/>
          <w:sz w:val="24"/>
          <w:szCs w:val="24"/>
          <w:lang w:eastAsia="zh-CN"/>
        </w:rPr>
        <w:t xml:space="preserve">8 </w:t>
      </w:r>
      <w:r>
        <w:rPr>
          <w:b/>
          <w:bCs/>
          <w:color w:val="auto"/>
          <w:sz w:val="24"/>
          <w:szCs w:val="24"/>
          <w:lang w:eastAsia="zh-CN"/>
        </w:rPr>
        <w:t>评价结论及建议</w:t>
      </w:r>
      <w:r>
        <w:rPr>
          <w:b/>
          <w:bCs/>
          <w:color w:val="auto"/>
          <w:sz w:val="24"/>
          <w:szCs w:val="24"/>
        </w:rPr>
        <w:tab/>
      </w:r>
      <w:r>
        <w:rPr>
          <w:b/>
          <w:bCs/>
          <w:color w:val="auto"/>
          <w:sz w:val="24"/>
          <w:szCs w:val="24"/>
        </w:rPr>
        <w:fldChar w:fldCharType="begin"/>
      </w:r>
      <w:r>
        <w:rPr>
          <w:b/>
          <w:bCs/>
          <w:color w:val="auto"/>
          <w:sz w:val="24"/>
          <w:szCs w:val="24"/>
        </w:rPr>
        <w:instrText xml:space="preserve"> PAGEREF _Toc32441 \h </w:instrText>
      </w:r>
      <w:r>
        <w:rPr>
          <w:b/>
          <w:bCs/>
          <w:color w:val="auto"/>
          <w:sz w:val="24"/>
          <w:szCs w:val="24"/>
        </w:rPr>
        <w:fldChar w:fldCharType="separate"/>
      </w:r>
      <w:r>
        <w:rPr>
          <w:b/>
          <w:bCs/>
          <w:color w:val="auto"/>
          <w:sz w:val="24"/>
          <w:szCs w:val="24"/>
        </w:rPr>
        <w:t>72</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_Toc8305 </w:instrText>
      </w:r>
      <w:r>
        <w:rPr>
          <w:b/>
          <w:bCs/>
          <w:color w:val="auto"/>
          <w:sz w:val="24"/>
          <w:szCs w:val="24"/>
        </w:rPr>
        <w:fldChar w:fldCharType="separate"/>
      </w:r>
      <w:r>
        <w:rPr>
          <w:rFonts w:hint="eastAsia"/>
          <w:b/>
          <w:bCs/>
          <w:color w:val="auto"/>
          <w:sz w:val="24"/>
          <w:szCs w:val="24"/>
        </w:rPr>
        <w:t>8</w:t>
      </w:r>
      <w:r>
        <w:rPr>
          <w:b/>
          <w:bCs/>
          <w:color w:val="auto"/>
          <w:sz w:val="24"/>
          <w:szCs w:val="24"/>
        </w:rPr>
        <w:t>.1</w:t>
      </w:r>
      <w:r>
        <w:rPr>
          <w:rFonts w:hint="eastAsia"/>
          <w:b/>
          <w:bCs/>
          <w:color w:val="auto"/>
          <w:sz w:val="24"/>
          <w:szCs w:val="24"/>
        </w:rPr>
        <w:t>项目评价综述</w:t>
      </w:r>
      <w:r>
        <w:rPr>
          <w:b/>
          <w:bCs/>
          <w:color w:val="auto"/>
          <w:sz w:val="24"/>
          <w:szCs w:val="24"/>
        </w:rPr>
        <w:tab/>
      </w:r>
      <w:r>
        <w:rPr>
          <w:b/>
          <w:bCs/>
          <w:color w:val="auto"/>
          <w:sz w:val="24"/>
          <w:szCs w:val="24"/>
        </w:rPr>
        <w:fldChar w:fldCharType="begin"/>
      </w:r>
      <w:r>
        <w:rPr>
          <w:b/>
          <w:bCs/>
          <w:color w:val="auto"/>
          <w:sz w:val="24"/>
          <w:szCs w:val="24"/>
        </w:rPr>
        <w:instrText xml:space="preserve"> PAGEREF _Toc8305 \h </w:instrText>
      </w:r>
      <w:r>
        <w:rPr>
          <w:b/>
          <w:bCs/>
          <w:color w:val="auto"/>
          <w:sz w:val="24"/>
          <w:szCs w:val="24"/>
        </w:rPr>
        <w:fldChar w:fldCharType="separate"/>
      </w:r>
      <w:r>
        <w:rPr>
          <w:b/>
          <w:bCs/>
          <w:color w:val="auto"/>
          <w:sz w:val="24"/>
          <w:szCs w:val="24"/>
        </w:rPr>
        <w:t>72</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_Toc3023 </w:instrText>
      </w:r>
      <w:r>
        <w:rPr>
          <w:b/>
          <w:bCs/>
          <w:color w:val="auto"/>
          <w:sz w:val="24"/>
          <w:szCs w:val="24"/>
        </w:rPr>
        <w:fldChar w:fldCharType="separate"/>
      </w:r>
      <w:r>
        <w:rPr>
          <w:b/>
          <w:bCs/>
          <w:color w:val="auto"/>
          <w:sz w:val="24"/>
          <w:szCs w:val="24"/>
        </w:rPr>
        <w:t>8.</w:t>
      </w:r>
      <w:r>
        <w:rPr>
          <w:rFonts w:hint="eastAsia"/>
          <w:b/>
          <w:bCs/>
          <w:color w:val="auto"/>
          <w:sz w:val="24"/>
          <w:szCs w:val="24"/>
          <w:lang w:val="en-US" w:eastAsia="zh-CN"/>
        </w:rPr>
        <w:t>2</w:t>
      </w:r>
      <w:r>
        <w:rPr>
          <w:b/>
          <w:bCs/>
          <w:color w:val="auto"/>
          <w:sz w:val="24"/>
          <w:szCs w:val="24"/>
        </w:rPr>
        <w:t>建议</w:t>
      </w:r>
      <w:r>
        <w:rPr>
          <w:b/>
          <w:bCs/>
          <w:color w:val="auto"/>
          <w:sz w:val="24"/>
          <w:szCs w:val="24"/>
        </w:rPr>
        <w:tab/>
      </w:r>
      <w:r>
        <w:rPr>
          <w:b/>
          <w:bCs/>
          <w:color w:val="auto"/>
          <w:sz w:val="24"/>
          <w:szCs w:val="24"/>
        </w:rPr>
        <w:fldChar w:fldCharType="begin"/>
      </w:r>
      <w:r>
        <w:rPr>
          <w:b/>
          <w:bCs/>
          <w:color w:val="auto"/>
          <w:sz w:val="24"/>
          <w:szCs w:val="24"/>
        </w:rPr>
        <w:instrText xml:space="preserve"> PAGEREF _Toc3023 \h </w:instrText>
      </w:r>
      <w:r>
        <w:rPr>
          <w:b/>
          <w:bCs/>
          <w:color w:val="auto"/>
          <w:sz w:val="24"/>
          <w:szCs w:val="24"/>
        </w:rPr>
        <w:fldChar w:fldCharType="separate"/>
      </w:r>
      <w:r>
        <w:rPr>
          <w:b/>
          <w:bCs/>
          <w:color w:val="auto"/>
          <w:sz w:val="24"/>
          <w:szCs w:val="24"/>
        </w:rPr>
        <w:t>72</w:t>
      </w:r>
      <w:r>
        <w:rPr>
          <w:b/>
          <w:bCs/>
          <w:color w:val="auto"/>
          <w:sz w:val="24"/>
          <w:szCs w:val="24"/>
        </w:rPr>
        <w:fldChar w:fldCharType="end"/>
      </w:r>
      <w:r>
        <w:rPr>
          <w:b/>
          <w:bCs/>
          <w:color w:val="auto"/>
          <w:sz w:val="24"/>
          <w:szCs w:val="24"/>
        </w:rPr>
        <w:fldChar w:fldCharType="end"/>
      </w:r>
    </w:p>
    <w:p>
      <w:pPr>
        <w:pStyle w:val="26"/>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_Toc29337 </w:instrText>
      </w:r>
      <w:r>
        <w:rPr>
          <w:b/>
          <w:bCs/>
          <w:color w:val="auto"/>
          <w:sz w:val="24"/>
          <w:szCs w:val="24"/>
        </w:rPr>
        <w:fldChar w:fldCharType="separate"/>
      </w:r>
      <w:r>
        <w:rPr>
          <w:rFonts w:hint="eastAsia"/>
          <w:b/>
          <w:bCs/>
          <w:color w:val="auto"/>
          <w:sz w:val="24"/>
          <w:szCs w:val="24"/>
        </w:rPr>
        <w:t>8</w:t>
      </w:r>
      <w:r>
        <w:rPr>
          <w:b/>
          <w:bCs/>
          <w:color w:val="auto"/>
          <w:sz w:val="24"/>
          <w:szCs w:val="24"/>
        </w:rPr>
        <w:t>.</w:t>
      </w:r>
      <w:r>
        <w:rPr>
          <w:rFonts w:hint="eastAsia"/>
          <w:b/>
          <w:bCs/>
          <w:color w:val="auto"/>
          <w:sz w:val="24"/>
          <w:szCs w:val="24"/>
          <w:lang w:val="en-US" w:eastAsia="zh-CN"/>
        </w:rPr>
        <w:t>3</w:t>
      </w:r>
      <w:r>
        <w:rPr>
          <w:b/>
          <w:bCs/>
          <w:color w:val="auto"/>
          <w:sz w:val="24"/>
          <w:szCs w:val="24"/>
        </w:rPr>
        <w:t>评价结论</w:t>
      </w:r>
      <w:r>
        <w:rPr>
          <w:b/>
          <w:bCs/>
          <w:color w:val="auto"/>
          <w:sz w:val="24"/>
          <w:szCs w:val="24"/>
        </w:rPr>
        <w:tab/>
      </w:r>
      <w:r>
        <w:rPr>
          <w:b/>
          <w:bCs/>
          <w:color w:val="auto"/>
          <w:sz w:val="24"/>
          <w:szCs w:val="24"/>
        </w:rPr>
        <w:fldChar w:fldCharType="begin"/>
      </w:r>
      <w:r>
        <w:rPr>
          <w:b/>
          <w:bCs/>
          <w:color w:val="auto"/>
          <w:sz w:val="24"/>
          <w:szCs w:val="24"/>
        </w:rPr>
        <w:instrText xml:space="preserve"> PAGEREF _Toc29337 \h </w:instrText>
      </w:r>
      <w:r>
        <w:rPr>
          <w:b/>
          <w:bCs/>
          <w:color w:val="auto"/>
          <w:sz w:val="24"/>
          <w:szCs w:val="24"/>
        </w:rPr>
        <w:fldChar w:fldCharType="separate"/>
      </w:r>
      <w:r>
        <w:rPr>
          <w:b/>
          <w:bCs/>
          <w:color w:val="auto"/>
          <w:sz w:val="24"/>
          <w:szCs w:val="24"/>
        </w:rPr>
        <w:t>73</w:t>
      </w:r>
      <w:r>
        <w:rPr>
          <w:b/>
          <w:bCs/>
          <w:color w:val="auto"/>
          <w:sz w:val="24"/>
          <w:szCs w:val="24"/>
        </w:rPr>
        <w:fldChar w:fldCharType="end"/>
      </w:r>
      <w:r>
        <w:rPr>
          <w:b/>
          <w:bCs/>
          <w:color w:val="auto"/>
          <w:sz w:val="24"/>
          <w:szCs w:val="24"/>
        </w:rPr>
        <w:fldChar w:fldCharType="end"/>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_Toc13374 </w:instrText>
      </w:r>
      <w:r>
        <w:rPr>
          <w:b/>
          <w:bCs/>
          <w:color w:val="auto"/>
          <w:sz w:val="24"/>
          <w:szCs w:val="24"/>
        </w:rPr>
        <w:fldChar w:fldCharType="separate"/>
      </w:r>
      <w:r>
        <w:rPr>
          <w:rFonts w:hint="eastAsia"/>
          <w:b/>
          <w:bCs/>
          <w:color w:val="auto"/>
          <w:sz w:val="24"/>
          <w:szCs w:val="24"/>
          <w:lang w:val="en-US" w:eastAsia="zh-CN"/>
        </w:rPr>
        <w:t>现场影像</w:t>
      </w:r>
      <w:r>
        <w:rPr>
          <w:b/>
          <w:bCs/>
          <w:color w:val="auto"/>
          <w:sz w:val="24"/>
          <w:szCs w:val="24"/>
        </w:rPr>
        <w:tab/>
      </w:r>
      <w:r>
        <w:rPr>
          <w:b/>
          <w:bCs/>
          <w:color w:val="auto"/>
          <w:sz w:val="24"/>
          <w:szCs w:val="24"/>
        </w:rPr>
        <w:fldChar w:fldCharType="begin"/>
      </w:r>
      <w:r>
        <w:rPr>
          <w:b/>
          <w:bCs/>
          <w:color w:val="auto"/>
          <w:sz w:val="24"/>
          <w:szCs w:val="24"/>
        </w:rPr>
        <w:instrText xml:space="preserve"> PAGEREF _Toc13374 \h </w:instrText>
      </w:r>
      <w:r>
        <w:rPr>
          <w:b/>
          <w:bCs/>
          <w:color w:val="auto"/>
          <w:sz w:val="24"/>
          <w:szCs w:val="24"/>
        </w:rPr>
        <w:fldChar w:fldCharType="separate"/>
      </w:r>
      <w:r>
        <w:rPr>
          <w:b/>
          <w:bCs/>
          <w:color w:val="auto"/>
          <w:sz w:val="24"/>
          <w:szCs w:val="24"/>
        </w:rPr>
        <w:t>75</w:t>
      </w:r>
      <w:r>
        <w:rPr>
          <w:b/>
          <w:bCs/>
          <w:color w:val="auto"/>
          <w:sz w:val="24"/>
          <w:szCs w:val="24"/>
        </w:rPr>
        <w:fldChar w:fldCharType="end"/>
      </w:r>
      <w:r>
        <w:rPr>
          <w:b/>
          <w:bCs/>
          <w:color w:val="auto"/>
          <w:sz w:val="24"/>
          <w:szCs w:val="24"/>
        </w:rPr>
        <w:fldChar w:fldCharType="end"/>
      </w:r>
    </w:p>
    <w:p>
      <w:pPr>
        <w:pStyle w:val="22"/>
        <w:keepNext w:val="0"/>
        <w:keepLines w:val="0"/>
        <w:pageBreakBefore w:val="0"/>
        <w:widowControl w:val="0"/>
        <w:tabs>
          <w:tab w:val="right" w:leader="dot" w:pos="9070"/>
        </w:tabs>
        <w:kinsoku/>
        <w:wordWrap/>
        <w:overflowPunct/>
        <w:topLinePunct w:val="0"/>
        <w:autoSpaceDE/>
        <w:autoSpaceDN/>
        <w:bidi w:val="0"/>
        <w:spacing w:line="360" w:lineRule="exact"/>
        <w:rPr>
          <w:b/>
          <w:bCs/>
          <w:color w:val="auto"/>
          <w:sz w:val="24"/>
          <w:szCs w:val="24"/>
        </w:rPr>
      </w:pPr>
      <w:r>
        <w:rPr>
          <w:b/>
          <w:bCs/>
          <w:color w:val="auto"/>
          <w:sz w:val="24"/>
          <w:szCs w:val="24"/>
        </w:rPr>
        <w:fldChar w:fldCharType="begin"/>
      </w:r>
      <w:r>
        <w:rPr>
          <w:b/>
          <w:bCs/>
          <w:color w:val="auto"/>
          <w:sz w:val="24"/>
          <w:szCs w:val="24"/>
        </w:rPr>
        <w:instrText xml:space="preserve"> HYPERLINK \l _Toc31542 </w:instrText>
      </w:r>
      <w:r>
        <w:rPr>
          <w:b/>
          <w:bCs/>
          <w:color w:val="auto"/>
          <w:sz w:val="24"/>
          <w:szCs w:val="24"/>
        </w:rPr>
        <w:fldChar w:fldCharType="separate"/>
      </w:r>
      <w:r>
        <w:rPr>
          <w:rFonts w:hint="eastAsia"/>
          <w:b/>
          <w:bCs/>
          <w:color w:val="auto"/>
          <w:sz w:val="24"/>
          <w:szCs w:val="24"/>
        </w:rPr>
        <w:t>附件</w:t>
      </w:r>
      <w:r>
        <w:rPr>
          <w:rFonts w:hint="eastAsia"/>
          <w:b/>
          <w:bCs/>
          <w:color w:val="auto"/>
          <w:sz w:val="24"/>
          <w:szCs w:val="24"/>
          <w:lang w:eastAsia="zh-CN"/>
        </w:rPr>
        <w:t>：</w:t>
      </w:r>
      <w:r>
        <w:rPr>
          <w:b/>
          <w:bCs/>
          <w:color w:val="auto"/>
          <w:sz w:val="24"/>
          <w:szCs w:val="24"/>
        </w:rPr>
        <w:tab/>
      </w:r>
      <w:r>
        <w:rPr>
          <w:b/>
          <w:bCs/>
          <w:color w:val="auto"/>
          <w:sz w:val="24"/>
          <w:szCs w:val="24"/>
        </w:rPr>
        <w:fldChar w:fldCharType="begin"/>
      </w:r>
      <w:r>
        <w:rPr>
          <w:b/>
          <w:bCs/>
          <w:color w:val="auto"/>
          <w:sz w:val="24"/>
          <w:szCs w:val="24"/>
        </w:rPr>
        <w:instrText xml:space="preserve"> PAGEREF _Toc31542 \h </w:instrText>
      </w:r>
      <w:r>
        <w:rPr>
          <w:b/>
          <w:bCs/>
          <w:color w:val="auto"/>
          <w:sz w:val="24"/>
          <w:szCs w:val="24"/>
        </w:rPr>
        <w:fldChar w:fldCharType="separate"/>
      </w:r>
      <w:r>
        <w:rPr>
          <w:b/>
          <w:bCs/>
          <w:color w:val="auto"/>
          <w:sz w:val="24"/>
          <w:szCs w:val="24"/>
        </w:rPr>
        <w:t>76</w:t>
      </w:r>
      <w:r>
        <w:rPr>
          <w:b/>
          <w:bCs/>
          <w:color w:val="auto"/>
          <w:sz w:val="24"/>
          <w:szCs w:val="24"/>
        </w:rPr>
        <w:fldChar w:fldCharType="end"/>
      </w:r>
      <w:r>
        <w:rPr>
          <w:b/>
          <w:bCs/>
          <w:color w:val="auto"/>
          <w:sz w:val="24"/>
          <w:szCs w:val="24"/>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center"/>
        <w:rPr>
          <w:color w:val="auto"/>
          <w:sz w:val="24"/>
          <w:szCs w:val="24"/>
        </w:rPr>
        <w:sectPr>
          <w:headerReference r:id="rId7" w:type="default"/>
          <w:footerReference r:id="rId8" w:type="default"/>
          <w:pgSz w:w="11906" w:h="16838"/>
          <w:pgMar w:top="1418" w:right="1418" w:bottom="1418" w:left="1418" w:header="851" w:footer="992" w:gutter="0"/>
          <w:pgNumType w:fmt="upperRoman" w:start="1"/>
          <w:cols w:space="720" w:num="1"/>
          <w:docGrid w:type="lines" w:linePitch="312" w:charSpace="0"/>
        </w:sectPr>
      </w:pPr>
      <w:r>
        <w:rPr>
          <w:b/>
          <w:bCs/>
          <w:color w:val="auto"/>
          <w:sz w:val="24"/>
          <w:szCs w:val="24"/>
        </w:rPr>
        <w:fldChar w:fldCharType="end"/>
      </w:r>
      <w:bookmarkStart w:id="168" w:name="_GoBack"/>
      <w:bookmarkEnd w:id="168"/>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b/>
          <w:bCs/>
          <w:color w:val="auto"/>
          <w:sz w:val="36"/>
          <w:szCs w:val="36"/>
        </w:rPr>
      </w:pPr>
      <w:r>
        <w:rPr>
          <w:rFonts w:hint="eastAsia"/>
          <w:b/>
          <w:bCs/>
          <w:color w:val="auto"/>
          <w:sz w:val="36"/>
          <w:szCs w:val="36"/>
        </w:rPr>
        <w:t>中国石化销售股份有限公司</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b/>
          <w:bCs/>
          <w:color w:val="auto"/>
          <w:sz w:val="36"/>
          <w:szCs w:val="36"/>
          <w:lang w:eastAsia="zh-CN"/>
        </w:rPr>
      </w:pPr>
      <w:r>
        <w:rPr>
          <w:rFonts w:hint="eastAsia"/>
          <w:b/>
          <w:bCs/>
          <w:color w:val="auto"/>
          <w:sz w:val="36"/>
          <w:szCs w:val="36"/>
          <w:lang w:eastAsia="zh-CN"/>
        </w:rPr>
        <w:t>江西上饶市广信石油分公司</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b/>
          <w:bCs/>
          <w:color w:val="auto"/>
          <w:sz w:val="36"/>
          <w:szCs w:val="36"/>
          <w:lang w:eastAsia="zh-CN"/>
        </w:rPr>
      </w:pPr>
      <w:r>
        <w:rPr>
          <w:rFonts w:hint="eastAsia"/>
          <w:b/>
          <w:bCs/>
          <w:color w:val="auto"/>
          <w:sz w:val="36"/>
          <w:szCs w:val="36"/>
          <w:lang w:eastAsia="zh-CN"/>
        </w:rPr>
        <w:t>第五加油站改造项目（充电站）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b/>
          <w:bCs/>
          <w:color w:val="auto"/>
          <w:sz w:val="36"/>
          <w:szCs w:val="36"/>
        </w:rPr>
      </w:pPr>
      <w:r>
        <w:rPr>
          <w:rFonts w:hint="eastAsia" w:ascii="宋体" w:hAnsi="宋体"/>
          <w:b/>
          <w:bCs/>
          <w:color w:val="auto"/>
          <w:sz w:val="36"/>
          <w:szCs w:val="36"/>
        </w:rPr>
        <w:t>安全</w:t>
      </w:r>
      <w:r>
        <w:rPr>
          <w:rFonts w:hint="eastAsia" w:ascii="宋体" w:hAnsi="宋体"/>
          <w:b/>
          <w:bCs/>
          <w:color w:val="auto"/>
          <w:sz w:val="36"/>
          <w:szCs w:val="36"/>
          <w:lang w:eastAsia="zh-CN"/>
        </w:rPr>
        <w:t>预评价</w:t>
      </w:r>
      <w:r>
        <w:rPr>
          <w:rFonts w:hint="eastAsia" w:ascii="宋体" w:hAnsi="宋体"/>
          <w:b/>
          <w:bCs/>
          <w:color w:val="auto"/>
          <w:sz w:val="36"/>
          <w:szCs w:val="36"/>
        </w:rPr>
        <w:t>报告</w:t>
      </w:r>
    </w:p>
    <w:p>
      <w:pPr>
        <w:pStyle w:val="2"/>
        <w:rPr>
          <w:color w:val="auto"/>
        </w:rPr>
      </w:pPr>
      <w:bookmarkStart w:id="0" w:name="_Toc29311"/>
      <w:bookmarkStart w:id="1" w:name="_Toc13845"/>
      <w:bookmarkStart w:id="2" w:name="_Toc350517370"/>
      <w:r>
        <w:rPr>
          <w:color w:val="auto"/>
          <w:szCs w:val="32"/>
        </w:rPr>
        <w:t>1</w:t>
      </w:r>
      <w:r>
        <w:rPr>
          <w:rFonts w:hint="eastAsia" w:ascii="宋体" w:hAnsi="宋体" w:eastAsia="宋体" w:cs="宋体"/>
          <w:color w:val="auto"/>
          <w:szCs w:val="32"/>
        </w:rPr>
        <w:t>评价概述</w:t>
      </w:r>
      <w:bookmarkEnd w:id="0"/>
      <w:bookmarkEnd w:id="1"/>
      <w:bookmarkEnd w:id="2"/>
    </w:p>
    <w:p>
      <w:pPr>
        <w:pStyle w:val="3"/>
        <w:spacing w:line="416" w:lineRule="auto"/>
        <w:rPr>
          <w:color w:val="auto"/>
        </w:rPr>
      </w:pPr>
      <w:bookmarkStart w:id="3" w:name="_Toc12474"/>
      <w:bookmarkStart w:id="4" w:name="_Toc350517371"/>
      <w:r>
        <w:rPr>
          <w:color w:val="auto"/>
        </w:rPr>
        <w:t>1.1</w:t>
      </w:r>
      <w:r>
        <w:rPr>
          <w:rFonts w:hint="eastAsia" w:ascii="宋体" w:hAnsi="宋体" w:eastAsia="宋体" w:cs="宋体"/>
          <w:color w:val="auto"/>
        </w:rPr>
        <w:t>评价的目的</w:t>
      </w:r>
      <w:bookmarkEnd w:id="3"/>
      <w:bookmarkEnd w:id="4"/>
    </w:p>
    <w:p>
      <w:pPr>
        <w:wordWrap w:val="0"/>
        <w:adjustRightInd w:val="0"/>
        <w:snapToGrid w:val="0"/>
        <w:spacing w:line="600" w:lineRule="exact"/>
        <w:ind w:firstLine="560" w:firstLineChars="200"/>
        <w:jc w:val="left"/>
        <w:textAlignment w:val="center"/>
        <w:rPr>
          <w:color w:val="auto"/>
          <w:sz w:val="28"/>
          <w:szCs w:val="28"/>
        </w:rPr>
      </w:pPr>
      <w:r>
        <w:rPr>
          <w:color w:val="auto"/>
          <w:sz w:val="28"/>
          <w:szCs w:val="28"/>
        </w:rPr>
        <w:t>1、</w:t>
      </w:r>
      <w:r>
        <w:rPr>
          <w:rFonts w:hint="eastAsia"/>
          <w:color w:val="auto"/>
          <w:sz w:val="28"/>
          <w:szCs w:val="28"/>
          <w:lang w:val="en-US" w:eastAsia="zh-CN"/>
        </w:rPr>
        <w:t>贯彻执行</w:t>
      </w:r>
      <w:r>
        <w:rPr>
          <w:color w:val="auto"/>
          <w:sz w:val="28"/>
          <w:szCs w:val="28"/>
        </w:rPr>
        <w:t>《中华人民共和国安全生产法》</w:t>
      </w:r>
      <w:r>
        <w:rPr>
          <w:rFonts w:hint="eastAsia"/>
          <w:color w:val="auto"/>
          <w:sz w:val="28"/>
          <w:szCs w:val="28"/>
          <w:lang w:val="en-US" w:eastAsia="zh-CN"/>
        </w:rPr>
        <w:t>第三十一条“生产经营单位新建、改建、扩建工程项目的安全设施，必须与主题工程同时设计、同时施工、同时投入生产和使用，安全设施投资应当纳入建设项目概算”及《建设项目安全设施“三同时”监督管理办法》的相关规定，该项目应进行安全预评价</w:t>
      </w:r>
      <w:r>
        <w:rPr>
          <w:color w:val="auto"/>
          <w:sz w:val="28"/>
          <w:szCs w:val="28"/>
        </w:rPr>
        <w:t>。</w:t>
      </w:r>
    </w:p>
    <w:p>
      <w:pPr>
        <w:pStyle w:val="11"/>
        <w:tabs>
          <w:tab w:val="left" w:pos="5940"/>
        </w:tabs>
        <w:wordWrap w:val="0"/>
        <w:adjustRightInd w:val="0"/>
        <w:snapToGrid w:val="0"/>
        <w:spacing w:after="0" w:line="600" w:lineRule="exact"/>
        <w:ind w:left="0" w:leftChars="0" w:firstLine="537" w:firstLineChars="192"/>
        <w:jc w:val="left"/>
        <w:textAlignment w:val="center"/>
        <w:rPr>
          <w:color w:val="auto"/>
          <w:sz w:val="28"/>
          <w:szCs w:val="28"/>
        </w:rPr>
      </w:pPr>
      <w:r>
        <w:rPr>
          <w:color w:val="auto"/>
          <w:sz w:val="28"/>
          <w:szCs w:val="28"/>
        </w:rPr>
        <w:t>2、</w:t>
      </w:r>
      <w:r>
        <w:rPr>
          <w:rFonts w:hint="eastAsia"/>
          <w:color w:val="auto"/>
          <w:sz w:val="28"/>
          <w:szCs w:val="28"/>
          <w:lang w:val="en-US" w:eastAsia="zh-CN"/>
        </w:rPr>
        <w:t>确保该项目符合国家法律、法规和相关标准、规范要求，在设计是哪个实现本质安全，防止项目建成后留下安全隐患</w:t>
      </w:r>
      <w:r>
        <w:rPr>
          <w:color w:val="auto"/>
          <w:sz w:val="28"/>
          <w:szCs w:val="28"/>
        </w:rPr>
        <w:t>。</w:t>
      </w:r>
    </w:p>
    <w:p>
      <w:pPr>
        <w:pStyle w:val="11"/>
        <w:tabs>
          <w:tab w:val="left" w:pos="5940"/>
        </w:tabs>
        <w:wordWrap w:val="0"/>
        <w:adjustRightInd w:val="0"/>
        <w:snapToGrid w:val="0"/>
        <w:spacing w:after="0" w:line="600" w:lineRule="exact"/>
        <w:ind w:left="0" w:leftChars="0" w:firstLine="537" w:firstLineChars="192"/>
        <w:jc w:val="left"/>
        <w:textAlignment w:val="center"/>
        <w:rPr>
          <w:rFonts w:hint="eastAsia"/>
          <w:color w:val="auto"/>
          <w:sz w:val="28"/>
          <w:szCs w:val="28"/>
          <w:lang w:val="en-US" w:eastAsia="zh-CN"/>
        </w:rPr>
      </w:pPr>
      <w:r>
        <w:rPr>
          <w:rFonts w:hint="eastAsia"/>
          <w:color w:val="auto"/>
          <w:sz w:val="28"/>
          <w:szCs w:val="28"/>
          <w:lang w:val="en-US" w:eastAsia="zh-CN"/>
        </w:rPr>
        <w:t>3、通过预评价，对该项目所存在的危险性、有害性进行辨识并运用系统安全评价方法对所存在的危险性、有害性进行定性和定量分析。</w:t>
      </w:r>
    </w:p>
    <w:p>
      <w:pPr>
        <w:pStyle w:val="11"/>
        <w:tabs>
          <w:tab w:val="left" w:pos="5940"/>
        </w:tabs>
        <w:wordWrap w:val="0"/>
        <w:adjustRightInd w:val="0"/>
        <w:snapToGrid w:val="0"/>
        <w:spacing w:after="0" w:line="600" w:lineRule="exact"/>
        <w:ind w:left="0" w:leftChars="0" w:firstLine="537" w:firstLineChars="192"/>
        <w:jc w:val="left"/>
        <w:textAlignment w:val="center"/>
        <w:rPr>
          <w:rFonts w:hint="default"/>
          <w:color w:val="auto"/>
          <w:sz w:val="28"/>
          <w:szCs w:val="28"/>
          <w:lang w:val="en-US" w:eastAsia="zh-CN"/>
        </w:rPr>
      </w:pPr>
      <w:r>
        <w:rPr>
          <w:rFonts w:hint="eastAsia"/>
          <w:color w:val="auto"/>
          <w:sz w:val="28"/>
          <w:szCs w:val="28"/>
          <w:lang w:val="en-US" w:eastAsia="zh-CN"/>
        </w:rPr>
        <w:t>评价该项目发生危险、危害的可能性及其事故后果危害程度，针对事故发生的各种原因和条件，从设计上提出应采取相应的安全对策措施，为安全设计单位、建设单位在安全设施“三同时”中提供决策参考。</w:t>
      </w:r>
    </w:p>
    <w:p>
      <w:pPr>
        <w:wordWrap w:val="0"/>
        <w:adjustRightInd w:val="0"/>
        <w:snapToGrid w:val="0"/>
        <w:spacing w:line="600" w:lineRule="exact"/>
        <w:jc w:val="left"/>
        <w:textAlignment w:val="center"/>
        <w:outlineLvl w:val="1"/>
        <w:rPr>
          <w:b/>
          <w:color w:val="auto"/>
          <w:sz w:val="30"/>
          <w:szCs w:val="30"/>
        </w:rPr>
      </w:pPr>
      <w:bookmarkStart w:id="5" w:name="_Toc18882"/>
      <w:r>
        <w:rPr>
          <w:rStyle w:val="39"/>
          <w:rFonts w:ascii="Times New Roman" w:hAnsi="Times New Roman"/>
          <w:color w:val="auto"/>
          <w:sz w:val="30"/>
          <w:szCs w:val="30"/>
        </w:rPr>
        <w:t>1.2</w:t>
      </w:r>
      <w:r>
        <w:rPr>
          <w:rStyle w:val="39"/>
          <w:rFonts w:hint="eastAsia" w:ascii="宋体" w:hAnsi="宋体" w:eastAsia="宋体" w:cs="宋体"/>
          <w:color w:val="auto"/>
          <w:sz w:val="30"/>
          <w:szCs w:val="30"/>
        </w:rPr>
        <w:t>评价的原则</w:t>
      </w:r>
      <w:bookmarkEnd w:id="5"/>
    </w:p>
    <w:p>
      <w:pPr>
        <w:bidi w:val="0"/>
        <w:rPr>
          <w:rFonts w:hint="eastAsia"/>
          <w:color w:val="auto"/>
          <w:lang w:val="en-US" w:eastAsia="zh-CN"/>
        </w:rPr>
      </w:pPr>
      <w:r>
        <w:rPr>
          <w:rFonts w:hint="eastAsia"/>
          <w:color w:val="auto"/>
          <w:lang w:val="en-US" w:eastAsia="zh-CN"/>
        </w:rPr>
        <w:t>本安全预评价报告严格按照国家现行有关安全生产的法律、法规和标准要求，同时遵循下列原则：</w:t>
      </w:r>
    </w:p>
    <w:p>
      <w:pPr>
        <w:bidi w:val="0"/>
        <w:rPr>
          <w:rFonts w:hint="eastAsia"/>
          <w:color w:val="auto"/>
          <w:lang w:val="en-US" w:eastAsia="zh-CN"/>
        </w:rPr>
      </w:pPr>
      <w:r>
        <w:rPr>
          <w:rFonts w:hint="eastAsia"/>
          <w:color w:val="auto"/>
          <w:lang w:val="en-US" w:eastAsia="zh-CN"/>
        </w:rPr>
        <w:t>1、严格执行国家、地方与行业现行有关安全生产方面的法律、法规和标准，遵循科学公正、独立客观、安全准确、诚实守信的原则和执业准则，最终做出客观的评价。</w:t>
      </w:r>
    </w:p>
    <w:p>
      <w:pPr>
        <w:bidi w:val="0"/>
        <w:rPr>
          <w:rFonts w:hint="default"/>
          <w:color w:val="auto"/>
          <w:lang w:val="en-US" w:eastAsia="zh-CN"/>
        </w:rPr>
      </w:pPr>
      <w:r>
        <w:rPr>
          <w:rFonts w:hint="default"/>
          <w:color w:val="auto"/>
          <w:lang w:val="en-US" w:eastAsia="zh-CN"/>
        </w:rPr>
        <w:t>2、</w:t>
      </w:r>
      <w:r>
        <w:rPr>
          <w:rFonts w:hint="eastAsia"/>
          <w:color w:val="auto"/>
          <w:lang w:val="en-US" w:eastAsia="zh-CN"/>
        </w:rPr>
        <w:t>采用可靠、先进、适用的评价技术，确保评价质量，突出重点。</w:t>
      </w:r>
    </w:p>
    <w:p>
      <w:pPr>
        <w:pStyle w:val="3"/>
        <w:bidi w:val="0"/>
        <w:rPr>
          <w:color w:val="auto"/>
        </w:rPr>
      </w:pPr>
      <w:bookmarkStart w:id="6" w:name="_Toc14003"/>
      <w:bookmarkStart w:id="7" w:name="_Toc350517372"/>
      <w:r>
        <w:rPr>
          <w:color w:val="auto"/>
        </w:rPr>
        <w:t>1.3</w:t>
      </w:r>
      <w:r>
        <w:rPr>
          <w:rFonts w:hint="eastAsia" w:ascii="宋体" w:hAnsi="宋体" w:eastAsia="宋体" w:cs="宋体"/>
          <w:color w:val="auto"/>
        </w:rPr>
        <w:t>评价依据</w:t>
      </w:r>
      <w:bookmarkEnd w:id="6"/>
      <w:bookmarkEnd w:id="7"/>
    </w:p>
    <w:p>
      <w:pPr>
        <w:pStyle w:val="4"/>
        <w:bidi w:val="0"/>
        <w:rPr>
          <w:color w:val="auto"/>
        </w:rPr>
      </w:pPr>
      <w:bookmarkStart w:id="8" w:name="_Toc3830"/>
      <w:r>
        <w:rPr>
          <w:color w:val="auto"/>
        </w:rPr>
        <w:t>1.</w:t>
      </w:r>
      <w:r>
        <w:rPr>
          <w:rFonts w:hint="eastAsia"/>
          <w:color w:val="auto"/>
        </w:rPr>
        <w:t>3</w:t>
      </w:r>
      <w:r>
        <w:rPr>
          <w:color w:val="auto"/>
        </w:rPr>
        <w:t>.1法律、法规、规定、规范性文件</w:t>
      </w:r>
      <w:bookmarkEnd w:id="8"/>
    </w:p>
    <w:p>
      <w:pPr>
        <w:wordWrap w:val="0"/>
        <w:adjustRightInd w:val="0"/>
        <w:snapToGrid w:val="0"/>
        <w:spacing w:line="600" w:lineRule="exact"/>
        <w:ind w:firstLine="560" w:firstLineChars="200"/>
        <w:jc w:val="left"/>
        <w:textAlignment w:val="center"/>
        <w:rPr>
          <w:rFonts w:hint="default" w:eastAsia="宋体"/>
          <w:color w:val="auto"/>
          <w:sz w:val="28"/>
          <w:szCs w:val="28"/>
          <w:lang w:val="en-US" w:eastAsia="zh-CN"/>
        </w:rPr>
      </w:pPr>
      <w:r>
        <w:rPr>
          <w:color w:val="auto"/>
          <w:sz w:val="28"/>
          <w:szCs w:val="28"/>
        </w:rPr>
        <w:t>《中华人民共和国安全生产法》国家主席令【20</w:t>
      </w:r>
      <w:r>
        <w:rPr>
          <w:rFonts w:hint="eastAsia"/>
          <w:color w:val="auto"/>
          <w:sz w:val="28"/>
          <w:szCs w:val="28"/>
          <w:lang w:val="en-US" w:eastAsia="zh-CN"/>
        </w:rPr>
        <w:t>02</w:t>
      </w:r>
      <w:r>
        <w:rPr>
          <w:color w:val="auto"/>
          <w:sz w:val="28"/>
          <w:szCs w:val="28"/>
        </w:rPr>
        <w:t>】第</w:t>
      </w:r>
      <w:r>
        <w:rPr>
          <w:rFonts w:hint="eastAsia"/>
          <w:color w:val="auto"/>
          <w:sz w:val="28"/>
          <w:szCs w:val="28"/>
          <w:lang w:val="en-US" w:eastAsia="zh-CN"/>
        </w:rPr>
        <w:t>70</w:t>
      </w:r>
      <w:r>
        <w:rPr>
          <w:color w:val="auto"/>
          <w:sz w:val="28"/>
          <w:szCs w:val="28"/>
        </w:rPr>
        <w:t>号</w:t>
      </w:r>
      <w:r>
        <w:rPr>
          <w:rFonts w:hint="eastAsia"/>
          <w:color w:val="auto"/>
          <w:sz w:val="28"/>
          <w:szCs w:val="28"/>
          <w:lang w:val="en-US" w:eastAsia="zh-CN"/>
        </w:rPr>
        <w:t>发布</w:t>
      </w:r>
      <w:r>
        <w:rPr>
          <w:color w:val="auto"/>
          <w:sz w:val="28"/>
          <w:szCs w:val="28"/>
        </w:rPr>
        <w:t>，</w:t>
      </w:r>
      <w:r>
        <w:rPr>
          <w:rFonts w:hint="eastAsia"/>
          <w:color w:val="auto"/>
          <w:sz w:val="28"/>
          <w:szCs w:val="28"/>
          <w:lang w:eastAsia="zh-CN"/>
        </w:rPr>
        <w:t>【</w:t>
      </w:r>
      <w:r>
        <w:rPr>
          <w:rFonts w:hint="eastAsia"/>
          <w:color w:val="auto"/>
          <w:sz w:val="28"/>
          <w:szCs w:val="28"/>
          <w:lang w:val="en-US" w:eastAsia="zh-CN"/>
        </w:rPr>
        <w:t>2021</w:t>
      </w:r>
      <w:r>
        <w:rPr>
          <w:rFonts w:hint="eastAsia"/>
          <w:color w:val="auto"/>
          <w:sz w:val="28"/>
          <w:szCs w:val="28"/>
          <w:lang w:eastAsia="zh-CN"/>
        </w:rPr>
        <w:t>】</w:t>
      </w:r>
      <w:r>
        <w:rPr>
          <w:rFonts w:hint="eastAsia"/>
          <w:color w:val="auto"/>
          <w:sz w:val="28"/>
          <w:szCs w:val="28"/>
          <w:lang w:val="en-US" w:eastAsia="zh-CN"/>
        </w:rPr>
        <w:t>第88号令修订</w:t>
      </w:r>
    </w:p>
    <w:p>
      <w:pPr>
        <w:wordWrap w:val="0"/>
        <w:adjustRightInd w:val="0"/>
        <w:snapToGrid w:val="0"/>
        <w:spacing w:line="600" w:lineRule="exact"/>
        <w:ind w:firstLine="560" w:firstLineChars="200"/>
        <w:jc w:val="left"/>
        <w:textAlignment w:val="center"/>
        <w:rPr>
          <w:color w:val="auto"/>
          <w:sz w:val="28"/>
          <w:szCs w:val="28"/>
        </w:rPr>
      </w:pPr>
      <w:r>
        <w:rPr>
          <w:color w:val="auto"/>
          <w:sz w:val="28"/>
          <w:szCs w:val="28"/>
        </w:rPr>
        <w:t>《中华人民共和国消防法》国家主席令【</w:t>
      </w:r>
      <w:r>
        <w:rPr>
          <w:rFonts w:hint="eastAsia"/>
          <w:color w:val="auto"/>
          <w:sz w:val="28"/>
          <w:szCs w:val="28"/>
          <w:lang w:val="en-US" w:eastAsia="zh-CN"/>
        </w:rPr>
        <w:t>1998</w:t>
      </w:r>
      <w:r>
        <w:rPr>
          <w:color w:val="auto"/>
          <w:sz w:val="28"/>
          <w:szCs w:val="28"/>
        </w:rPr>
        <w:t>】第</w:t>
      </w:r>
      <w:r>
        <w:rPr>
          <w:rFonts w:hint="eastAsia"/>
          <w:color w:val="auto"/>
          <w:sz w:val="28"/>
          <w:szCs w:val="28"/>
          <w:lang w:val="en-US" w:eastAsia="zh-CN"/>
        </w:rPr>
        <w:t>4</w:t>
      </w:r>
      <w:r>
        <w:rPr>
          <w:color w:val="auto"/>
          <w:sz w:val="28"/>
          <w:szCs w:val="28"/>
        </w:rPr>
        <w:t>号</w:t>
      </w:r>
      <w:r>
        <w:rPr>
          <w:rFonts w:hint="eastAsia"/>
          <w:color w:val="auto"/>
          <w:sz w:val="28"/>
          <w:szCs w:val="28"/>
          <w:lang w:val="en-US" w:eastAsia="zh-CN"/>
        </w:rPr>
        <w:t>发布，</w:t>
      </w:r>
      <w:r>
        <w:rPr>
          <w:color w:val="auto"/>
          <w:sz w:val="28"/>
          <w:szCs w:val="28"/>
        </w:rPr>
        <w:t>【2021】第</w:t>
      </w:r>
      <w:r>
        <w:rPr>
          <w:rFonts w:hint="eastAsia"/>
          <w:color w:val="auto"/>
          <w:sz w:val="28"/>
          <w:szCs w:val="28"/>
          <w:lang w:val="en-US" w:eastAsia="zh-CN"/>
        </w:rPr>
        <w:t>81</w:t>
      </w:r>
      <w:r>
        <w:rPr>
          <w:color w:val="auto"/>
          <w:sz w:val="28"/>
          <w:szCs w:val="28"/>
        </w:rPr>
        <w:t>号修订</w:t>
      </w:r>
    </w:p>
    <w:p>
      <w:pPr>
        <w:wordWrap w:val="0"/>
        <w:adjustRightInd w:val="0"/>
        <w:snapToGrid w:val="0"/>
        <w:spacing w:line="600" w:lineRule="exact"/>
        <w:ind w:firstLine="560" w:firstLineChars="200"/>
        <w:jc w:val="left"/>
        <w:textAlignment w:val="center"/>
        <w:rPr>
          <w:rFonts w:hint="default" w:eastAsia="宋体"/>
          <w:color w:val="auto"/>
          <w:sz w:val="28"/>
          <w:szCs w:val="28"/>
          <w:lang w:val="en-US" w:eastAsia="zh-CN"/>
        </w:rPr>
      </w:pPr>
      <w:r>
        <w:rPr>
          <w:color w:val="auto"/>
          <w:sz w:val="28"/>
          <w:szCs w:val="28"/>
        </w:rPr>
        <w:t>《中华人民共和国劳动法》国家主席令</w:t>
      </w:r>
      <w:r>
        <w:rPr>
          <w:rFonts w:hint="eastAsia"/>
          <w:color w:val="auto"/>
          <w:sz w:val="28"/>
          <w:szCs w:val="28"/>
          <w:lang w:eastAsia="zh-CN"/>
        </w:rPr>
        <w:t>【</w:t>
      </w:r>
      <w:r>
        <w:rPr>
          <w:rFonts w:hint="eastAsia"/>
          <w:color w:val="auto"/>
          <w:sz w:val="28"/>
          <w:szCs w:val="28"/>
          <w:lang w:val="en-US" w:eastAsia="zh-CN"/>
        </w:rPr>
        <w:t>1994</w:t>
      </w:r>
      <w:r>
        <w:rPr>
          <w:rFonts w:hint="eastAsia"/>
          <w:color w:val="auto"/>
          <w:sz w:val="28"/>
          <w:szCs w:val="28"/>
          <w:lang w:eastAsia="zh-CN"/>
        </w:rPr>
        <w:t>】</w:t>
      </w:r>
      <w:r>
        <w:rPr>
          <w:color w:val="auto"/>
          <w:sz w:val="28"/>
          <w:szCs w:val="28"/>
        </w:rPr>
        <w:t>第2</w:t>
      </w:r>
      <w:r>
        <w:rPr>
          <w:rFonts w:hint="eastAsia"/>
          <w:color w:val="auto"/>
          <w:sz w:val="28"/>
          <w:szCs w:val="28"/>
          <w:lang w:val="en-US" w:eastAsia="zh-CN"/>
        </w:rPr>
        <w:t>8</w:t>
      </w:r>
      <w:r>
        <w:rPr>
          <w:color w:val="auto"/>
          <w:sz w:val="28"/>
          <w:szCs w:val="28"/>
        </w:rPr>
        <w:t>号</w:t>
      </w:r>
      <w:r>
        <w:rPr>
          <w:rFonts w:hint="eastAsia"/>
          <w:color w:val="auto"/>
          <w:sz w:val="28"/>
          <w:szCs w:val="28"/>
          <w:lang w:val="en-US" w:eastAsia="zh-CN"/>
        </w:rPr>
        <w:t>发布</w:t>
      </w:r>
      <w:r>
        <w:rPr>
          <w:rFonts w:hint="eastAsia"/>
          <w:color w:val="auto"/>
          <w:sz w:val="28"/>
          <w:szCs w:val="28"/>
          <w:lang w:eastAsia="zh-CN"/>
        </w:rPr>
        <w:t>，【</w:t>
      </w:r>
      <w:r>
        <w:rPr>
          <w:rFonts w:hint="eastAsia"/>
          <w:color w:val="auto"/>
          <w:sz w:val="28"/>
          <w:szCs w:val="28"/>
          <w:lang w:val="en-US" w:eastAsia="zh-CN"/>
        </w:rPr>
        <w:t>2018</w:t>
      </w:r>
      <w:r>
        <w:rPr>
          <w:rFonts w:hint="eastAsia"/>
          <w:color w:val="auto"/>
          <w:sz w:val="28"/>
          <w:szCs w:val="28"/>
          <w:lang w:eastAsia="zh-CN"/>
        </w:rPr>
        <w:t>】</w:t>
      </w:r>
      <w:r>
        <w:rPr>
          <w:rFonts w:hint="eastAsia"/>
          <w:color w:val="auto"/>
          <w:sz w:val="28"/>
          <w:szCs w:val="28"/>
          <w:lang w:val="en-US" w:eastAsia="zh-CN"/>
        </w:rPr>
        <w:t>第24号令修订</w:t>
      </w:r>
    </w:p>
    <w:p>
      <w:pPr>
        <w:wordWrap w:val="0"/>
        <w:adjustRightInd w:val="0"/>
        <w:snapToGrid w:val="0"/>
        <w:spacing w:line="600" w:lineRule="exact"/>
        <w:ind w:firstLine="560" w:firstLineChars="200"/>
        <w:jc w:val="left"/>
        <w:textAlignment w:val="center"/>
        <w:rPr>
          <w:rFonts w:hint="default" w:eastAsia="宋体"/>
          <w:color w:val="auto"/>
          <w:sz w:val="28"/>
          <w:szCs w:val="28"/>
          <w:lang w:val="en-US" w:eastAsia="zh-CN"/>
        </w:rPr>
      </w:pPr>
      <w:r>
        <w:rPr>
          <w:color w:val="auto"/>
          <w:sz w:val="28"/>
          <w:szCs w:val="28"/>
        </w:rPr>
        <w:t>《</w:t>
      </w:r>
      <w:r>
        <w:rPr>
          <w:rFonts w:hint="eastAsia"/>
          <w:color w:val="auto"/>
          <w:sz w:val="28"/>
          <w:szCs w:val="28"/>
          <w:lang w:val="en-US" w:eastAsia="zh-CN"/>
        </w:rPr>
        <w:t>中华人民共和国职业病防治法</w:t>
      </w:r>
      <w:r>
        <w:rPr>
          <w:color w:val="auto"/>
          <w:sz w:val="28"/>
          <w:szCs w:val="28"/>
        </w:rPr>
        <w:t>》</w:t>
      </w:r>
      <w:r>
        <w:rPr>
          <w:rFonts w:hint="eastAsia"/>
          <w:color w:val="auto"/>
          <w:sz w:val="28"/>
          <w:szCs w:val="28"/>
          <w:lang w:val="en-US" w:eastAsia="zh-CN"/>
        </w:rPr>
        <w:t>国家主席</w:t>
      </w:r>
      <w:r>
        <w:rPr>
          <w:color w:val="auto"/>
          <w:sz w:val="28"/>
          <w:szCs w:val="28"/>
        </w:rPr>
        <w:t>令【20</w:t>
      </w:r>
      <w:r>
        <w:rPr>
          <w:rFonts w:hint="eastAsia"/>
          <w:color w:val="auto"/>
          <w:sz w:val="28"/>
          <w:szCs w:val="28"/>
          <w:lang w:val="en-US" w:eastAsia="zh-CN"/>
        </w:rPr>
        <w:t>02</w:t>
      </w:r>
      <w:r>
        <w:rPr>
          <w:color w:val="auto"/>
          <w:sz w:val="28"/>
          <w:szCs w:val="28"/>
        </w:rPr>
        <w:t>】第</w:t>
      </w:r>
      <w:r>
        <w:rPr>
          <w:rFonts w:hint="eastAsia"/>
          <w:color w:val="auto"/>
          <w:sz w:val="28"/>
          <w:szCs w:val="28"/>
          <w:lang w:val="en-US" w:eastAsia="zh-CN"/>
        </w:rPr>
        <w:t>60</w:t>
      </w:r>
      <w:r>
        <w:rPr>
          <w:color w:val="auto"/>
          <w:sz w:val="28"/>
          <w:szCs w:val="28"/>
        </w:rPr>
        <w:t>号</w:t>
      </w:r>
      <w:r>
        <w:rPr>
          <w:rFonts w:hint="eastAsia"/>
          <w:color w:val="auto"/>
          <w:sz w:val="28"/>
          <w:szCs w:val="28"/>
          <w:lang w:val="en-US" w:eastAsia="zh-CN"/>
        </w:rPr>
        <w:t>发布</w:t>
      </w:r>
      <w:r>
        <w:rPr>
          <w:rFonts w:hint="eastAsia"/>
          <w:color w:val="auto"/>
          <w:sz w:val="28"/>
          <w:szCs w:val="28"/>
          <w:lang w:eastAsia="zh-CN"/>
        </w:rPr>
        <w:t>，【</w:t>
      </w:r>
      <w:r>
        <w:rPr>
          <w:rFonts w:hint="eastAsia"/>
          <w:color w:val="auto"/>
          <w:sz w:val="28"/>
          <w:szCs w:val="28"/>
          <w:lang w:val="en-US" w:eastAsia="zh-CN"/>
        </w:rPr>
        <w:t>2018</w:t>
      </w:r>
      <w:r>
        <w:rPr>
          <w:rFonts w:hint="eastAsia"/>
          <w:color w:val="auto"/>
          <w:sz w:val="28"/>
          <w:szCs w:val="28"/>
          <w:lang w:eastAsia="zh-CN"/>
        </w:rPr>
        <w:t>】</w:t>
      </w:r>
      <w:r>
        <w:rPr>
          <w:rFonts w:hint="eastAsia"/>
          <w:color w:val="auto"/>
          <w:sz w:val="28"/>
          <w:szCs w:val="28"/>
          <w:lang w:val="en-US" w:eastAsia="zh-CN"/>
        </w:rPr>
        <w:t>第24号令修订</w:t>
      </w:r>
    </w:p>
    <w:p>
      <w:pPr>
        <w:bidi w:val="0"/>
        <w:rPr>
          <w:color w:val="auto"/>
        </w:rPr>
      </w:pPr>
      <w:r>
        <w:rPr>
          <w:color w:val="auto"/>
        </w:rPr>
        <w:t>《</w:t>
      </w:r>
      <w:r>
        <w:rPr>
          <w:rFonts w:hint="eastAsia"/>
          <w:color w:val="auto"/>
          <w:lang w:val="en-US" w:eastAsia="zh-CN"/>
        </w:rPr>
        <w:t>建设工程安全生产管理条例</w:t>
      </w:r>
      <w:r>
        <w:rPr>
          <w:color w:val="auto"/>
        </w:rPr>
        <w:t>》国务院令第</w:t>
      </w:r>
      <w:r>
        <w:rPr>
          <w:rFonts w:hint="eastAsia"/>
          <w:color w:val="auto"/>
          <w:lang w:val="en-US" w:eastAsia="zh-CN"/>
        </w:rPr>
        <w:t>393</w:t>
      </w:r>
      <w:r>
        <w:rPr>
          <w:color w:val="auto"/>
        </w:rPr>
        <w:t>号</w:t>
      </w:r>
    </w:p>
    <w:p>
      <w:pPr>
        <w:bidi w:val="0"/>
        <w:rPr>
          <w:rFonts w:hint="eastAsia"/>
          <w:color w:val="auto"/>
          <w:lang w:val="en-US" w:eastAsia="zh-CN"/>
        </w:rPr>
      </w:pPr>
      <w:r>
        <w:rPr>
          <w:rFonts w:hint="eastAsia"/>
          <w:color w:val="auto"/>
          <w:lang w:eastAsia="zh-CN"/>
        </w:rPr>
        <w:t>《</w:t>
      </w:r>
      <w:r>
        <w:rPr>
          <w:rFonts w:hint="eastAsia"/>
          <w:color w:val="auto"/>
          <w:lang w:val="en-US" w:eastAsia="zh-CN"/>
        </w:rPr>
        <w:t>特种设备安全监察条例</w:t>
      </w:r>
      <w:r>
        <w:rPr>
          <w:rFonts w:hint="eastAsia"/>
          <w:color w:val="auto"/>
          <w:lang w:eastAsia="zh-CN"/>
        </w:rPr>
        <w:t>》</w:t>
      </w:r>
      <w:r>
        <w:rPr>
          <w:rFonts w:hint="eastAsia"/>
          <w:color w:val="auto"/>
          <w:lang w:val="en-US" w:eastAsia="zh-CN"/>
        </w:rPr>
        <w:t>国务院令第549号</w:t>
      </w:r>
    </w:p>
    <w:p>
      <w:pPr>
        <w:bidi w:val="0"/>
        <w:rPr>
          <w:rFonts w:hint="eastAsia"/>
          <w:color w:val="auto"/>
          <w:lang w:val="en-US" w:eastAsia="zh-CN"/>
        </w:rPr>
      </w:pPr>
      <w:r>
        <w:rPr>
          <w:rFonts w:hint="eastAsia"/>
          <w:color w:val="auto"/>
          <w:lang w:val="en-US" w:eastAsia="zh-CN"/>
        </w:rPr>
        <w:t>《工伤保险条例》国务院令第586号</w:t>
      </w:r>
    </w:p>
    <w:p>
      <w:pPr>
        <w:bidi w:val="0"/>
        <w:rPr>
          <w:rFonts w:hint="eastAsia"/>
          <w:color w:val="auto"/>
          <w:lang w:val="en-US" w:eastAsia="zh-CN"/>
        </w:rPr>
      </w:pPr>
      <w:r>
        <w:rPr>
          <w:rFonts w:hint="eastAsia"/>
          <w:color w:val="auto"/>
          <w:lang w:val="en-US" w:eastAsia="zh-CN"/>
        </w:rPr>
        <w:t>《生产安全事故报告和调查处理条例》国务院第498号</w:t>
      </w:r>
    </w:p>
    <w:p>
      <w:pPr>
        <w:bidi w:val="0"/>
        <w:rPr>
          <w:color w:val="auto"/>
        </w:rPr>
      </w:pPr>
      <w:r>
        <w:rPr>
          <w:color w:val="auto"/>
        </w:rPr>
        <w:t>《生产安全事故应急条例》国务院令第</w:t>
      </w:r>
      <w:r>
        <w:rPr>
          <w:color w:val="auto"/>
          <w:lang w:val="zh-CN"/>
        </w:rPr>
        <w:t>708</w:t>
      </w:r>
      <w:r>
        <w:rPr>
          <w:color w:val="auto"/>
        </w:rPr>
        <w:t>号</w:t>
      </w:r>
    </w:p>
    <w:p>
      <w:pPr>
        <w:bidi w:val="0"/>
        <w:rPr>
          <w:rFonts w:hint="eastAsia"/>
          <w:color w:val="auto"/>
          <w:lang w:val="en-US" w:eastAsia="zh-CN"/>
        </w:rPr>
      </w:pPr>
      <w:r>
        <w:rPr>
          <w:rFonts w:hint="eastAsia"/>
          <w:color w:val="auto"/>
          <w:lang w:eastAsia="zh-CN"/>
        </w:rPr>
        <w:t>《</w:t>
      </w:r>
      <w:r>
        <w:rPr>
          <w:rFonts w:hint="eastAsia"/>
          <w:color w:val="auto"/>
          <w:lang w:val="en-US" w:eastAsia="zh-CN"/>
        </w:rPr>
        <w:t>建设工程抗震管理条例</w:t>
      </w:r>
      <w:r>
        <w:rPr>
          <w:rFonts w:hint="eastAsia"/>
          <w:color w:val="auto"/>
          <w:lang w:eastAsia="zh-CN"/>
        </w:rPr>
        <w:t>》</w:t>
      </w:r>
      <w:r>
        <w:rPr>
          <w:rFonts w:hint="eastAsia"/>
          <w:color w:val="auto"/>
          <w:lang w:val="en-US" w:eastAsia="zh-CN"/>
        </w:rPr>
        <w:t>公安部令第120号</w:t>
      </w:r>
    </w:p>
    <w:p>
      <w:pPr>
        <w:bidi w:val="0"/>
        <w:rPr>
          <w:rFonts w:hint="eastAsia"/>
          <w:color w:val="auto"/>
          <w:lang w:val="en-US" w:eastAsia="zh-CN"/>
        </w:rPr>
      </w:pPr>
      <w:r>
        <w:rPr>
          <w:rFonts w:hint="eastAsia"/>
          <w:color w:val="auto"/>
          <w:lang w:val="en-US" w:eastAsia="zh-CN"/>
        </w:rPr>
        <w:t>《安全生产事故隐患排查治理暂行规定》安监总局令第16号</w:t>
      </w:r>
    </w:p>
    <w:p>
      <w:pPr>
        <w:bidi w:val="0"/>
        <w:rPr>
          <w:rFonts w:hint="eastAsia"/>
          <w:color w:val="auto"/>
          <w:lang w:val="en-US" w:eastAsia="zh-CN"/>
        </w:rPr>
      </w:pPr>
      <w:r>
        <w:rPr>
          <w:rFonts w:hint="eastAsia"/>
          <w:color w:val="auto"/>
          <w:lang w:val="en-US" w:eastAsia="zh-CN"/>
        </w:rPr>
        <w:t>《生产安全事故信息报告和处置办法》安监总局令第21号</w:t>
      </w:r>
    </w:p>
    <w:p>
      <w:pPr>
        <w:bidi w:val="0"/>
        <w:rPr>
          <w:rFonts w:hint="eastAsia"/>
          <w:color w:val="auto"/>
          <w:lang w:val="en-US" w:eastAsia="zh-CN"/>
        </w:rPr>
      </w:pPr>
      <w:r>
        <w:rPr>
          <w:rFonts w:hint="eastAsia"/>
          <w:color w:val="auto"/>
          <w:lang w:val="en-US" w:eastAsia="zh-CN"/>
        </w:rPr>
        <w:t>《建设项目职业病防护设施“三同时”监督管理办法》安监总局令第90号</w:t>
      </w:r>
    </w:p>
    <w:p>
      <w:pPr>
        <w:bidi w:val="0"/>
        <w:rPr>
          <w:rFonts w:hint="eastAsia"/>
          <w:color w:val="auto"/>
          <w:lang w:val="en-US" w:eastAsia="zh-CN"/>
        </w:rPr>
      </w:pPr>
      <w:r>
        <w:rPr>
          <w:rFonts w:hint="eastAsia"/>
          <w:color w:val="auto"/>
          <w:lang w:val="en-US" w:eastAsia="zh-CN"/>
        </w:rPr>
        <w:t>《建设项目安全设施“三同时”监督管理办法》安监总局令第36号发布，第77号令修订</w:t>
      </w:r>
    </w:p>
    <w:p>
      <w:pPr>
        <w:bidi w:val="0"/>
        <w:rPr>
          <w:rFonts w:hint="eastAsia"/>
          <w:color w:val="auto"/>
          <w:lang w:val="en-US" w:eastAsia="zh-CN"/>
        </w:rPr>
      </w:pPr>
      <w:r>
        <w:rPr>
          <w:rFonts w:hint="eastAsia"/>
          <w:color w:val="auto"/>
          <w:lang w:val="en-US" w:eastAsia="zh-CN"/>
        </w:rPr>
        <w:t>《产业结构调整指导目录(2024年修订本)》发改委令第7号令</w:t>
      </w:r>
    </w:p>
    <w:p>
      <w:pPr>
        <w:bidi w:val="0"/>
        <w:rPr>
          <w:rFonts w:hint="eastAsia"/>
          <w:color w:val="auto"/>
          <w:lang w:val="en-US" w:eastAsia="zh-CN"/>
        </w:rPr>
      </w:pPr>
      <w:r>
        <w:rPr>
          <w:rFonts w:hint="eastAsia"/>
          <w:color w:val="auto"/>
          <w:lang w:val="en-US" w:eastAsia="zh-CN"/>
        </w:rPr>
        <w:t>《促进产业结构调整暂行规定》国发【2005】40号</w:t>
      </w:r>
    </w:p>
    <w:p>
      <w:pPr>
        <w:bidi w:val="0"/>
        <w:rPr>
          <w:rFonts w:hint="eastAsia"/>
          <w:color w:val="auto"/>
          <w:lang w:val="en-US" w:eastAsia="zh-CN"/>
        </w:rPr>
      </w:pPr>
      <w:r>
        <w:rPr>
          <w:rFonts w:hint="eastAsia"/>
          <w:color w:val="auto"/>
          <w:lang w:val="en-US" w:eastAsia="zh-CN"/>
        </w:rPr>
        <w:t>《机关、团体、企业、事业单位消防安全管理规定》公安部令第61号</w:t>
      </w:r>
    </w:p>
    <w:p>
      <w:pPr>
        <w:bidi w:val="0"/>
        <w:rPr>
          <w:rFonts w:hint="eastAsia"/>
          <w:color w:val="auto"/>
          <w:lang w:val="en-US" w:eastAsia="zh-CN"/>
        </w:rPr>
      </w:pPr>
      <w:r>
        <w:rPr>
          <w:rFonts w:hint="eastAsia"/>
          <w:color w:val="auto"/>
          <w:lang w:val="en-US" w:eastAsia="zh-CN"/>
        </w:rPr>
        <w:t>《工作场所职业卫生监督管理规定》安监总局令第47号</w:t>
      </w:r>
    </w:p>
    <w:p>
      <w:pPr>
        <w:bidi w:val="0"/>
        <w:rPr>
          <w:rFonts w:hint="eastAsia"/>
          <w:color w:val="auto"/>
          <w:lang w:val="en-US" w:eastAsia="zh-CN"/>
        </w:rPr>
      </w:pPr>
      <w:r>
        <w:rPr>
          <w:rFonts w:hint="eastAsia"/>
          <w:color w:val="auto"/>
          <w:lang w:val="en-US" w:eastAsia="zh-CN"/>
        </w:rPr>
        <w:t>《用人单位职业健康监护监督管理办法》安监总局令第49号</w:t>
      </w:r>
    </w:p>
    <w:p>
      <w:pPr>
        <w:bidi w:val="0"/>
        <w:rPr>
          <w:rFonts w:hint="eastAsia"/>
          <w:color w:val="auto"/>
          <w:lang w:val="en-US" w:eastAsia="zh-CN"/>
        </w:rPr>
      </w:pPr>
      <w:r>
        <w:rPr>
          <w:rFonts w:hint="eastAsia"/>
          <w:color w:val="auto"/>
          <w:lang w:val="en-US" w:eastAsia="zh-CN"/>
        </w:rPr>
        <w:t>《生产经营单位安全培训规定》安监总局令第3号发布，第80号修订</w:t>
      </w:r>
    </w:p>
    <w:p>
      <w:pPr>
        <w:bidi w:val="0"/>
        <w:rPr>
          <w:rFonts w:hint="eastAsia"/>
          <w:color w:val="auto"/>
          <w:lang w:val="en-US" w:eastAsia="zh-CN"/>
        </w:rPr>
      </w:pPr>
      <w:r>
        <w:rPr>
          <w:rFonts w:hint="eastAsia"/>
          <w:color w:val="auto"/>
          <w:lang w:val="en-US" w:eastAsia="zh-CN"/>
        </w:rPr>
        <w:t>《生产安全事故应急预案管理办法》安监总局令第88号发布，应急管理部令第2号修订</w:t>
      </w:r>
    </w:p>
    <w:p>
      <w:pPr>
        <w:bidi w:val="0"/>
        <w:rPr>
          <w:rFonts w:hint="eastAsia"/>
          <w:color w:val="auto"/>
          <w:lang w:val="en-US" w:eastAsia="zh-CN"/>
        </w:rPr>
      </w:pPr>
      <w:r>
        <w:rPr>
          <w:rFonts w:hint="eastAsia"/>
          <w:color w:val="auto"/>
          <w:lang w:val="en-US" w:eastAsia="zh-CN"/>
        </w:rPr>
        <w:t>《特种作业人员安全技术培训考核管理规定》安监总局令第30号发布，第80号修订</w:t>
      </w:r>
    </w:p>
    <w:p>
      <w:pPr>
        <w:bidi w:val="0"/>
        <w:rPr>
          <w:rFonts w:hint="eastAsia"/>
          <w:color w:val="auto"/>
          <w:lang w:val="en-US" w:eastAsia="zh-CN"/>
        </w:rPr>
      </w:pPr>
      <w:r>
        <w:rPr>
          <w:rFonts w:hint="eastAsia"/>
          <w:color w:val="auto"/>
          <w:lang w:val="en-US" w:eastAsia="zh-CN"/>
        </w:rPr>
        <w:t>《企业安全生产费用提取和使用管理办法》财资【2022】136号</w:t>
      </w:r>
    </w:p>
    <w:p>
      <w:pPr>
        <w:bidi w:val="0"/>
        <w:rPr>
          <w:color w:val="auto"/>
        </w:rPr>
      </w:pPr>
      <w:r>
        <w:rPr>
          <w:color w:val="auto"/>
        </w:rPr>
        <w:t>《国务院办公厅关于加快发展流通促进商业消费的意见》国办发〔2019〕42号</w:t>
      </w:r>
    </w:p>
    <w:p>
      <w:pPr>
        <w:bidi w:val="0"/>
        <w:rPr>
          <w:rFonts w:hint="default"/>
          <w:color w:val="auto"/>
          <w:lang w:val="en-US" w:eastAsia="zh-CN"/>
        </w:rPr>
      </w:pPr>
      <w:r>
        <w:rPr>
          <w:color w:val="auto"/>
        </w:rPr>
        <w:t>《江西省安全生产条例》</w:t>
      </w:r>
      <w:r>
        <w:rPr>
          <w:rFonts w:hint="eastAsia"/>
          <w:color w:val="auto"/>
          <w:lang w:val="en-US" w:eastAsia="zh-CN"/>
        </w:rPr>
        <w:t>2023年7月26日</w:t>
      </w:r>
      <w:r>
        <w:rPr>
          <w:color w:val="auto"/>
        </w:rPr>
        <w:t>江西省第十</w:t>
      </w:r>
      <w:r>
        <w:rPr>
          <w:rFonts w:hint="eastAsia"/>
          <w:color w:val="auto"/>
          <w:lang w:val="en-US" w:eastAsia="zh-CN"/>
        </w:rPr>
        <w:t>四</w:t>
      </w:r>
      <w:r>
        <w:rPr>
          <w:color w:val="auto"/>
        </w:rPr>
        <w:t>届人大常委会第三次会议</w:t>
      </w:r>
      <w:r>
        <w:rPr>
          <w:rFonts w:hint="eastAsia"/>
          <w:color w:val="auto"/>
          <w:lang w:val="en-US" w:eastAsia="zh-CN"/>
        </w:rPr>
        <w:t>第二次修订</w:t>
      </w:r>
    </w:p>
    <w:p>
      <w:pPr>
        <w:bidi w:val="0"/>
        <w:rPr>
          <w:color w:val="auto"/>
        </w:rPr>
      </w:pPr>
      <w:r>
        <w:rPr>
          <w:color w:val="auto"/>
        </w:rPr>
        <w:t>《江西省消防条例》2020年11月25日江西省第十三届人民代表大会常务委员会第二十五次会议第六次修正</w:t>
      </w:r>
    </w:p>
    <w:p>
      <w:pPr>
        <w:bidi w:val="0"/>
        <w:rPr>
          <w:color w:val="auto"/>
        </w:rPr>
      </w:pPr>
      <w:r>
        <w:rPr>
          <w:color w:val="auto"/>
        </w:rPr>
        <w:t>《生产经营单位安全培训规定》2015年5月29日国家安全生产监督管理总局令第80号修正</w:t>
      </w:r>
    </w:p>
    <w:p>
      <w:pPr>
        <w:pStyle w:val="4"/>
        <w:bidi w:val="0"/>
        <w:rPr>
          <w:color w:val="auto"/>
        </w:rPr>
      </w:pPr>
      <w:bookmarkStart w:id="9" w:name="_Toc4951"/>
      <w:r>
        <w:rPr>
          <w:color w:val="auto"/>
        </w:rPr>
        <w:t>1.</w:t>
      </w:r>
      <w:r>
        <w:rPr>
          <w:rFonts w:hint="eastAsia"/>
          <w:color w:val="auto"/>
        </w:rPr>
        <w:t>3</w:t>
      </w:r>
      <w:r>
        <w:rPr>
          <w:color w:val="auto"/>
        </w:rPr>
        <w:t>.2</w:t>
      </w:r>
      <w:r>
        <w:rPr>
          <w:rFonts w:hint="eastAsia" w:ascii="宋体" w:hAnsi="宋体" w:eastAsia="宋体" w:cs="宋体"/>
          <w:color w:val="auto"/>
        </w:rPr>
        <w:t>评价标准、规范</w:t>
      </w:r>
      <w:bookmarkEnd w:id="9"/>
    </w:p>
    <w:p>
      <w:pPr>
        <w:bidi w:val="0"/>
        <w:rPr>
          <w:rFonts w:hint="default"/>
          <w:color w:val="auto"/>
          <w:lang w:val="en-US" w:eastAsia="zh-CN"/>
        </w:rPr>
      </w:pPr>
      <w:r>
        <w:rPr>
          <w:color w:val="auto"/>
        </w:rPr>
        <w:t>《</w:t>
      </w:r>
      <w:r>
        <w:rPr>
          <w:rFonts w:hint="eastAsia"/>
          <w:color w:val="auto"/>
          <w:lang w:val="en-US" w:eastAsia="zh-CN"/>
        </w:rPr>
        <w:t>电动汽车分散充电设施工程技术标准</w:t>
      </w:r>
      <w:r>
        <w:rPr>
          <w:color w:val="auto"/>
        </w:rPr>
        <w:t xml:space="preserve">》        </w:t>
      </w:r>
      <w:r>
        <w:rPr>
          <w:rFonts w:hint="eastAsia"/>
          <w:color w:val="auto"/>
          <w:lang w:val="en-US" w:eastAsia="zh-CN"/>
        </w:rPr>
        <w:t xml:space="preserve">  </w:t>
      </w:r>
      <w:r>
        <w:rPr>
          <w:color w:val="auto"/>
        </w:rPr>
        <w:t xml:space="preserve"> GB</w:t>
      </w:r>
      <w:r>
        <w:rPr>
          <w:rFonts w:hint="eastAsia"/>
          <w:color w:val="auto"/>
          <w:lang w:val="en-US" w:eastAsia="zh-CN"/>
        </w:rPr>
        <w:t>/T</w:t>
      </w:r>
      <w:r>
        <w:rPr>
          <w:color w:val="auto"/>
        </w:rPr>
        <w:t>5</w:t>
      </w:r>
      <w:r>
        <w:rPr>
          <w:rFonts w:hint="eastAsia"/>
          <w:color w:val="auto"/>
          <w:lang w:val="en-US" w:eastAsia="zh-CN"/>
        </w:rPr>
        <w:t>1313</w:t>
      </w:r>
      <w:r>
        <w:rPr>
          <w:color w:val="auto"/>
        </w:rPr>
        <w:t>-20</w:t>
      </w:r>
      <w:r>
        <w:rPr>
          <w:rFonts w:hint="eastAsia"/>
          <w:color w:val="auto"/>
          <w:lang w:val="en-US" w:eastAsia="zh-CN"/>
        </w:rPr>
        <w:t>18</w:t>
      </w:r>
    </w:p>
    <w:p>
      <w:pPr>
        <w:bidi w:val="0"/>
        <w:rPr>
          <w:color w:val="auto"/>
        </w:rPr>
      </w:pPr>
      <w:r>
        <w:rPr>
          <w:color w:val="auto"/>
        </w:rPr>
        <w:t>《</w:t>
      </w:r>
      <w:r>
        <w:rPr>
          <w:rFonts w:hint="eastAsia"/>
          <w:color w:val="auto"/>
          <w:lang w:val="en-US" w:eastAsia="zh-CN"/>
        </w:rPr>
        <w:t>电动汽车充换电设施工程事故和竣工验收规范</w:t>
      </w:r>
      <w:r>
        <w:rPr>
          <w:color w:val="auto"/>
        </w:rPr>
        <w:t>》</w:t>
      </w:r>
      <w:r>
        <w:rPr>
          <w:rFonts w:hint="eastAsia"/>
          <w:color w:val="auto"/>
        </w:rPr>
        <w:t xml:space="preserve">   </w:t>
      </w:r>
      <w:r>
        <w:rPr>
          <w:rFonts w:hint="eastAsia"/>
          <w:color w:val="auto"/>
          <w:lang w:val="en-US" w:eastAsia="zh-CN"/>
        </w:rPr>
        <w:t xml:space="preserve"> NB</w:t>
      </w:r>
      <w:r>
        <w:rPr>
          <w:color w:val="auto"/>
        </w:rPr>
        <w:t>/T3004-2020</w:t>
      </w:r>
    </w:p>
    <w:p>
      <w:pPr>
        <w:bidi w:val="0"/>
        <w:rPr>
          <w:rFonts w:hint="eastAsia"/>
          <w:color w:val="auto"/>
          <w:lang w:val="en-US" w:eastAsia="zh-CN"/>
        </w:rPr>
      </w:pPr>
      <w:r>
        <w:rPr>
          <w:color w:val="auto"/>
        </w:rPr>
        <w:t>《</w:t>
      </w:r>
      <w:r>
        <w:rPr>
          <w:rFonts w:hint="eastAsia"/>
          <w:color w:val="auto"/>
          <w:lang w:val="en-US" w:eastAsia="zh-CN"/>
        </w:rPr>
        <w:t>电力工程电缆设计标准</w:t>
      </w:r>
      <w:r>
        <w:rPr>
          <w:color w:val="auto"/>
        </w:rPr>
        <w:t xml:space="preserve">》                </w:t>
      </w:r>
      <w:r>
        <w:rPr>
          <w:rFonts w:hint="eastAsia"/>
          <w:color w:val="auto"/>
          <w:lang w:val="en-US" w:eastAsia="zh-CN"/>
        </w:rPr>
        <w:t xml:space="preserve">       </w:t>
      </w:r>
      <w:r>
        <w:rPr>
          <w:color w:val="auto"/>
        </w:rPr>
        <w:t xml:space="preserve"> GB50</w:t>
      </w:r>
      <w:r>
        <w:rPr>
          <w:rFonts w:hint="eastAsia"/>
          <w:color w:val="auto"/>
          <w:lang w:val="en-US" w:eastAsia="zh-CN"/>
        </w:rPr>
        <w:t>217</w:t>
      </w:r>
      <w:r>
        <w:rPr>
          <w:color w:val="auto"/>
        </w:rPr>
        <w:t>-201</w:t>
      </w:r>
      <w:r>
        <w:rPr>
          <w:rFonts w:hint="eastAsia"/>
          <w:color w:val="auto"/>
          <w:lang w:val="en-US" w:eastAsia="zh-CN"/>
        </w:rPr>
        <w:t>8</w:t>
      </w:r>
    </w:p>
    <w:p>
      <w:pPr>
        <w:bidi w:val="0"/>
        <w:rPr>
          <w:rFonts w:hint="eastAsia"/>
          <w:color w:val="auto"/>
          <w:lang w:val="en-US" w:eastAsia="zh-CN"/>
        </w:rPr>
      </w:pPr>
      <w:r>
        <w:rPr>
          <w:rFonts w:hint="eastAsia"/>
          <w:color w:val="auto"/>
          <w:lang w:val="en-US" w:eastAsia="zh-CN"/>
        </w:rPr>
        <w:t>《低压配电设计规范》                             GB50054-2011</w:t>
      </w:r>
    </w:p>
    <w:p>
      <w:pPr>
        <w:bidi w:val="0"/>
        <w:rPr>
          <w:rFonts w:hint="eastAsia"/>
          <w:color w:val="auto"/>
          <w:lang w:val="en-US" w:eastAsia="zh-CN"/>
        </w:rPr>
      </w:pPr>
      <w:r>
        <w:rPr>
          <w:rFonts w:hint="eastAsia"/>
          <w:color w:val="auto"/>
          <w:lang w:val="en-US" w:eastAsia="zh-CN"/>
        </w:rPr>
        <w:t>《电动汽车充电站设计规范》                       GB50966-2014</w:t>
      </w:r>
    </w:p>
    <w:p>
      <w:pPr>
        <w:bidi w:val="0"/>
        <w:rPr>
          <w:rFonts w:hint="eastAsia"/>
          <w:color w:val="auto"/>
          <w:lang w:val="en-US" w:eastAsia="zh-CN"/>
        </w:rPr>
      </w:pPr>
      <w:r>
        <w:rPr>
          <w:rFonts w:hint="eastAsia"/>
          <w:color w:val="auto"/>
          <w:lang w:val="en-US" w:eastAsia="zh-CN"/>
        </w:rPr>
        <w:t>《电动汽车用动力蓄电池安全要求》                GB38031-2020</w:t>
      </w:r>
    </w:p>
    <w:p>
      <w:pPr>
        <w:bidi w:val="0"/>
        <w:rPr>
          <w:rFonts w:hint="eastAsia"/>
          <w:color w:val="auto"/>
          <w:lang w:val="en-US" w:eastAsia="zh-CN"/>
        </w:rPr>
      </w:pPr>
      <w:r>
        <w:rPr>
          <w:rFonts w:hint="eastAsia"/>
          <w:color w:val="auto"/>
          <w:lang w:val="en-US" w:eastAsia="zh-CN"/>
        </w:rPr>
        <w:t>《通用用电设备配电设计规范》                     GB50055-2011</w:t>
      </w:r>
    </w:p>
    <w:p>
      <w:pPr>
        <w:bidi w:val="0"/>
        <w:rPr>
          <w:rFonts w:hint="eastAsia"/>
          <w:color w:val="auto"/>
          <w:lang w:val="en-US" w:eastAsia="zh-CN"/>
        </w:rPr>
      </w:pPr>
      <w:r>
        <w:rPr>
          <w:rFonts w:hint="eastAsia"/>
          <w:color w:val="auto"/>
          <w:lang w:val="en-US" w:eastAsia="zh-CN"/>
        </w:rPr>
        <w:t>《电动汽车充电站通用要求》                     GB/T29781-2013</w:t>
      </w:r>
    </w:p>
    <w:p>
      <w:pPr>
        <w:bidi w:val="0"/>
        <w:rPr>
          <w:rFonts w:hint="eastAsia"/>
          <w:color w:val="auto"/>
          <w:lang w:val="en-US" w:eastAsia="zh-CN"/>
        </w:rPr>
      </w:pPr>
      <w:r>
        <w:rPr>
          <w:rFonts w:hint="eastAsia"/>
          <w:color w:val="auto"/>
          <w:lang w:val="en-US" w:eastAsia="zh-CN"/>
        </w:rPr>
        <w:t>《电动汽车传导充电系统 第1部分：通用要求》  GB/T18487.1-2015</w:t>
      </w:r>
    </w:p>
    <w:p>
      <w:pPr>
        <w:bidi w:val="0"/>
        <w:rPr>
          <w:rFonts w:hint="eastAsia"/>
          <w:color w:val="auto"/>
          <w:lang w:val="en-US" w:eastAsia="zh-CN"/>
        </w:rPr>
      </w:pPr>
      <w:r>
        <w:rPr>
          <w:rFonts w:hint="eastAsia"/>
          <w:color w:val="auto"/>
          <w:lang w:val="en-US" w:eastAsia="zh-CN"/>
        </w:rPr>
        <w:t>《电动汽车充电站及电池更换站监控系统技术规范》 NB/T33005-2013</w:t>
      </w:r>
    </w:p>
    <w:p>
      <w:pPr>
        <w:bidi w:val="0"/>
        <w:rPr>
          <w:rFonts w:hint="eastAsia"/>
          <w:color w:val="auto"/>
          <w:lang w:val="en-US" w:eastAsia="zh-CN"/>
        </w:rPr>
      </w:pPr>
      <w:r>
        <w:rPr>
          <w:rFonts w:hint="eastAsia"/>
          <w:color w:val="auto"/>
          <w:lang w:val="en-US" w:eastAsia="zh-CN"/>
        </w:rPr>
        <w:t>《图形标志 电动汽车充换电设施标志》             GB/T3525-2015</w:t>
      </w:r>
    </w:p>
    <w:p>
      <w:pPr>
        <w:bidi w:val="0"/>
        <w:rPr>
          <w:rFonts w:hint="eastAsia"/>
          <w:color w:val="auto"/>
          <w:lang w:val="en-US" w:eastAsia="zh-CN"/>
        </w:rPr>
      </w:pPr>
      <w:r>
        <w:rPr>
          <w:rFonts w:hint="eastAsia"/>
          <w:color w:val="auto"/>
          <w:lang w:val="en-US" w:eastAsia="zh-CN"/>
        </w:rPr>
        <w:t>《电动汽车供电设备安全要求及试验规范》         GB/T39725-2021</w:t>
      </w:r>
    </w:p>
    <w:p>
      <w:pPr>
        <w:bidi w:val="0"/>
        <w:rPr>
          <w:rFonts w:hint="default"/>
          <w:color w:val="auto"/>
          <w:lang w:val="en-US" w:eastAsia="zh-CN"/>
        </w:rPr>
      </w:pPr>
      <w:r>
        <w:rPr>
          <w:rFonts w:hint="eastAsia"/>
          <w:color w:val="auto"/>
          <w:lang w:val="en-US" w:eastAsia="zh-CN"/>
        </w:rPr>
        <w:t>《生产设备安全卫生设计总则》                     GB5083-2023</w:t>
      </w:r>
    </w:p>
    <w:p>
      <w:pPr>
        <w:bidi w:val="0"/>
        <w:rPr>
          <w:rFonts w:hint="eastAsia"/>
          <w:color w:val="auto"/>
          <w:lang w:val="en-US" w:eastAsia="zh-CN"/>
        </w:rPr>
      </w:pPr>
      <w:r>
        <w:rPr>
          <w:rFonts w:hint="eastAsia"/>
          <w:color w:val="auto"/>
          <w:lang w:val="en-US" w:eastAsia="zh-CN"/>
        </w:rPr>
        <w:t>《供配电系统设计规范》                          GB50052-2009</w:t>
      </w:r>
    </w:p>
    <w:p>
      <w:pPr>
        <w:bidi w:val="0"/>
        <w:rPr>
          <w:rFonts w:hint="eastAsia"/>
          <w:color w:val="auto"/>
          <w:lang w:val="en-US" w:eastAsia="zh-CN"/>
        </w:rPr>
      </w:pPr>
      <w:r>
        <w:rPr>
          <w:rFonts w:hint="eastAsia"/>
          <w:color w:val="auto"/>
          <w:lang w:val="en-US" w:eastAsia="zh-CN"/>
        </w:rPr>
        <w:t>《20kv及以下变电所设计规范》                    GB50053-2013</w:t>
      </w:r>
    </w:p>
    <w:p>
      <w:pPr>
        <w:bidi w:val="0"/>
        <w:rPr>
          <w:rFonts w:hint="eastAsia"/>
          <w:color w:val="auto"/>
          <w:lang w:val="en-US" w:eastAsia="zh-CN"/>
        </w:rPr>
      </w:pPr>
      <w:r>
        <w:rPr>
          <w:rFonts w:hint="eastAsia"/>
          <w:color w:val="auto"/>
          <w:lang w:val="en-US" w:eastAsia="zh-CN"/>
        </w:rPr>
        <w:t>《生产过程安全卫生要求总则》                   GB/T12801-2008</w:t>
      </w:r>
    </w:p>
    <w:p>
      <w:pPr>
        <w:bidi w:val="0"/>
        <w:rPr>
          <w:rFonts w:hint="eastAsia"/>
          <w:color w:val="auto"/>
          <w:lang w:val="en-US" w:eastAsia="zh-CN"/>
        </w:rPr>
      </w:pPr>
      <w:r>
        <w:rPr>
          <w:rFonts w:hint="eastAsia"/>
          <w:color w:val="auto"/>
          <w:lang w:val="en-US" w:eastAsia="zh-CN"/>
        </w:rPr>
        <w:t>《建筑灭火器配置设计规范》                      GB50140-2005</w:t>
      </w:r>
    </w:p>
    <w:p>
      <w:pPr>
        <w:bidi w:val="0"/>
        <w:rPr>
          <w:rFonts w:hint="eastAsia"/>
          <w:color w:val="auto"/>
          <w:lang w:val="en-US" w:eastAsia="zh-CN"/>
        </w:rPr>
      </w:pPr>
      <w:r>
        <w:rPr>
          <w:rFonts w:hint="eastAsia"/>
          <w:color w:val="auto"/>
          <w:lang w:val="en-US" w:eastAsia="zh-CN"/>
        </w:rPr>
        <w:t>《建筑物防雷设计规范》                           GB50057-2010</w:t>
      </w:r>
    </w:p>
    <w:p>
      <w:pPr>
        <w:bidi w:val="0"/>
        <w:rPr>
          <w:rFonts w:hint="eastAsia"/>
          <w:color w:val="auto"/>
          <w:lang w:val="en-US" w:eastAsia="zh-CN"/>
        </w:rPr>
      </w:pPr>
      <w:r>
        <w:rPr>
          <w:rFonts w:hint="eastAsia"/>
          <w:color w:val="auto"/>
          <w:lang w:val="en-US" w:eastAsia="zh-CN"/>
        </w:rPr>
        <w:t>《建筑抗震设计规范（2016年版）》                   GB5001-2010</w:t>
      </w:r>
    </w:p>
    <w:p>
      <w:pPr>
        <w:bidi w:val="0"/>
        <w:rPr>
          <w:rFonts w:hint="eastAsia"/>
          <w:color w:val="auto"/>
          <w:lang w:val="en-US" w:eastAsia="zh-CN"/>
        </w:rPr>
      </w:pPr>
      <w:r>
        <w:rPr>
          <w:rFonts w:hint="eastAsia"/>
          <w:color w:val="auto"/>
          <w:lang w:val="en-US" w:eastAsia="zh-CN"/>
        </w:rPr>
        <w:t>《构筑物抗震设计规范》                          GB50191-2012</w:t>
      </w:r>
    </w:p>
    <w:p>
      <w:pPr>
        <w:bidi w:val="0"/>
        <w:rPr>
          <w:rFonts w:hint="eastAsia"/>
          <w:color w:val="auto"/>
          <w:lang w:val="en-US" w:eastAsia="zh-CN"/>
        </w:rPr>
      </w:pPr>
      <w:r>
        <w:rPr>
          <w:rFonts w:hint="eastAsia"/>
          <w:color w:val="auto"/>
          <w:lang w:val="en-US" w:eastAsia="zh-CN"/>
        </w:rPr>
        <w:t>《建筑照明设计标准》                            GB50034-2013</w:t>
      </w:r>
    </w:p>
    <w:p>
      <w:pPr>
        <w:bidi w:val="0"/>
        <w:rPr>
          <w:rFonts w:hint="eastAsia"/>
          <w:color w:val="auto"/>
          <w:lang w:val="en-US" w:eastAsia="zh-CN"/>
        </w:rPr>
      </w:pPr>
      <w:r>
        <w:rPr>
          <w:rFonts w:hint="eastAsia"/>
          <w:color w:val="auto"/>
          <w:lang w:val="en-US" w:eastAsia="zh-CN"/>
        </w:rPr>
        <w:t>《建筑采光设计标准》                            GB50033-2013</w:t>
      </w:r>
    </w:p>
    <w:p>
      <w:pPr>
        <w:bidi w:val="0"/>
        <w:rPr>
          <w:rFonts w:hint="eastAsia"/>
          <w:color w:val="auto"/>
          <w:lang w:val="en-US" w:eastAsia="zh-CN"/>
        </w:rPr>
      </w:pPr>
      <w:r>
        <w:rPr>
          <w:rFonts w:hint="eastAsia"/>
          <w:color w:val="auto"/>
          <w:lang w:val="en-US" w:eastAsia="zh-CN"/>
        </w:rPr>
        <w:t>《危险化学品重大危险源辨识》                    GB18218-2018</w:t>
      </w:r>
    </w:p>
    <w:p>
      <w:pPr>
        <w:bidi w:val="0"/>
        <w:rPr>
          <w:rFonts w:hint="eastAsia"/>
          <w:color w:val="auto"/>
          <w:lang w:val="en-US" w:eastAsia="zh-CN"/>
        </w:rPr>
      </w:pPr>
      <w:r>
        <w:rPr>
          <w:rFonts w:hint="eastAsia"/>
          <w:color w:val="auto"/>
          <w:lang w:val="en-US" w:eastAsia="zh-CN"/>
        </w:rPr>
        <w:t>《安全色》                                       GB2893-2008</w:t>
      </w:r>
    </w:p>
    <w:p>
      <w:pPr>
        <w:bidi w:val="0"/>
        <w:rPr>
          <w:rFonts w:hint="eastAsia"/>
          <w:color w:val="auto"/>
          <w:lang w:val="en-US" w:eastAsia="zh-CN"/>
        </w:rPr>
      </w:pPr>
      <w:r>
        <w:rPr>
          <w:rFonts w:hint="eastAsia"/>
          <w:color w:val="auto"/>
          <w:lang w:val="en-US" w:eastAsia="zh-CN"/>
        </w:rPr>
        <w:t>《安全标志及其使用导则》                         GB2894-2008</w:t>
      </w:r>
    </w:p>
    <w:p>
      <w:pPr>
        <w:bidi w:val="0"/>
        <w:rPr>
          <w:rFonts w:hint="eastAsia"/>
          <w:color w:val="auto"/>
          <w:lang w:val="en-US" w:eastAsia="zh-CN"/>
        </w:rPr>
      </w:pPr>
      <w:r>
        <w:rPr>
          <w:rFonts w:hint="eastAsia"/>
          <w:color w:val="auto"/>
          <w:lang w:val="en-US" w:eastAsia="zh-CN"/>
        </w:rPr>
        <w:t>《机械安全 防护装置 固定式和活动式防护装置的设计与制造一般要求》                                                GB/8196-2018</w:t>
      </w:r>
    </w:p>
    <w:p>
      <w:pPr>
        <w:bidi w:val="0"/>
        <w:rPr>
          <w:rFonts w:hint="eastAsia"/>
          <w:color w:val="auto"/>
          <w:lang w:val="en-US" w:eastAsia="zh-CN"/>
        </w:rPr>
      </w:pPr>
      <w:r>
        <w:rPr>
          <w:rFonts w:hint="eastAsia"/>
          <w:color w:val="auto"/>
          <w:lang w:val="en-US" w:eastAsia="zh-CN"/>
        </w:rPr>
        <w:t>《机械安全 安全防护的实施准则》                GB/T30574-2014</w:t>
      </w:r>
    </w:p>
    <w:p>
      <w:pPr>
        <w:bidi w:val="0"/>
        <w:rPr>
          <w:rFonts w:hint="eastAsia"/>
          <w:color w:val="auto"/>
          <w:lang w:val="en-US" w:eastAsia="zh-CN"/>
        </w:rPr>
      </w:pPr>
      <w:r>
        <w:rPr>
          <w:rFonts w:hint="eastAsia"/>
          <w:color w:val="auto"/>
          <w:lang w:val="en-US" w:eastAsia="zh-CN"/>
        </w:rPr>
        <w:t>《机械安全 急停功能 设计原则》                 GB/T16754-2021</w:t>
      </w:r>
    </w:p>
    <w:p>
      <w:pPr>
        <w:bidi w:val="0"/>
        <w:rPr>
          <w:rFonts w:hint="eastAsia"/>
          <w:color w:val="auto"/>
          <w:lang w:val="en-US" w:eastAsia="zh-CN"/>
        </w:rPr>
      </w:pPr>
      <w:r>
        <w:rPr>
          <w:rFonts w:hint="eastAsia"/>
          <w:color w:val="auto"/>
          <w:lang w:val="en-US" w:eastAsia="zh-CN"/>
        </w:rPr>
        <w:t>《机械安全  防止人体部位挤压的最小间距》       GB/T12265-2021</w:t>
      </w:r>
    </w:p>
    <w:p>
      <w:pPr>
        <w:bidi w:val="0"/>
        <w:rPr>
          <w:rFonts w:hint="eastAsia"/>
          <w:color w:val="auto"/>
          <w:lang w:val="en-US" w:eastAsia="zh-CN"/>
        </w:rPr>
      </w:pPr>
      <w:r>
        <w:rPr>
          <w:rFonts w:hint="eastAsia"/>
          <w:color w:val="auto"/>
          <w:lang w:val="en-US" w:eastAsia="zh-CN"/>
        </w:rPr>
        <w:t>《电力工程电缆设计规范》                         GB50217-2007</w:t>
      </w:r>
    </w:p>
    <w:p>
      <w:pPr>
        <w:bidi w:val="0"/>
        <w:rPr>
          <w:rFonts w:hint="eastAsia"/>
          <w:color w:val="auto"/>
          <w:lang w:val="en-US" w:eastAsia="zh-CN"/>
        </w:rPr>
      </w:pPr>
      <w:r>
        <w:rPr>
          <w:rFonts w:hint="eastAsia"/>
          <w:color w:val="auto"/>
          <w:lang w:val="en-US" w:eastAsia="zh-CN"/>
        </w:rPr>
        <w:t>《企业职工伤亡事故分类》                          GB6441-1986</w:t>
      </w:r>
    </w:p>
    <w:p>
      <w:pPr>
        <w:bidi w:val="0"/>
        <w:rPr>
          <w:rFonts w:hint="default"/>
          <w:color w:val="auto"/>
          <w:lang w:val="en-US" w:eastAsia="zh-CN"/>
        </w:rPr>
      </w:pPr>
      <w:r>
        <w:rPr>
          <w:rFonts w:hint="eastAsia"/>
          <w:color w:val="auto"/>
          <w:lang w:val="en-US" w:eastAsia="zh-CN"/>
        </w:rPr>
        <w:t>《生产过程危险和有害因素分类与代码》           GB/T13861-2022</w:t>
      </w:r>
    </w:p>
    <w:p>
      <w:pPr>
        <w:bidi w:val="0"/>
        <w:rPr>
          <w:rFonts w:hint="eastAsia"/>
          <w:color w:val="auto"/>
          <w:lang w:val="en-US" w:eastAsia="zh-CN"/>
        </w:rPr>
      </w:pPr>
      <w:r>
        <w:rPr>
          <w:rFonts w:hint="eastAsia"/>
          <w:color w:val="auto"/>
          <w:lang w:val="en-US" w:eastAsia="zh-CN"/>
        </w:rPr>
        <w:t>《工业场所有害因素职业接触限值第2部分：物理有害因素》GBZ2.2-2007</w:t>
      </w:r>
    </w:p>
    <w:p>
      <w:pPr>
        <w:bidi w:val="0"/>
        <w:rPr>
          <w:rFonts w:hint="eastAsia"/>
          <w:color w:val="auto"/>
          <w:lang w:val="en-US" w:eastAsia="zh-CN"/>
        </w:rPr>
      </w:pPr>
      <w:r>
        <w:rPr>
          <w:rFonts w:hint="eastAsia"/>
          <w:color w:val="auto"/>
          <w:lang w:val="en-US" w:eastAsia="zh-CN"/>
        </w:rPr>
        <w:t>《个体防护装备选用规范》                       GB/T11651-2008</w:t>
      </w:r>
    </w:p>
    <w:p>
      <w:pPr>
        <w:bidi w:val="0"/>
        <w:rPr>
          <w:rFonts w:hint="eastAsia"/>
          <w:color w:val="auto"/>
          <w:lang w:val="en-US" w:eastAsia="zh-CN"/>
        </w:rPr>
      </w:pPr>
      <w:r>
        <w:rPr>
          <w:rFonts w:hint="eastAsia"/>
          <w:color w:val="auto"/>
          <w:lang w:val="en-US" w:eastAsia="zh-CN"/>
        </w:rPr>
        <w:t>《用电安全导则》                               GB/T13869-2017</w:t>
      </w:r>
    </w:p>
    <w:p>
      <w:pPr>
        <w:bidi w:val="0"/>
        <w:rPr>
          <w:rFonts w:hint="eastAsia"/>
          <w:color w:val="auto"/>
          <w:lang w:val="en-US" w:eastAsia="zh-CN"/>
        </w:rPr>
      </w:pPr>
      <w:r>
        <w:rPr>
          <w:rFonts w:hint="eastAsia"/>
          <w:color w:val="auto"/>
          <w:lang w:val="en-US" w:eastAsia="zh-CN"/>
        </w:rPr>
        <w:t>《剩余电流动作保护装置安装和运行》             GB/T13955-2017</w:t>
      </w:r>
    </w:p>
    <w:p>
      <w:pPr>
        <w:bidi w:val="0"/>
        <w:rPr>
          <w:rFonts w:hint="eastAsia"/>
          <w:color w:val="auto"/>
          <w:lang w:val="en-US" w:eastAsia="zh-CN"/>
        </w:rPr>
      </w:pPr>
      <w:r>
        <w:rPr>
          <w:rFonts w:hint="eastAsia"/>
          <w:color w:val="auto"/>
          <w:lang w:val="en-US" w:eastAsia="zh-CN"/>
        </w:rPr>
        <w:t>《生产经营单位安全生产事故应急预案编制导则》   GB/T20639-2020</w:t>
      </w:r>
    </w:p>
    <w:p>
      <w:pPr>
        <w:bidi w:val="0"/>
        <w:rPr>
          <w:rFonts w:hint="eastAsia"/>
          <w:color w:val="auto"/>
        </w:rPr>
      </w:pPr>
      <w:r>
        <w:rPr>
          <w:rFonts w:hint="eastAsia"/>
          <w:color w:val="auto"/>
        </w:rPr>
        <w:t xml:space="preserve">《建筑设计防火通用规范》                       </w:t>
      </w:r>
      <w:r>
        <w:rPr>
          <w:rFonts w:hint="eastAsia"/>
          <w:color w:val="auto"/>
          <w:lang w:val="en-US" w:eastAsia="zh-CN"/>
        </w:rPr>
        <w:t xml:space="preserve"> </w:t>
      </w:r>
      <w:r>
        <w:rPr>
          <w:color w:val="auto"/>
        </w:rPr>
        <w:t>GB 55037-2022</w:t>
      </w:r>
    </w:p>
    <w:p>
      <w:pPr>
        <w:bidi w:val="0"/>
        <w:rPr>
          <w:rFonts w:hint="default"/>
          <w:color w:val="auto"/>
          <w:lang w:val="en-US" w:eastAsia="zh-CN"/>
        </w:rPr>
      </w:pPr>
      <w:r>
        <w:rPr>
          <w:rFonts w:hint="eastAsia"/>
          <w:color w:val="auto"/>
        </w:rPr>
        <w:t>《建筑设计防火规范》</w:t>
      </w:r>
      <w:r>
        <w:rPr>
          <w:rFonts w:hint="eastAsia"/>
          <w:color w:val="auto"/>
          <w:lang w:val="en-US" w:eastAsia="zh-CN"/>
        </w:rPr>
        <w:t xml:space="preserve">                  GB50016-2014（2018年版）</w:t>
      </w:r>
    </w:p>
    <w:p>
      <w:pPr>
        <w:bidi w:val="0"/>
        <w:rPr>
          <w:color w:val="auto"/>
        </w:rPr>
      </w:pPr>
      <w:r>
        <w:rPr>
          <w:color w:val="auto"/>
        </w:rPr>
        <w:t xml:space="preserve">《供配电系统设计规范》             </w:t>
      </w:r>
      <w:r>
        <w:rPr>
          <w:rFonts w:hint="eastAsia"/>
          <w:color w:val="auto"/>
        </w:rPr>
        <w:t xml:space="preserve"> </w:t>
      </w:r>
      <w:r>
        <w:rPr>
          <w:color w:val="auto"/>
        </w:rPr>
        <w:t xml:space="preserve">           </w:t>
      </w:r>
      <w:r>
        <w:rPr>
          <w:rFonts w:hint="eastAsia"/>
          <w:color w:val="auto"/>
          <w:lang w:val="en-US" w:eastAsia="zh-CN"/>
        </w:rPr>
        <w:t xml:space="preserve"> </w:t>
      </w:r>
      <w:r>
        <w:rPr>
          <w:color w:val="auto"/>
        </w:rPr>
        <w:t xml:space="preserve"> GB50052-2009</w:t>
      </w:r>
    </w:p>
    <w:p>
      <w:pPr>
        <w:bidi w:val="0"/>
        <w:rPr>
          <w:color w:val="auto"/>
        </w:rPr>
      </w:pPr>
      <w:r>
        <w:rPr>
          <w:color w:val="auto"/>
        </w:rPr>
        <w:t>《</w:t>
      </w:r>
      <w:r>
        <w:rPr>
          <w:rFonts w:hint="eastAsia"/>
          <w:color w:val="auto"/>
        </w:rPr>
        <w:t>个体防护装备配备规范 第1部分：总则</w:t>
      </w:r>
      <w:r>
        <w:rPr>
          <w:color w:val="auto"/>
        </w:rPr>
        <w:t>》</w:t>
      </w:r>
      <w:r>
        <w:rPr>
          <w:rFonts w:hint="eastAsia"/>
          <w:color w:val="auto"/>
        </w:rPr>
        <w:t xml:space="preserve">        GB39800.1-2020</w:t>
      </w:r>
    </w:p>
    <w:p>
      <w:pPr>
        <w:bidi w:val="0"/>
        <w:rPr>
          <w:rFonts w:hint="eastAsia"/>
          <w:color w:val="auto"/>
        </w:rPr>
      </w:pPr>
      <w:r>
        <w:rPr>
          <w:color w:val="auto"/>
        </w:rPr>
        <w:t xml:space="preserve">《防止静电事故通用导则》                      </w:t>
      </w:r>
      <w:r>
        <w:rPr>
          <w:rFonts w:hint="eastAsia"/>
          <w:color w:val="auto"/>
          <w:lang w:val="en-US" w:eastAsia="zh-CN"/>
        </w:rPr>
        <w:t xml:space="preserve"> </w:t>
      </w:r>
      <w:r>
        <w:rPr>
          <w:color w:val="auto"/>
        </w:rPr>
        <w:t xml:space="preserve">  GB12158-2006</w:t>
      </w:r>
    </w:p>
    <w:p>
      <w:pPr>
        <w:bidi w:val="0"/>
        <w:rPr>
          <w:rFonts w:hint="eastAsia"/>
          <w:color w:val="auto"/>
          <w:lang w:val="en-US" w:eastAsia="zh-CN"/>
        </w:rPr>
      </w:pPr>
      <w:r>
        <w:rPr>
          <w:rFonts w:hint="eastAsia"/>
          <w:color w:val="auto"/>
          <w:lang w:eastAsia="zh-CN"/>
        </w:rPr>
        <w:t>《</w:t>
      </w:r>
      <w:r>
        <w:rPr>
          <w:rFonts w:hint="eastAsia"/>
          <w:color w:val="auto"/>
          <w:lang w:val="en-US" w:eastAsia="zh-CN"/>
        </w:rPr>
        <w:t>电动汽车非车载传导式充电机技术条件</w:t>
      </w:r>
      <w:r>
        <w:rPr>
          <w:rFonts w:hint="eastAsia"/>
          <w:color w:val="auto"/>
          <w:lang w:eastAsia="zh-CN"/>
        </w:rPr>
        <w:t>》</w:t>
      </w:r>
      <w:r>
        <w:rPr>
          <w:rFonts w:hint="eastAsia"/>
          <w:color w:val="auto"/>
          <w:lang w:val="en-US" w:eastAsia="zh-CN"/>
        </w:rPr>
        <w:t xml:space="preserve">         NB/T33001-2018</w:t>
      </w:r>
    </w:p>
    <w:p>
      <w:pPr>
        <w:bidi w:val="0"/>
        <w:ind w:left="0" w:leftChars="0" w:firstLine="560" w:firstLineChars="200"/>
        <w:rPr>
          <w:rFonts w:hint="default"/>
          <w:color w:val="auto"/>
          <w:lang w:val="en-US" w:eastAsia="zh-CN"/>
        </w:rPr>
      </w:pPr>
      <w:r>
        <w:rPr>
          <w:rFonts w:hint="eastAsia"/>
          <w:color w:val="auto"/>
          <w:lang w:val="en-US" w:eastAsia="zh-CN"/>
        </w:rPr>
        <w:t>《电动汽车交流充电站技术条件》                 NB/T33002-2010</w:t>
      </w:r>
    </w:p>
    <w:p>
      <w:pPr>
        <w:bidi w:val="0"/>
        <w:rPr>
          <w:rFonts w:hint="default"/>
          <w:color w:val="auto"/>
          <w:lang w:val="en-US" w:eastAsia="zh-CN"/>
        </w:rPr>
      </w:pPr>
      <w:r>
        <w:rPr>
          <w:rFonts w:hint="eastAsia"/>
          <w:color w:val="auto"/>
          <w:lang w:val="en-US" w:eastAsia="zh-CN"/>
        </w:rPr>
        <w:t>《电动汽车充电站及充电桩设计规范》            T/CAEE026-2020</w:t>
      </w:r>
    </w:p>
    <w:p>
      <w:pPr>
        <w:bidi w:val="0"/>
        <w:rPr>
          <w:rFonts w:hint="default"/>
          <w:color w:val="auto"/>
          <w:lang w:val="en-US" w:eastAsia="zh-CN"/>
        </w:rPr>
      </w:pPr>
      <w:r>
        <w:rPr>
          <w:rFonts w:hint="eastAsia"/>
          <w:color w:val="auto"/>
          <w:lang w:eastAsia="zh-CN"/>
        </w:rPr>
        <w:t>《</w:t>
      </w:r>
      <w:r>
        <w:rPr>
          <w:rFonts w:hint="eastAsia"/>
          <w:color w:val="auto"/>
          <w:lang w:val="en-US" w:eastAsia="zh-CN"/>
        </w:rPr>
        <w:t>江西省电动汽车充电设施建设技术标准</w:t>
      </w:r>
      <w:r>
        <w:rPr>
          <w:rFonts w:hint="eastAsia"/>
          <w:color w:val="auto"/>
          <w:lang w:eastAsia="zh-CN"/>
        </w:rPr>
        <w:t>》</w:t>
      </w:r>
      <w:r>
        <w:rPr>
          <w:rFonts w:hint="eastAsia"/>
          <w:color w:val="auto"/>
          <w:lang w:val="en-US" w:eastAsia="zh-CN"/>
        </w:rPr>
        <w:t xml:space="preserve">       DBJ/T36-066-2021</w:t>
      </w:r>
    </w:p>
    <w:p>
      <w:pPr>
        <w:bidi w:val="0"/>
        <w:rPr>
          <w:rFonts w:hint="eastAsia"/>
          <w:color w:val="auto"/>
          <w:lang w:eastAsia="zh-CN"/>
        </w:rPr>
      </w:pPr>
      <w:r>
        <w:rPr>
          <w:rFonts w:hint="eastAsia"/>
          <w:color w:val="auto"/>
          <w:lang w:eastAsia="zh-CN"/>
        </w:rPr>
        <w:t>《</w:t>
      </w:r>
      <w:r>
        <w:rPr>
          <w:rFonts w:hint="eastAsia"/>
          <w:color w:val="auto"/>
          <w:lang w:val="en-US" w:eastAsia="zh-CN"/>
        </w:rPr>
        <w:t>安全预评价导则</w:t>
      </w:r>
      <w:r>
        <w:rPr>
          <w:rFonts w:hint="eastAsia"/>
          <w:color w:val="auto"/>
          <w:lang w:eastAsia="zh-CN"/>
        </w:rPr>
        <w:t>》</w:t>
      </w:r>
      <w:r>
        <w:rPr>
          <w:rFonts w:hint="eastAsia"/>
          <w:color w:val="auto"/>
          <w:lang w:val="en-US" w:eastAsia="zh-CN"/>
        </w:rPr>
        <w:t xml:space="preserve">                              </w:t>
      </w:r>
      <w:r>
        <w:rPr>
          <w:color w:val="auto"/>
        </w:rPr>
        <w:t xml:space="preserve"> AQ800</w:t>
      </w:r>
      <w:r>
        <w:rPr>
          <w:rFonts w:hint="eastAsia"/>
          <w:color w:val="auto"/>
          <w:lang w:val="en-US" w:eastAsia="zh-CN"/>
        </w:rPr>
        <w:t>2</w:t>
      </w:r>
      <w:r>
        <w:rPr>
          <w:color w:val="auto"/>
        </w:rPr>
        <w:t>-2007</w:t>
      </w:r>
    </w:p>
    <w:p>
      <w:pPr>
        <w:bidi w:val="0"/>
        <w:rPr>
          <w:color w:val="auto"/>
        </w:rPr>
      </w:pPr>
      <w:r>
        <w:rPr>
          <w:color w:val="auto"/>
        </w:rPr>
        <w:t>《安全评价通则》                                 AQ8001-2007</w:t>
      </w:r>
    </w:p>
    <w:p>
      <w:pPr>
        <w:bidi w:val="0"/>
        <w:rPr>
          <w:rFonts w:hint="eastAsia"/>
          <w:color w:val="auto"/>
        </w:rPr>
      </w:pPr>
      <w:r>
        <w:rPr>
          <w:rFonts w:hint="eastAsia"/>
          <w:color w:val="auto"/>
        </w:rPr>
        <w:t>相关的专业性国家标准、行业标准和地方标准及规定。</w:t>
      </w:r>
    </w:p>
    <w:p>
      <w:pPr>
        <w:pStyle w:val="4"/>
        <w:bidi w:val="0"/>
        <w:rPr>
          <w:color w:val="auto"/>
        </w:rPr>
      </w:pPr>
      <w:bookmarkStart w:id="10" w:name="_Toc24426"/>
      <w:r>
        <w:rPr>
          <w:color w:val="auto"/>
        </w:rPr>
        <w:t>1.</w:t>
      </w:r>
      <w:r>
        <w:rPr>
          <w:rFonts w:hint="eastAsia"/>
          <w:color w:val="auto"/>
        </w:rPr>
        <w:t>3</w:t>
      </w:r>
      <w:r>
        <w:rPr>
          <w:color w:val="auto"/>
        </w:rPr>
        <w:t>.3</w:t>
      </w:r>
      <w:r>
        <w:rPr>
          <w:rFonts w:hint="eastAsia" w:ascii="宋体" w:hAnsi="宋体" w:eastAsia="宋体" w:cs="宋体"/>
          <w:color w:val="auto"/>
        </w:rPr>
        <w:t>其他相关资料</w:t>
      </w:r>
      <w:bookmarkEnd w:id="10"/>
    </w:p>
    <w:p>
      <w:pPr>
        <w:bidi w:val="0"/>
        <w:rPr>
          <w:color w:val="auto"/>
        </w:rPr>
      </w:pPr>
      <w:r>
        <w:rPr>
          <w:color w:val="auto"/>
        </w:rPr>
        <w:t>营业执照、</w:t>
      </w:r>
      <w:r>
        <w:rPr>
          <w:rFonts w:hint="eastAsia"/>
          <w:color w:val="auto"/>
          <w:lang w:val="en-US" w:eastAsia="zh-CN"/>
        </w:rPr>
        <w:t>成品油零售经营许可证、危险化学品经营许可证、</w:t>
      </w:r>
      <w:r>
        <w:rPr>
          <w:color w:val="auto"/>
        </w:rPr>
        <w:t>产权证明</w:t>
      </w:r>
      <w:r>
        <w:rPr>
          <w:rFonts w:hint="eastAsia"/>
          <w:color w:val="auto"/>
          <w:lang w:val="en-US" w:eastAsia="zh-CN"/>
        </w:rPr>
        <w:t>、总平面布置图</w:t>
      </w:r>
      <w:r>
        <w:rPr>
          <w:color w:val="auto"/>
        </w:rPr>
        <w:t>、</w:t>
      </w:r>
      <w:r>
        <w:rPr>
          <w:rFonts w:hint="eastAsia"/>
          <w:color w:val="auto"/>
          <w:lang w:val="en-US" w:eastAsia="zh-CN"/>
        </w:rPr>
        <w:t>企业提供的其他相关资料</w:t>
      </w:r>
      <w:r>
        <w:rPr>
          <w:color w:val="auto"/>
        </w:rPr>
        <w:t>等。</w:t>
      </w:r>
    </w:p>
    <w:p>
      <w:pPr>
        <w:pStyle w:val="3"/>
        <w:bidi w:val="0"/>
        <w:rPr>
          <w:color w:val="auto"/>
        </w:rPr>
      </w:pPr>
      <w:bookmarkStart w:id="11" w:name="_Toc11643"/>
      <w:bookmarkStart w:id="12" w:name="_Toc350517373"/>
      <w:r>
        <w:rPr>
          <w:color w:val="auto"/>
        </w:rPr>
        <w:t>1.4</w:t>
      </w:r>
      <w:r>
        <w:rPr>
          <w:rFonts w:hint="eastAsia" w:ascii="宋体" w:hAnsi="宋体" w:eastAsia="宋体" w:cs="宋体"/>
          <w:color w:val="auto"/>
        </w:rPr>
        <w:t>评价范围</w:t>
      </w:r>
      <w:bookmarkEnd w:id="11"/>
      <w:bookmarkEnd w:id="12"/>
    </w:p>
    <w:p>
      <w:pPr>
        <w:bidi w:val="0"/>
        <w:rPr>
          <w:rFonts w:hint="eastAsia"/>
          <w:color w:val="auto"/>
          <w:lang w:val="en-US" w:eastAsia="zh-CN"/>
        </w:rPr>
      </w:pPr>
      <w:r>
        <w:rPr>
          <w:color w:val="auto"/>
        </w:rPr>
        <w:t>本</w:t>
      </w:r>
      <w:r>
        <w:rPr>
          <w:rFonts w:hint="eastAsia"/>
          <w:color w:val="auto"/>
          <w:lang w:val="en-US" w:eastAsia="zh-CN"/>
        </w:rPr>
        <w:t>次</w:t>
      </w:r>
      <w:r>
        <w:rPr>
          <w:color w:val="auto"/>
        </w:rPr>
        <w:t>评价</w:t>
      </w:r>
      <w:r>
        <w:rPr>
          <w:rFonts w:hint="eastAsia"/>
          <w:color w:val="auto"/>
          <w:lang w:val="en-US" w:eastAsia="zh-CN"/>
        </w:rPr>
        <w:t>对中国石化销售股份有限公司江西上饶市广信石油分公司第五加油站改造项目（充电站）建设方案设计的相关内容进行安全评价，</w:t>
      </w:r>
      <w:r>
        <w:rPr>
          <w:color w:val="auto"/>
        </w:rPr>
        <w:t>主要包括</w:t>
      </w:r>
      <w:r>
        <w:rPr>
          <w:rFonts w:hint="eastAsia"/>
          <w:color w:val="auto"/>
          <w:lang w:val="en-US" w:eastAsia="zh-CN"/>
        </w:rPr>
        <w:t>该项目涉及的</w:t>
      </w:r>
      <w:r>
        <w:rPr>
          <w:color w:val="auto"/>
        </w:rPr>
        <w:t>周边环境，平面布置，站内建（构）筑物，</w:t>
      </w:r>
      <w:r>
        <w:rPr>
          <w:rFonts w:hint="eastAsia"/>
          <w:color w:val="auto"/>
          <w:lang w:val="en-US" w:eastAsia="zh-CN"/>
        </w:rPr>
        <w:t>设备设施</w:t>
      </w:r>
      <w:r>
        <w:rPr>
          <w:color w:val="auto"/>
        </w:rPr>
        <w:t>，</w:t>
      </w:r>
      <w:r>
        <w:rPr>
          <w:rFonts w:hint="eastAsia"/>
          <w:color w:val="auto"/>
          <w:lang w:val="en-US" w:eastAsia="zh-CN"/>
        </w:rPr>
        <w:t>配套公用辅助设施及施工过程危险有害因素</w:t>
      </w:r>
      <w:r>
        <w:rPr>
          <w:color w:val="auto"/>
        </w:rPr>
        <w:t>，</w:t>
      </w:r>
      <w:r>
        <w:rPr>
          <w:rFonts w:hint="eastAsia"/>
          <w:color w:val="auto"/>
          <w:lang w:val="en-US" w:eastAsia="zh-CN"/>
        </w:rPr>
        <w:t>具体内容包括：</w:t>
      </w:r>
    </w:p>
    <w:p>
      <w:pPr>
        <w:bidi w:val="0"/>
        <w:rPr>
          <w:rFonts w:hint="eastAsia"/>
          <w:color w:val="auto"/>
          <w:lang w:val="en-US" w:eastAsia="zh-CN"/>
        </w:rPr>
      </w:pPr>
      <w:r>
        <w:rPr>
          <w:rFonts w:hint="eastAsia"/>
          <w:color w:val="auto"/>
          <w:lang w:val="en-US" w:eastAsia="zh-CN"/>
        </w:rPr>
        <w:t>1、总平面布置安全评价；</w:t>
      </w:r>
    </w:p>
    <w:p>
      <w:pPr>
        <w:bidi w:val="0"/>
        <w:rPr>
          <w:rFonts w:hint="default"/>
          <w:color w:val="auto"/>
          <w:lang w:val="en-US" w:eastAsia="zh-CN"/>
        </w:rPr>
      </w:pPr>
      <w:r>
        <w:rPr>
          <w:rFonts w:hint="default"/>
          <w:color w:val="auto"/>
          <w:lang w:val="en-US" w:eastAsia="zh-CN"/>
        </w:rPr>
        <w:t>2、</w:t>
      </w:r>
      <w:r>
        <w:rPr>
          <w:rFonts w:hint="eastAsia"/>
          <w:color w:val="auto"/>
          <w:lang w:val="en-US" w:eastAsia="zh-CN"/>
        </w:rPr>
        <w:t>工艺及设备设施安全评价；</w:t>
      </w:r>
    </w:p>
    <w:p>
      <w:pPr>
        <w:bidi w:val="0"/>
        <w:rPr>
          <w:rFonts w:hint="default"/>
          <w:color w:val="auto"/>
          <w:lang w:val="en-US" w:eastAsia="zh-CN"/>
        </w:rPr>
      </w:pPr>
      <w:r>
        <w:rPr>
          <w:rFonts w:hint="default"/>
          <w:color w:val="auto"/>
          <w:lang w:val="en-US" w:eastAsia="zh-CN"/>
        </w:rPr>
        <w:t>3、</w:t>
      </w:r>
      <w:r>
        <w:rPr>
          <w:rFonts w:hint="eastAsia"/>
          <w:color w:val="auto"/>
          <w:lang w:val="en-US" w:eastAsia="zh-CN"/>
        </w:rPr>
        <w:t>辅助生产装置及配套的公用工程安全评价；</w:t>
      </w:r>
    </w:p>
    <w:p>
      <w:pPr>
        <w:bidi w:val="0"/>
        <w:rPr>
          <w:rFonts w:hint="eastAsia"/>
          <w:color w:val="auto"/>
          <w:lang w:val="en-US" w:eastAsia="zh-CN"/>
        </w:rPr>
      </w:pPr>
      <w:r>
        <w:rPr>
          <w:rFonts w:hint="default"/>
          <w:color w:val="auto"/>
          <w:lang w:val="en-US" w:eastAsia="zh-CN"/>
        </w:rPr>
        <w:t>4、</w:t>
      </w:r>
      <w:r>
        <w:rPr>
          <w:rFonts w:hint="eastAsia"/>
          <w:color w:val="auto"/>
          <w:lang w:val="en-US" w:eastAsia="zh-CN"/>
        </w:rPr>
        <w:t>安全管理安全评价。</w:t>
      </w:r>
    </w:p>
    <w:p>
      <w:pPr>
        <w:ind w:firstLine="560" w:firstLineChars="200"/>
        <w:rPr>
          <w:rFonts w:hint="eastAsia"/>
          <w:color w:val="auto"/>
          <w:sz w:val="28"/>
          <w:szCs w:val="28"/>
          <w:lang w:val="en-US" w:eastAsia="zh-CN"/>
        </w:rPr>
      </w:pPr>
      <w:r>
        <w:rPr>
          <w:rFonts w:hint="eastAsia"/>
          <w:color w:val="auto"/>
          <w:lang w:val="en-US" w:eastAsia="zh-CN"/>
        </w:rPr>
        <w:t>本项目建设规模：</w:t>
      </w:r>
      <w:r>
        <w:rPr>
          <w:rFonts w:hint="eastAsia"/>
          <w:color w:val="auto"/>
          <w:sz w:val="28"/>
          <w:szCs w:val="28"/>
          <w:lang w:val="en-US" w:eastAsia="zh-CN"/>
        </w:rPr>
        <w:t>1）新设入口道闸1个，出口道闸3个；2）新设60kw快充停车位90个；3）新设1600kva箱式变压器4座，相关的充电设备进行配套；4）场地进行硬化处理，硬化面积为3292m</w:t>
      </w:r>
      <w:r>
        <w:rPr>
          <w:rFonts w:hint="eastAsia"/>
          <w:color w:val="auto"/>
          <w:sz w:val="28"/>
          <w:szCs w:val="28"/>
          <w:vertAlign w:val="superscript"/>
          <w:lang w:val="en-US" w:eastAsia="zh-CN"/>
        </w:rPr>
        <w:t>2</w:t>
      </w:r>
      <w:r>
        <w:rPr>
          <w:rFonts w:hint="eastAsia"/>
          <w:color w:val="auto"/>
          <w:sz w:val="28"/>
          <w:szCs w:val="28"/>
          <w:lang w:val="en-US" w:eastAsia="zh-CN"/>
        </w:rPr>
        <w:t>。</w:t>
      </w:r>
    </w:p>
    <w:p>
      <w:pPr>
        <w:bidi w:val="0"/>
        <w:rPr>
          <w:rFonts w:hint="default"/>
          <w:color w:val="auto"/>
          <w:szCs w:val="28"/>
          <w:lang w:val="en-US" w:eastAsia="zh-CN"/>
        </w:rPr>
      </w:pPr>
      <w:r>
        <w:rPr>
          <w:rFonts w:hint="eastAsia"/>
          <w:color w:val="auto"/>
          <w:lang w:val="en-US" w:eastAsia="zh-CN"/>
        </w:rPr>
        <w:t>本次评价不涉及充电车辆以及充电车辆的行驶，该项目所涉及的环境保护、职业卫生等方面的内容，以相关主管部门批准或认可的技术文件为准。消防安全设施的设置，本评价报告仅提出建议措施，其具体实施以当地消防管理部门的审批为准。</w:t>
      </w:r>
    </w:p>
    <w:p>
      <w:pPr>
        <w:rPr>
          <w:color w:val="auto"/>
        </w:rPr>
      </w:pPr>
      <w:bookmarkStart w:id="13" w:name="_Toc12949"/>
      <w:bookmarkStart w:id="14" w:name="_Toc350517374"/>
      <w:r>
        <w:rPr>
          <w:color w:val="auto"/>
        </w:rPr>
        <w:br w:type="page"/>
      </w:r>
    </w:p>
    <w:p>
      <w:pPr>
        <w:pStyle w:val="3"/>
        <w:bidi w:val="0"/>
        <w:rPr>
          <w:color w:val="auto"/>
        </w:rPr>
      </w:pPr>
      <w:r>
        <w:rPr>
          <w:color w:val="auto"/>
        </w:rPr>
        <w:t>1.5</w:t>
      </w:r>
      <w:r>
        <w:rPr>
          <w:rFonts w:hint="eastAsia" w:ascii="宋体" w:hAnsi="宋体" w:eastAsia="宋体" w:cs="宋体"/>
          <w:color w:val="auto"/>
        </w:rPr>
        <w:t>评价程序</w:t>
      </w:r>
      <w:bookmarkEnd w:id="13"/>
      <w:bookmarkEnd w:id="14"/>
    </w:p>
    <w:p>
      <w:pPr>
        <w:bidi w:val="0"/>
        <w:rPr>
          <w:color w:val="auto"/>
        </w:rPr>
      </w:pPr>
      <w:r>
        <w:rPr>
          <w:color w:val="auto"/>
        </w:rPr>
        <w:t>评价程序见图1</w:t>
      </w:r>
      <w:r>
        <w:rPr>
          <w:rFonts w:hint="eastAsia"/>
          <w:color w:val="auto"/>
          <w:lang w:val="en-US" w:eastAsia="zh-CN"/>
        </w:rPr>
        <w:t>.5</w:t>
      </w:r>
      <w:r>
        <w:rPr>
          <w:color w:val="auto"/>
        </w:rPr>
        <w:t>-1。</w:t>
      </w:r>
    </w:p>
    <w:p>
      <w:pPr>
        <w:wordWrap w:val="0"/>
        <w:adjustRightInd w:val="0"/>
        <w:snapToGrid w:val="0"/>
        <w:spacing w:line="600" w:lineRule="exact"/>
        <w:textAlignment w:val="center"/>
        <w:rPr>
          <w:color w:val="auto"/>
          <w:sz w:val="28"/>
          <w:szCs w:val="28"/>
        </w:rPr>
      </w:pPr>
      <w:r>
        <w:rPr>
          <w:color w:val="auto"/>
          <w:sz w:val="24"/>
        </w:rPr>
        <mc:AlternateContent>
          <mc:Choice Requires="wpg">
            <w:drawing>
              <wp:anchor distT="0" distB="0" distL="114300" distR="114300" simplePos="0" relativeHeight="251659264" behindDoc="0" locked="0" layoutInCell="1" allowOverlap="1">
                <wp:simplePos x="0" y="0"/>
                <wp:positionH relativeFrom="column">
                  <wp:posOffset>1381125</wp:posOffset>
                </wp:positionH>
                <wp:positionV relativeFrom="paragraph">
                  <wp:posOffset>218440</wp:posOffset>
                </wp:positionV>
                <wp:extent cx="2857500" cy="5687060"/>
                <wp:effectExtent l="4445" t="5080" r="14605" b="22860"/>
                <wp:wrapNone/>
                <wp:docPr id="14" name="组合 303"/>
                <wp:cNvGraphicFramePr/>
                <a:graphic xmlns:a="http://schemas.openxmlformats.org/drawingml/2006/main">
                  <a:graphicData uri="http://schemas.microsoft.com/office/word/2010/wordprocessingGroup">
                    <wpg:wgp>
                      <wpg:cNvGrpSpPr/>
                      <wpg:grpSpPr>
                        <a:xfrm>
                          <a:off x="0" y="0"/>
                          <a:ext cx="2857500" cy="5687060"/>
                          <a:chOff x="5507" y="138837"/>
                          <a:chExt cx="4500" cy="10140"/>
                        </a:xfrm>
                      </wpg:grpSpPr>
                      <wps:wsp>
                        <wps:cNvPr id="1" name="文本框 304"/>
                        <wps:cNvSpPr txBox="1"/>
                        <wps:spPr>
                          <a:xfrm>
                            <a:off x="5507" y="13883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前期准备</w:t>
                              </w:r>
                            </w:p>
                          </w:txbxContent>
                        </wps:txbx>
                        <wps:bodyPr wrap="square" upright="1"/>
                      </wps:wsp>
                      <wps:wsp>
                        <wps:cNvPr id="2" name="文本框 305"/>
                        <wps:cNvSpPr txBox="1"/>
                        <wps:spPr>
                          <a:xfrm>
                            <a:off x="5507" y="14039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辩识与分析危险、有害因素</w:t>
                              </w:r>
                            </w:p>
                          </w:txbxContent>
                        </wps:txbx>
                        <wps:bodyPr wrap="square" upright="1"/>
                      </wps:wsp>
                      <wps:wsp>
                        <wps:cNvPr id="3" name="文本框 306"/>
                        <wps:cNvSpPr txBox="1"/>
                        <wps:spPr>
                          <a:xfrm>
                            <a:off x="5507" y="14195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划分评价单元</w:t>
                              </w:r>
                            </w:p>
                          </w:txbxContent>
                        </wps:txbx>
                        <wps:bodyPr wrap="square" upright="1"/>
                      </wps:wsp>
                      <wps:wsp>
                        <wps:cNvPr id="4" name="文本框 307"/>
                        <wps:cNvSpPr txBox="1"/>
                        <wps:spPr>
                          <a:xfrm>
                            <a:off x="5507" y="14351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定性、定量评价</w:t>
                              </w:r>
                            </w:p>
                          </w:txbxContent>
                        </wps:txbx>
                        <wps:bodyPr wrap="square" upright="1"/>
                      </wps:wsp>
                      <wps:wsp>
                        <wps:cNvPr id="5" name="文本框 308"/>
                        <wps:cNvSpPr txBox="1"/>
                        <wps:spPr>
                          <a:xfrm>
                            <a:off x="5507" y="14507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提出安全对策措施建议</w:t>
                              </w:r>
                            </w:p>
                          </w:txbxContent>
                        </wps:txbx>
                        <wps:bodyPr wrap="square" upright="1"/>
                      </wps:wsp>
                      <wps:wsp>
                        <wps:cNvPr id="6" name="文本框 309"/>
                        <wps:cNvSpPr txBox="1"/>
                        <wps:spPr>
                          <a:xfrm>
                            <a:off x="5507" y="14663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做出评价结论</w:t>
                              </w:r>
                            </w:p>
                          </w:txbxContent>
                        </wps:txbx>
                        <wps:bodyPr wrap="square" upright="1"/>
                      </wps:wsp>
                      <wps:wsp>
                        <wps:cNvPr id="7" name="文本框 310"/>
                        <wps:cNvSpPr txBox="1"/>
                        <wps:spPr>
                          <a:xfrm>
                            <a:off x="5507" y="148197"/>
                            <a:ext cx="45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编制安全评价报告</w:t>
                              </w:r>
                            </w:p>
                          </w:txbxContent>
                        </wps:txbx>
                        <wps:bodyPr wrap="square" upright="1"/>
                      </wps:wsp>
                      <wps:wsp>
                        <wps:cNvPr id="8" name="直线 311"/>
                        <wps:cNvCnPr/>
                        <wps:spPr>
                          <a:xfrm>
                            <a:off x="7772" y="139617"/>
                            <a:ext cx="0" cy="780"/>
                          </a:xfrm>
                          <a:prstGeom prst="line">
                            <a:avLst/>
                          </a:prstGeom>
                          <a:ln w="9525" cap="flat" cmpd="sng">
                            <a:solidFill>
                              <a:srgbClr val="000000"/>
                            </a:solidFill>
                            <a:prstDash val="solid"/>
                            <a:headEnd type="none" w="med" len="med"/>
                            <a:tailEnd type="triangle" w="med" len="med"/>
                          </a:ln>
                        </wps:spPr>
                        <wps:bodyPr upright="1"/>
                      </wps:wsp>
                      <wps:wsp>
                        <wps:cNvPr id="9" name="直线 312"/>
                        <wps:cNvCnPr/>
                        <wps:spPr>
                          <a:xfrm>
                            <a:off x="7772" y="141177"/>
                            <a:ext cx="0" cy="780"/>
                          </a:xfrm>
                          <a:prstGeom prst="line">
                            <a:avLst/>
                          </a:prstGeom>
                          <a:ln w="9525" cap="flat" cmpd="sng">
                            <a:solidFill>
                              <a:srgbClr val="000000"/>
                            </a:solidFill>
                            <a:prstDash val="solid"/>
                            <a:headEnd type="none" w="med" len="med"/>
                            <a:tailEnd type="triangle" w="med" len="med"/>
                          </a:ln>
                        </wps:spPr>
                        <wps:bodyPr upright="1"/>
                      </wps:wsp>
                      <wps:wsp>
                        <wps:cNvPr id="10" name="直线 313"/>
                        <wps:cNvCnPr/>
                        <wps:spPr>
                          <a:xfrm>
                            <a:off x="7772" y="142737"/>
                            <a:ext cx="0" cy="780"/>
                          </a:xfrm>
                          <a:prstGeom prst="line">
                            <a:avLst/>
                          </a:prstGeom>
                          <a:ln w="9525" cap="flat" cmpd="sng">
                            <a:solidFill>
                              <a:srgbClr val="000000"/>
                            </a:solidFill>
                            <a:prstDash val="solid"/>
                            <a:headEnd type="none" w="med" len="med"/>
                            <a:tailEnd type="triangle" w="med" len="med"/>
                          </a:ln>
                        </wps:spPr>
                        <wps:bodyPr upright="1"/>
                      </wps:wsp>
                      <wps:wsp>
                        <wps:cNvPr id="11" name="直线 314"/>
                        <wps:cNvCnPr/>
                        <wps:spPr>
                          <a:xfrm>
                            <a:off x="7772" y="144297"/>
                            <a:ext cx="0" cy="780"/>
                          </a:xfrm>
                          <a:prstGeom prst="line">
                            <a:avLst/>
                          </a:prstGeom>
                          <a:ln w="9525" cap="flat" cmpd="sng">
                            <a:solidFill>
                              <a:srgbClr val="000000"/>
                            </a:solidFill>
                            <a:prstDash val="solid"/>
                            <a:headEnd type="none" w="med" len="med"/>
                            <a:tailEnd type="triangle" w="med" len="med"/>
                          </a:ln>
                        </wps:spPr>
                        <wps:bodyPr upright="1"/>
                      </wps:wsp>
                      <wps:wsp>
                        <wps:cNvPr id="12" name="直线 315"/>
                        <wps:cNvCnPr/>
                        <wps:spPr>
                          <a:xfrm>
                            <a:off x="7772" y="145857"/>
                            <a:ext cx="0" cy="780"/>
                          </a:xfrm>
                          <a:prstGeom prst="line">
                            <a:avLst/>
                          </a:prstGeom>
                          <a:ln w="9525" cap="flat" cmpd="sng">
                            <a:solidFill>
                              <a:srgbClr val="000000"/>
                            </a:solidFill>
                            <a:prstDash val="solid"/>
                            <a:headEnd type="none" w="med" len="med"/>
                            <a:tailEnd type="triangle" w="med" len="med"/>
                          </a:ln>
                        </wps:spPr>
                        <wps:bodyPr upright="1"/>
                      </wps:wsp>
                      <wps:wsp>
                        <wps:cNvPr id="13" name="直线 316"/>
                        <wps:cNvCnPr/>
                        <wps:spPr>
                          <a:xfrm>
                            <a:off x="7772" y="147417"/>
                            <a:ext cx="0" cy="78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组合 303" o:spid="_x0000_s1026" o:spt="203" style="position:absolute;left:0pt;margin-left:108.75pt;margin-top:17.2pt;height:447.8pt;width:225pt;z-index:251659264;mso-width-relative:page;mso-height-relative:page;" coordorigin="5507,138837" coordsize="4500,10140" o:gfxdata="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">
                <o:lock v:ext="edit" aspectratio="f"/>
                <v:shape id="文本框 304" o:spid="_x0000_s1026" o:spt="202" type="#_x0000_t202" style="position:absolute;left:5507;top:138837;height:780;width:4500;"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前期准备</w:t>
                        </w:r>
                      </w:p>
                    </w:txbxContent>
                  </v:textbox>
                </v:shape>
                <v:shape id="文本框 305" o:spid="_x0000_s1026" o:spt="202" type="#_x0000_t202" style="position:absolute;left:5507;top:140397;height:780;width:4500;" fillcolor="#FFFFFF" filled="t" stroked="t" coordsize="21600,21600" o:gfxdata="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BexN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辩识与分析危险、有害因素</w:t>
                        </w:r>
                      </w:p>
                    </w:txbxContent>
                  </v:textbox>
                </v:shape>
                <v:shape id="文本框 306" o:spid="_x0000_s1026" o:spt="202" type="#_x0000_t202" style="position:absolute;left:5507;top:141957;height:780;width:4500;"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划分评价单元</w:t>
                        </w:r>
                      </w:p>
                    </w:txbxContent>
                  </v:textbox>
                </v:shape>
                <v:shape id="文本框 307" o:spid="_x0000_s1026" o:spt="202" type="#_x0000_t202" style="position:absolute;left:5507;top:143517;height:780;width:4500;" fillcolor="#FFFFFF" filled="t" stroked="t" coordsize="21600,21600" o:gfxdata="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0aK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定性、定量评价</w:t>
                        </w:r>
                      </w:p>
                    </w:txbxContent>
                  </v:textbox>
                </v:shape>
                <v:shape id="文本框 308" o:spid="_x0000_s1026" o:spt="202" type="#_x0000_t202" style="position:absolute;left:5507;top:145077;height:780;width:4500;"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提出安全对策措施建议</w:t>
                        </w:r>
                      </w:p>
                    </w:txbxContent>
                  </v:textbox>
                </v:shape>
                <v:shape id="文本框 309" o:spid="_x0000_s1026" o:spt="202" type="#_x0000_t202" style="position:absolute;left:5507;top:146637;height:780;width:4500;"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做出评价结论</w:t>
                        </w:r>
                      </w:p>
                    </w:txbxContent>
                  </v:textbox>
                </v:shape>
                <v:shape id="文本框 310" o:spid="_x0000_s1026" o:spt="202" type="#_x0000_t202" style="position:absolute;left:5507;top:148197;height:780;width:4500;"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bidi w:val="0"/>
                          <w:adjustRightInd/>
                          <w:snapToGrid/>
                          <w:ind w:firstLine="0" w:firstLineChars="0"/>
                          <w:jc w:val="center"/>
                          <w:textAlignment w:val="auto"/>
                          <w:rPr>
                            <w:rFonts w:hint="eastAsia"/>
                          </w:rPr>
                        </w:pPr>
                        <w:r>
                          <w:rPr>
                            <w:rFonts w:hint="eastAsia"/>
                          </w:rPr>
                          <w:t>编制安全评价报告</w:t>
                        </w:r>
                      </w:p>
                    </w:txbxContent>
                  </v:textbox>
                </v:shape>
                <v:line id="直线 311" o:spid="_x0000_s1026" o:spt="20" style="position:absolute;left:7772;top:139617;height:780;width:0;" filled="f" stroked="t" coordsize="21600,21600" o:gfxdata="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FGD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直线 312" o:spid="_x0000_s1026" o:spt="20" style="position:absolute;left:7772;top:141177;height:780;width:0;"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313" o:spid="_x0000_s1026" o:spt="20" style="position:absolute;left:7772;top:142737;height:780;width:0;" filled="f" stroked="t" coordsize="21600,21600" o:gfxdata="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p/K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314" o:spid="_x0000_s1026" o:spt="20" style="position:absolute;left:7772;top:144297;height:780;width: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315" o:spid="_x0000_s1026" o:spt="20" style="position:absolute;left:7772;top:145857;height:780;width:0;"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316" o:spid="_x0000_s1026" o:spt="20" style="position:absolute;left:7772;top:147417;height:780;width:0;"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rPr>
          <w:rFonts w:hint="eastAsia"/>
          <w:color w:val="auto"/>
          <w:sz w:val="24"/>
        </w:rPr>
      </w:pPr>
    </w:p>
    <w:p>
      <w:pPr>
        <w:pStyle w:val="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bCs/>
          <w:color w:val="auto"/>
          <w:szCs w:val="28"/>
        </w:rPr>
      </w:pPr>
      <w:r>
        <w:rPr>
          <w:color w:val="auto"/>
        </w:rPr>
        <w:t>图1</w:t>
      </w:r>
      <w:r>
        <w:rPr>
          <w:rFonts w:hint="eastAsia"/>
          <w:color w:val="auto"/>
          <w:lang w:val="en-US" w:eastAsia="zh-CN"/>
        </w:rPr>
        <w:t>.5</w:t>
      </w:r>
      <w:r>
        <w:rPr>
          <w:rFonts w:hint="eastAsia"/>
          <w:color w:val="auto"/>
        </w:rPr>
        <w:t>-</w:t>
      </w:r>
      <w:r>
        <w:rPr>
          <w:color w:val="auto"/>
        </w:rPr>
        <w:t>1　评价工作程序图</w:t>
      </w:r>
      <w:bookmarkStart w:id="15" w:name="_Toc7344"/>
      <w:bookmarkStart w:id="16" w:name="_Toc350517375"/>
    </w:p>
    <w:p>
      <w:pPr>
        <w:spacing w:line="600" w:lineRule="exact"/>
        <w:rPr>
          <w:b/>
          <w:color w:val="auto"/>
          <w:sz w:val="32"/>
          <w:szCs w:val="32"/>
        </w:rPr>
      </w:pPr>
    </w:p>
    <w:p>
      <w:pPr>
        <w:pStyle w:val="45"/>
        <w:rPr>
          <w:b/>
          <w:color w:val="auto"/>
          <w:sz w:val="32"/>
          <w:szCs w:val="32"/>
        </w:rPr>
      </w:pPr>
    </w:p>
    <w:p>
      <w:pPr>
        <w:bidi w:val="0"/>
        <w:rPr>
          <w:color w:val="auto"/>
        </w:rPr>
      </w:pPr>
    </w:p>
    <w:p>
      <w:pPr>
        <w:pStyle w:val="45"/>
        <w:rPr>
          <w:b/>
          <w:color w:val="auto"/>
          <w:sz w:val="32"/>
          <w:szCs w:val="32"/>
        </w:rPr>
      </w:pPr>
    </w:p>
    <w:p>
      <w:pPr>
        <w:pStyle w:val="45"/>
        <w:rPr>
          <w:b/>
          <w:color w:val="auto"/>
          <w:sz w:val="32"/>
          <w:szCs w:val="32"/>
        </w:rPr>
      </w:pPr>
    </w:p>
    <w:p>
      <w:pPr>
        <w:pStyle w:val="2"/>
        <w:bidi w:val="0"/>
        <w:rPr>
          <w:rFonts w:hint="default" w:eastAsia="黑体"/>
          <w:b w:val="0"/>
          <w:color w:val="auto"/>
          <w:szCs w:val="32"/>
          <w:lang w:val="en-US" w:eastAsia="zh-CN"/>
        </w:rPr>
      </w:pPr>
      <w:bookmarkStart w:id="17" w:name="_Toc721"/>
      <w:r>
        <w:rPr>
          <w:color w:val="auto"/>
          <w:szCs w:val="32"/>
        </w:rPr>
        <w:t>2</w:t>
      </w:r>
      <w:bookmarkEnd w:id="15"/>
      <w:bookmarkEnd w:id="16"/>
      <w:r>
        <w:rPr>
          <w:rFonts w:hint="eastAsia" w:ascii="宋体" w:hAnsi="宋体" w:eastAsia="宋体" w:cs="宋体"/>
          <w:color w:val="auto"/>
          <w:szCs w:val="32"/>
          <w:lang w:val="en-US" w:eastAsia="zh-CN"/>
        </w:rPr>
        <w:t>建设项目概况</w:t>
      </w:r>
      <w:bookmarkEnd w:id="17"/>
    </w:p>
    <w:p>
      <w:pPr>
        <w:pStyle w:val="3"/>
        <w:bidi w:val="0"/>
        <w:rPr>
          <w:rFonts w:hint="eastAsia" w:ascii="宋体" w:hAnsi="宋体" w:eastAsia="宋体" w:cs="宋体"/>
          <w:color w:val="auto"/>
          <w:lang w:val="en-US" w:eastAsia="zh-CN"/>
        </w:rPr>
      </w:pPr>
      <w:bookmarkStart w:id="18" w:name="_Toc350517376"/>
      <w:bookmarkStart w:id="19" w:name="_Toc11055"/>
      <w:r>
        <w:rPr>
          <w:color w:val="auto"/>
        </w:rPr>
        <w:t>2.1</w:t>
      </w:r>
      <w:bookmarkEnd w:id="18"/>
      <w:r>
        <w:rPr>
          <w:rFonts w:hint="eastAsia" w:ascii="宋体" w:hAnsi="宋体" w:eastAsia="宋体" w:cs="宋体"/>
          <w:color w:val="auto"/>
          <w:lang w:val="en-US" w:eastAsia="zh-CN"/>
        </w:rPr>
        <w:t>建设单位</w:t>
      </w:r>
      <w:r>
        <w:rPr>
          <w:rFonts w:hint="eastAsia" w:ascii="宋体" w:hAnsi="宋体" w:cs="宋体"/>
          <w:color w:val="auto"/>
          <w:lang w:val="en-US" w:eastAsia="zh-CN"/>
        </w:rPr>
        <w:t>及建设项目单位</w:t>
      </w:r>
      <w:r>
        <w:rPr>
          <w:rFonts w:hint="eastAsia" w:ascii="宋体" w:hAnsi="宋体" w:eastAsia="宋体" w:cs="宋体"/>
          <w:color w:val="auto"/>
          <w:lang w:val="en-US" w:eastAsia="zh-CN"/>
        </w:rPr>
        <w:t>基本情况</w:t>
      </w:r>
      <w:bookmarkEnd w:id="19"/>
    </w:p>
    <w:p>
      <w:pPr>
        <w:bidi w:val="0"/>
        <w:rPr>
          <w:rFonts w:hint="default"/>
          <w:color w:val="auto"/>
          <w:lang w:val="en-US" w:eastAsia="zh-CN"/>
        </w:rPr>
      </w:pPr>
      <w:r>
        <w:rPr>
          <w:rFonts w:hint="eastAsia"/>
          <w:color w:val="auto"/>
          <w:lang w:val="en-US" w:eastAsia="zh-CN"/>
        </w:rPr>
        <w:t>一、建设单位基本情况</w:t>
      </w:r>
    </w:p>
    <w:p>
      <w:pPr>
        <w:bidi w:val="0"/>
        <w:rPr>
          <w:rFonts w:hint="eastAsia"/>
          <w:color w:val="auto"/>
        </w:rPr>
      </w:pPr>
      <w:r>
        <w:rPr>
          <w:rFonts w:hint="eastAsia"/>
          <w:color w:val="auto"/>
          <w:lang w:val="en-US" w:eastAsia="zh-CN"/>
        </w:rPr>
        <w:t>建设单位：</w:t>
      </w:r>
      <w:r>
        <w:rPr>
          <w:rFonts w:hint="eastAsia"/>
          <w:color w:val="auto"/>
        </w:rPr>
        <w:t>中国石化销售股份有限公司江西</w:t>
      </w:r>
      <w:r>
        <w:rPr>
          <w:rFonts w:hint="eastAsia"/>
          <w:color w:val="auto"/>
          <w:lang w:val="en-US" w:eastAsia="zh-CN"/>
        </w:rPr>
        <w:t>上饶</w:t>
      </w:r>
      <w:r>
        <w:rPr>
          <w:rFonts w:hint="eastAsia"/>
          <w:color w:val="auto"/>
        </w:rPr>
        <w:t>石油分公司</w:t>
      </w:r>
    </w:p>
    <w:p>
      <w:pPr>
        <w:bidi w:val="0"/>
        <w:rPr>
          <w:rFonts w:hint="eastAsia"/>
          <w:color w:val="auto"/>
          <w:lang w:val="en-US" w:eastAsia="zh-CN"/>
        </w:rPr>
      </w:pPr>
      <w:r>
        <w:rPr>
          <w:rFonts w:hint="eastAsia"/>
          <w:color w:val="auto"/>
          <w:lang w:val="en-US" w:eastAsia="zh-CN"/>
        </w:rPr>
        <w:t>成立时间：2000年04月27日</w:t>
      </w:r>
    </w:p>
    <w:p>
      <w:pPr>
        <w:bidi w:val="0"/>
        <w:rPr>
          <w:rFonts w:hint="eastAsia"/>
          <w:color w:val="auto"/>
          <w:lang w:val="en-US" w:eastAsia="zh-CN"/>
        </w:rPr>
      </w:pPr>
      <w:r>
        <w:rPr>
          <w:rFonts w:hint="eastAsia"/>
          <w:color w:val="auto"/>
          <w:lang w:val="en-US" w:eastAsia="zh-CN"/>
        </w:rPr>
        <w:t>工商注册登记机关：上饶市市场监督管理局</w:t>
      </w:r>
    </w:p>
    <w:p>
      <w:pPr>
        <w:bidi w:val="0"/>
        <w:rPr>
          <w:rFonts w:hint="eastAsia"/>
          <w:color w:val="auto"/>
          <w:lang w:val="en-US" w:eastAsia="zh-CN"/>
        </w:rPr>
      </w:pPr>
      <w:r>
        <w:rPr>
          <w:rFonts w:hint="eastAsia"/>
          <w:color w:val="auto"/>
          <w:lang w:val="en-US" w:eastAsia="zh-CN"/>
        </w:rPr>
        <w:t>统一社会信用代码：91361100705558047P</w:t>
      </w:r>
    </w:p>
    <w:p>
      <w:pPr>
        <w:bidi w:val="0"/>
        <w:rPr>
          <w:rFonts w:hint="eastAsia"/>
          <w:color w:val="auto"/>
          <w:lang w:val="en-US" w:eastAsia="zh-CN"/>
        </w:rPr>
      </w:pPr>
      <w:r>
        <w:rPr>
          <w:rFonts w:hint="eastAsia"/>
          <w:color w:val="auto"/>
          <w:lang w:val="en-US" w:eastAsia="zh-CN"/>
        </w:rPr>
        <w:t>注册地址：江西省上饶市信州区广信大道112号</w:t>
      </w:r>
    </w:p>
    <w:p>
      <w:pPr>
        <w:bidi w:val="0"/>
        <w:rPr>
          <w:rFonts w:hint="default"/>
          <w:color w:val="auto"/>
          <w:lang w:val="en-US" w:eastAsia="zh-CN"/>
        </w:rPr>
      </w:pPr>
      <w:r>
        <w:rPr>
          <w:rFonts w:hint="eastAsia"/>
          <w:color w:val="auto"/>
          <w:lang w:val="en-US" w:eastAsia="zh-CN"/>
        </w:rPr>
        <w:t>法定代表人：黄溶林</w:t>
      </w:r>
    </w:p>
    <w:p>
      <w:pPr>
        <w:bidi w:val="0"/>
        <w:rPr>
          <w:rFonts w:hint="default"/>
          <w:color w:val="auto"/>
          <w:lang w:val="en-US" w:eastAsia="zh-CN"/>
        </w:rPr>
      </w:pPr>
      <w:r>
        <w:rPr>
          <w:rFonts w:hint="eastAsia"/>
          <w:color w:val="auto"/>
          <w:lang w:val="en-US" w:eastAsia="zh-CN"/>
        </w:rPr>
        <w:t>企业类型：外商投资企业分公司</w:t>
      </w:r>
    </w:p>
    <w:p>
      <w:pPr>
        <w:bidi w:val="0"/>
        <w:rPr>
          <w:rFonts w:hint="default"/>
          <w:color w:val="auto"/>
          <w:lang w:val="en-US" w:eastAsia="zh-CN"/>
        </w:rPr>
      </w:pPr>
      <w:r>
        <w:rPr>
          <w:rFonts w:hint="eastAsia"/>
          <w:color w:val="auto"/>
          <w:lang w:val="en-US" w:eastAsia="zh-CN"/>
        </w:rPr>
        <w:t>二、建设项目单位基本情况</w:t>
      </w:r>
    </w:p>
    <w:p>
      <w:pPr>
        <w:bidi w:val="0"/>
        <w:rPr>
          <w:rFonts w:hint="eastAsia"/>
          <w:color w:val="auto"/>
          <w:lang w:val="en-US" w:eastAsia="zh-CN"/>
        </w:rPr>
      </w:pPr>
      <w:r>
        <w:rPr>
          <w:rFonts w:hint="eastAsia"/>
          <w:color w:val="auto"/>
          <w:lang w:val="en-US" w:eastAsia="zh-CN"/>
        </w:rPr>
        <w:t>建设项目单位：</w:t>
      </w:r>
      <w:r>
        <w:rPr>
          <w:rFonts w:hint="eastAsia"/>
          <w:color w:val="auto"/>
        </w:rPr>
        <w:t>中国石化销售股份有限公司江西</w:t>
      </w:r>
      <w:r>
        <w:rPr>
          <w:rFonts w:hint="eastAsia"/>
          <w:color w:val="auto"/>
          <w:lang w:val="en-US" w:eastAsia="zh-CN"/>
        </w:rPr>
        <w:t>上饶市广信</w:t>
      </w:r>
      <w:r>
        <w:rPr>
          <w:rFonts w:hint="eastAsia"/>
          <w:color w:val="auto"/>
        </w:rPr>
        <w:t>石油分公司</w:t>
      </w:r>
      <w:r>
        <w:rPr>
          <w:rFonts w:hint="eastAsia"/>
          <w:color w:val="auto"/>
          <w:lang w:val="en-US" w:eastAsia="zh-CN"/>
        </w:rPr>
        <w:t>第五加油站</w:t>
      </w:r>
    </w:p>
    <w:p>
      <w:pPr>
        <w:bidi w:val="0"/>
        <w:rPr>
          <w:rFonts w:hint="eastAsia"/>
          <w:color w:val="auto"/>
          <w:lang w:val="en-US" w:eastAsia="zh-CN"/>
        </w:rPr>
      </w:pPr>
      <w:r>
        <w:rPr>
          <w:rFonts w:hint="eastAsia"/>
          <w:color w:val="auto"/>
          <w:lang w:val="en-US" w:eastAsia="zh-CN"/>
        </w:rPr>
        <w:t>成立时间：1998年08月07日</w:t>
      </w:r>
    </w:p>
    <w:p>
      <w:pPr>
        <w:bidi w:val="0"/>
        <w:rPr>
          <w:rFonts w:hint="eastAsia"/>
          <w:color w:val="auto"/>
          <w:lang w:val="en-US" w:eastAsia="zh-CN"/>
        </w:rPr>
      </w:pPr>
      <w:r>
        <w:rPr>
          <w:rFonts w:hint="eastAsia"/>
          <w:color w:val="auto"/>
          <w:lang w:val="en-US" w:eastAsia="zh-CN"/>
        </w:rPr>
        <w:t>工商注册登记机关：上饶市市场监督管理局</w:t>
      </w:r>
    </w:p>
    <w:p>
      <w:pPr>
        <w:bidi w:val="0"/>
        <w:rPr>
          <w:rFonts w:hint="eastAsia"/>
          <w:color w:val="auto"/>
          <w:lang w:val="en-US" w:eastAsia="zh-CN"/>
        </w:rPr>
      </w:pPr>
      <w:r>
        <w:rPr>
          <w:rFonts w:hint="eastAsia"/>
          <w:color w:val="auto"/>
          <w:lang w:val="en-US" w:eastAsia="zh-CN"/>
        </w:rPr>
        <w:t>统一社会信用代码：91361121MA365R8262</w:t>
      </w:r>
    </w:p>
    <w:p>
      <w:pPr>
        <w:bidi w:val="0"/>
        <w:rPr>
          <w:rFonts w:hint="eastAsia"/>
          <w:color w:val="auto"/>
          <w:lang w:val="en-US" w:eastAsia="zh-CN"/>
        </w:rPr>
      </w:pPr>
      <w:r>
        <w:rPr>
          <w:rFonts w:hint="eastAsia"/>
          <w:color w:val="auto"/>
          <w:lang w:val="en-US" w:eastAsia="zh-CN"/>
        </w:rPr>
        <w:t>经营场所：江西省上饶市广信区320国道线罗桥路段</w:t>
      </w:r>
    </w:p>
    <w:p>
      <w:pPr>
        <w:bidi w:val="0"/>
        <w:rPr>
          <w:rFonts w:hint="eastAsia"/>
          <w:color w:val="auto"/>
          <w:lang w:val="en-US" w:eastAsia="zh-CN"/>
        </w:rPr>
      </w:pPr>
      <w:r>
        <w:rPr>
          <w:rFonts w:hint="eastAsia"/>
          <w:color w:val="auto"/>
          <w:lang w:val="en-US" w:eastAsia="zh-CN"/>
        </w:rPr>
        <w:t>企业负责人：章丽平</w:t>
      </w:r>
    </w:p>
    <w:p>
      <w:pPr>
        <w:bidi w:val="0"/>
        <w:rPr>
          <w:rFonts w:hint="default"/>
          <w:color w:val="auto"/>
          <w:lang w:val="en-US" w:eastAsia="zh-CN"/>
        </w:rPr>
      </w:pPr>
      <w:r>
        <w:rPr>
          <w:rFonts w:hint="eastAsia"/>
          <w:color w:val="auto"/>
          <w:lang w:val="en-US" w:eastAsia="zh-CN"/>
        </w:rPr>
        <w:t>企业类型：外商投资企业分公司</w:t>
      </w:r>
    </w:p>
    <w:p>
      <w:pPr>
        <w:pStyle w:val="3"/>
        <w:spacing w:before="312" w:beforeLines="100" w:line="416" w:lineRule="auto"/>
        <w:rPr>
          <w:rFonts w:hint="default" w:eastAsia="楷体"/>
          <w:color w:val="auto"/>
          <w:lang w:val="en-US" w:eastAsia="zh-CN"/>
        </w:rPr>
      </w:pPr>
      <w:bookmarkStart w:id="20" w:name="_Toc350517377"/>
      <w:bookmarkStart w:id="21" w:name="_Toc32720"/>
      <w:r>
        <w:rPr>
          <w:color w:val="auto"/>
        </w:rPr>
        <w:t>2.2</w:t>
      </w:r>
      <w:bookmarkEnd w:id="20"/>
      <w:r>
        <w:rPr>
          <w:rFonts w:hint="eastAsia" w:ascii="宋体" w:hAnsi="宋体" w:eastAsia="宋体" w:cs="宋体"/>
          <w:color w:val="auto"/>
          <w:lang w:val="en-US" w:eastAsia="zh-CN"/>
        </w:rPr>
        <w:t>建设项目概况</w:t>
      </w:r>
      <w:bookmarkEnd w:id="21"/>
    </w:p>
    <w:p>
      <w:pPr>
        <w:pStyle w:val="4"/>
        <w:numPr>
          <w:ilvl w:val="0"/>
          <w:numId w:val="0"/>
        </w:numPr>
        <w:spacing w:line="416" w:lineRule="auto"/>
        <w:rPr>
          <w:rFonts w:hint="eastAsia"/>
          <w:color w:val="auto"/>
          <w:lang w:val="en-US" w:eastAsia="zh-CN"/>
        </w:rPr>
      </w:pPr>
      <w:bookmarkStart w:id="22" w:name="_Toc3563"/>
      <w:r>
        <w:rPr>
          <w:rFonts w:hint="eastAsia" w:eastAsia="黑体"/>
          <w:b/>
          <w:color w:val="auto"/>
          <w:kern w:val="2"/>
          <w:sz w:val="28"/>
          <w:szCs w:val="28"/>
          <w:lang w:val="en-US" w:eastAsia="zh-CN" w:bidi="ar-SA"/>
        </w:rPr>
        <w:t>2.2.1</w:t>
      </w:r>
      <w:r>
        <w:rPr>
          <w:rFonts w:hint="eastAsia"/>
          <w:color w:val="auto"/>
          <w:lang w:val="en-US" w:eastAsia="zh-CN"/>
        </w:rPr>
        <w:t>项目背景</w:t>
      </w:r>
      <w:bookmarkEnd w:id="22"/>
    </w:p>
    <w:p>
      <w:pPr>
        <w:ind w:firstLine="560" w:firstLineChars="200"/>
        <w:rPr>
          <w:rFonts w:hint="eastAsia"/>
          <w:color w:val="auto"/>
          <w:sz w:val="28"/>
          <w:szCs w:val="28"/>
          <w:lang w:val="en-US" w:eastAsia="zh-CN"/>
        </w:rPr>
      </w:pPr>
      <w:r>
        <w:rPr>
          <w:rFonts w:hint="eastAsia"/>
          <w:color w:val="auto"/>
          <w:lang w:val="en-US" w:eastAsia="zh-CN"/>
        </w:rPr>
        <w:t>电动汽车具有零排放、无污染、能耗低、能源转化利用率高等优点，</w:t>
      </w:r>
      <w:r>
        <w:rPr>
          <w:rFonts w:hint="eastAsia"/>
          <w:color w:val="auto"/>
          <w:sz w:val="28"/>
          <w:szCs w:val="28"/>
          <w:lang w:val="en-US" w:eastAsia="zh-CN"/>
        </w:rPr>
        <w:t>我国电动汽车产业已进入快速发展新阶段。</w:t>
      </w:r>
    </w:p>
    <w:p>
      <w:pPr>
        <w:ind w:firstLine="560" w:firstLineChars="200"/>
        <w:rPr>
          <w:rFonts w:hint="default" w:eastAsia="宋体"/>
          <w:color w:val="auto"/>
          <w:sz w:val="28"/>
          <w:szCs w:val="28"/>
          <w:lang w:val="en-US" w:eastAsia="zh-CN"/>
        </w:rPr>
      </w:pPr>
      <w:r>
        <w:rPr>
          <w:rFonts w:hint="eastAsia"/>
          <w:color w:val="auto"/>
          <w:sz w:val="28"/>
          <w:szCs w:val="28"/>
          <w:lang w:val="en-US" w:eastAsia="zh-CN"/>
        </w:rPr>
        <w:t>2015年9月29日国务院办公厅印发《关于加快电动器材充电基础设施的指导意见》（国办发〔2015〕73号），2016年7月16日江西省人民政府办公厅印发《江西省人民政府办公厅关于加快电动汽车充电基础设施建设的实施意见》（赣府厅发[2016]32号 2016年），2023年2月3日，工信部网站发布了《关于组织开展公共领域车辆全面电动化先行区试点工作的通知》要求，新增公共充电桩(标准桩)与公共领域新能源汽车推广数量(标准车)比例力争达到1:1，高速公路服务区充电设施车位占比预期不低于小型停车位的10%等。2023年5月17日，国家发展改革委、国家能源局发布《关于加快推进充电基础设施建设更好支持新能源汽车下乡和乡村振兴的实施意见》，提出加强公共充电基础设施布局建设。支持地方政府结合实际开展县乡公共充电网络规划，并做好与国土空间规划、配电网规划等的衔接，加快实现适宜使用新能源汽车的地区充电站“县县全覆盖”、充电桩“乡乡全覆盖”。2023年6月，国务院办公厅印发《关于进一步构建高质量充电基础设施体系的指导意见》。《指导意见》提出，到2030年，基本建成覆盖广泛、规模适度、结构合理、功能完善的高质量充电基础设施体系，有力支撑新能源汽车产业发展，有效满足人民群众出行充电需求。</w:t>
      </w:r>
    </w:p>
    <w:p>
      <w:pPr>
        <w:pStyle w:val="4"/>
        <w:bidi w:val="0"/>
        <w:rPr>
          <w:rFonts w:hint="eastAsia"/>
          <w:color w:val="auto"/>
          <w:lang w:val="en-US" w:eastAsia="zh-CN"/>
        </w:rPr>
      </w:pPr>
      <w:bookmarkStart w:id="23" w:name="_Toc8210"/>
      <w:r>
        <w:rPr>
          <w:rFonts w:hint="eastAsia" w:eastAsia="黑体"/>
          <w:b/>
          <w:color w:val="auto"/>
          <w:kern w:val="2"/>
          <w:sz w:val="28"/>
          <w:szCs w:val="28"/>
          <w:lang w:val="en-US" w:eastAsia="zh-CN" w:bidi="ar-SA"/>
        </w:rPr>
        <w:t>2.2.2</w:t>
      </w:r>
      <w:r>
        <w:rPr>
          <w:rFonts w:hint="eastAsia"/>
          <w:color w:val="auto"/>
          <w:lang w:val="en-US" w:eastAsia="zh-CN"/>
        </w:rPr>
        <w:t>项目基本情况</w:t>
      </w:r>
      <w:bookmarkEnd w:id="23"/>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color w:val="auto"/>
          <w:lang w:val="en-US" w:eastAsia="zh-CN"/>
        </w:rPr>
      </w:pPr>
      <w:r>
        <w:rPr>
          <w:rFonts w:hint="eastAsia"/>
          <w:color w:val="auto"/>
          <w:lang w:val="en-US" w:eastAsia="zh-CN"/>
        </w:rPr>
        <w:t>根据《产业结构调整指导目录（2024年本）》（2023年修订），该项目属于其中“第一类 鼓励类”中“四、电力/5、电力消纳：电动汽车充电设施”。同时该项目不属于国土资源部、国家发展和改革委员会《限制用地项目目录（2012年本）》和《禁止用地项目目录（2012年本）》中限制、禁止用地项目。</w:t>
      </w:r>
    </w:p>
    <w:p>
      <w:pPr>
        <w:bidi w:val="0"/>
        <w:ind w:firstLine="560" w:firstLineChars="200"/>
        <w:rPr>
          <w:rFonts w:hint="eastAsia"/>
          <w:color w:val="auto"/>
          <w:lang w:val="en-US" w:eastAsia="zh-CN"/>
        </w:rPr>
      </w:pPr>
      <w:r>
        <w:rPr>
          <w:rFonts w:hint="eastAsia"/>
          <w:color w:val="auto"/>
          <w:lang w:val="en-US" w:eastAsia="zh-CN"/>
        </w:rPr>
        <w:t>根据中国石化销售股份有限公司江西上饶石油分公司提供的该项目工艺设计说明、设备清单及能耗情况以及现场调查情况，项目采取的工艺和设备均不属于限制类和淘汰类，且符合国家有关法律、法规和政策规定。</w:t>
      </w:r>
    </w:p>
    <w:p>
      <w:pPr>
        <w:bidi w:val="0"/>
        <w:ind w:firstLine="560" w:firstLineChars="200"/>
        <w:rPr>
          <w:rFonts w:hint="eastAsia"/>
          <w:color w:val="auto"/>
          <w:lang w:val="en-US" w:eastAsia="zh-CN"/>
        </w:rPr>
      </w:pPr>
      <w:r>
        <w:rPr>
          <w:rFonts w:hint="eastAsia"/>
          <w:color w:val="auto"/>
          <w:lang w:val="en-US" w:eastAsia="zh-CN"/>
        </w:rPr>
        <w:t>2023年9月22日，中国石化销售股份有限公司江西石油分公司对中国石化销售股份有限公司江西上饶石油分公司下发了《关于上饶石油分公司广信第五加油站增设充电站项目立项的批复》，同意开展中国石化销售股份有限公司江西上饶市广信石油分公司第五加油站改造项目（充电站）的建设活动。</w:t>
      </w:r>
    </w:p>
    <w:p>
      <w:pPr>
        <w:bidi w:val="0"/>
        <w:ind w:firstLine="560"/>
        <w:rPr>
          <w:rFonts w:hint="default"/>
          <w:color w:val="auto"/>
          <w:lang w:val="en-US" w:eastAsia="zh-CN"/>
        </w:rPr>
      </w:pPr>
      <w:r>
        <w:rPr>
          <w:rFonts w:hint="eastAsia"/>
          <w:color w:val="auto"/>
          <w:lang w:val="en-US" w:eastAsia="zh-CN"/>
        </w:rPr>
        <w:t>根据</w:t>
      </w:r>
      <w:r>
        <w:rPr>
          <w:rFonts w:hint="default"/>
          <w:color w:val="auto"/>
          <w:lang w:val="en-US" w:eastAsia="zh-CN"/>
        </w:rPr>
        <w:t>《江西省电动汽车充电基础设施建设运营管理办法(试行)》</w:t>
      </w:r>
      <w:r>
        <w:rPr>
          <w:rFonts w:hint="eastAsia"/>
          <w:color w:val="auto"/>
          <w:lang w:val="en-US" w:eastAsia="zh-CN"/>
        </w:rPr>
        <w:t>第一章/第六条/（二）已建（在建）建筑充电设施：</w:t>
      </w:r>
      <w:r>
        <w:rPr>
          <w:rFonts w:hint="default"/>
          <w:color w:val="auto"/>
          <w:lang w:val="en-US" w:eastAsia="zh-CN"/>
        </w:rPr>
        <w:t>已建、在建的住宅小区、大型公共建筑物配建停车场及社会公共停车场，应通过改造、加装等方式建设充电设施。在符合国家有关安全标准、不影响车辆进出的前提下，鼓励在现有加油加气站增建充电设施。</w:t>
      </w:r>
    </w:p>
    <w:p>
      <w:pPr>
        <w:bidi w:val="0"/>
        <w:ind w:firstLine="560"/>
        <w:rPr>
          <w:rFonts w:hint="eastAsia"/>
          <w:color w:val="auto"/>
          <w:lang w:val="en-US" w:eastAsia="zh-CN"/>
        </w:rPr>
      </w:pPr>
      <w:r>
        <w:rPr>
          <w:rFonts w:hint="eastAsia"/>
          <w:color w:val="auto"/>
          <w:lang w:val="en-US" w:eastAsia="zh-CN"/>
        </w:rPr>
        <w:t>该项目选址符合</w:t>
      </w:r>
      <w:r>
        <w:rPr>
          <w:rFonts w:hint="default"/>
          <w:color w:val="auto"/>
          <w:lang w:val="en-US" w:eastAsia="zh-CN"/>
        </w:rPr>
        <w:t>《江西省电动汽车充电基础设施建设运营管理办法(试行)》</w:t>
      </w:r>
      <w:r>
        <w:rPr>
          <w:rFonts w:hint="eastAsia"/>
          <w:color w:val="auto"/>
          <w:lang w:val="en-US" w:eastAsia="zh-CN"/>
        </w:rPr>
        <w:t>相关要求。</w:t>
      </w:r>
    </w:p>
    <w:p>
      <w:pPr>
        <w:bidi w:val="0"/>
        <w:ind w:firstLine="560"/>
        <w:rPr>
          <w:rFonts w:hint="eastAsia"/>
          <w:color w:val="auto"/>
          <w:sz w:val="28"/>
          <w:szCs w:val="28"/>
          <w:lang w:eastAsia="zh-CN"/>
        </w:rPr>
      </w:pPr>
      <w:r>
        <w:rPr>
          <w:rFonts w:hint="eastAsia"/>
          <w:color w:val="auto"/>
          <w:lang w:val="en-US" w:eastAsia="zh-CN"/>
        </w:rPr>
        <w:t>项目名称：中国石化销售股份有限公司江西上饶市广信石油分公司第五加油站改造项目（充电站）</w:t>
      </w:r>
    </w:p>
    <w:p>
      <w:pPr>
        <w:bidi w:val="0"/>
        <w:ind w:firstLine="560"/>
        <w:rPr>
          <w:rFonts w:hint="eastAsia" w:eastAsia="宋体"/>
          <w:color w:val="auto"/>
          <w:sz w:val="28"/>
          <w:szCs w:val="28"/>
          <w:lang w:val="en-US" w:eastAsia="zh-CN"/>
        </w:rPr>
      </w:pPr>
      <w:r>
        <w:rPr>
          <w:rFonts w:hint="eastAsia"/>
          <w:color w:val="auto"/>
          <w:spacing w:val="-6"/>
          <w:sz w:val="28"/>
          <w:szCs w:val="28"/>
          <w:lang w:val="en-US" w:eastAsia="zh-CN"/>
        </w:rPr>
        <w:t>建设地点：</w:t>
      </w:r>
      <w:r>
        <w:rPr>
          <w:rFonts w:hint="eastAsia"/>
          <w:color w:val="auto"/>
          <w:spacing w:val="-6"/>
          <w:sz w:val="28"/>
          <w:szCs w:val="28"/>
          <w:lang w:eastAsia="zh-CN"/>
        </w:rPr>
        <w:t>中国石化销售股份有限公司江西上饶市广信石油分公司第五加油站</w:t>
      </w:r>
    </w:p>
    <w:p>
      <w:pPr>
        <w:bidi w:val="0"/>
        <w:ind w:firstLine="560"/>
        <w:rPr>
          <w:rFonts w:hint="eastAsia" w:eastAsia="宋体"/>
          <w:color w:val="auto"/>
          <w:sz w:val="28"/>
          <w:szCs w:val="28"/>
          <w:lang w:eastAsia="zh-CN"/>
        </w:rPr>
      </w:pPr>
      <w:r>
        <w:rPr>
          <w:rFonts w:hint="eastAsia"/>
          <w:color w:val="auto"/>
          <w:sz w:val="28"/>
          <w:szCs w:val="28"/>
          <w:lang w:val="en-US" w:eastAsia="zh-CN"/>
        </w:rPr>
        <w:t>建设单位：</w:t>
      </w:r>
      <w:r>
        <w:rPr>
          <w:rFonts w:hint="eastAsia"/>
          <w:color w:val="auto"/>
          <w:sz w:val="28"/>
          <w:szCs w:val="28"/>
        </w:rPr>
        <w:t>中国石化销售股份有限公司</w:t>
      </w:r>
      <w:r>
        <w:rPr>
          <w:rFonts w:hint="eastAsia"/>
          <w:color w:val="auto"/>
          <w:sz w:val="28"/>
          <w:szCs w:val="28"/>
          <w:lang w:eastAsia="zh-CN"/>
        </w:rPr>
        <w:t>江西上饶石油分公司</w:t>
      </w:r>
    </w:p>
    <w:p>
      <w:pPr>
        <w:bidi w:val="0"/>
        <w:ind w:firstLine="560"/>
        <w:rPr>
          <w:rFonts w:hint="eastAsia"/>
          <w:color w:val="auto"/>
          <w:sz w:val="28"/>
          <w:szCs w:val="28"/>
          <w:lang w:val="en-US" w:eastAsia="zh-CN"/>
        </w:rPr>
      </w:pPr>
      <w:r>
        <w:rPr>
          <w:rFonts w:hint="eastAsia"/>
          <w:color w:val="auto"/>
          <w:sz w:val="28"/>
          <w:szCs w:val="28"/>
          <w:lang w:val="en-US" w:eastAsia="zh-CN"/>
        </w:rPr>
        <w:t>项目性质：改建</w:t>
      </w:r>
    </w:p>
    <w:p>
      <w:pPr>
        <w:bidi w:val="0"/>
        <w:ind w:firstLine="560"/>
        <w:rPr>
          <w:rFonts w:hint="eastAsia"/>
          <w:color w:val="auto"/>
          <w:sz w:val="28"/>
          <w:szCs w:val="28"/>
          <w:lang w:val="en-US" w:eastAsia="zh-CN"/>
        </w:rPr>
      </w:pPr>
      <w:r>
        <w:rPr>
          <w:rFonts w:hint="eastAsia"/>
          <w:color w:val="auto"/>
          <w:sz w:val="28"/>
          <w:szCs w:val="28"/>
          <w:lang w:val="en-US" w:eastAsia="zh-CN"/>
        </w:rPr>
        <w:t>产业政策：鼓励类</w:t>
      </w:r>
    </w:p>
    <w:p>
      <w:pPr>
        <w:bidi w:val="0"/>
        <w:ind w:firstLine="560"/>
        <w:rPr>
          <w:rFonts w:hint="eastAsia"/>
          <w:color w:val="auto"/>
          <w:sz w:val="28"/>
          <w:szCs w:val="28"/>
          <w:lang w:val="en-US" w:eastAsia="zh-CN"/>
        </w:rPr>
      </w:pPr>
      <w:r>
        <w:rPr>
          <w:rFonts w:hint="eastAsia"/>
          <w:color w:val="auto"/>
          <w:sz w:val="28"/>
          <w:szCs w:val="28"/>
          <w:lang w:val="en-US" w:eastAsia="zh-CN"/>
        </w:rPr>
        <w:t>项目资本金：325万元</w:t>
      </w:r>
    </w:p>
    <w:p>
      <w:pPr>
        <w:pStyle w:val="4"/>
        <w:bidi w:val="0"/>
        <w:rPr>
          <w:rFonts w:hint="eastAsia"/>
          <w:color w:val="auto"/>
          <w:lang w:val="en-US" w:eastAsia="zh-CN"/>
        </w:rPr>
      </w:pPr>
      <w:bookmarkStart w:id="24" w:name="_Toc21222"/>
      <w:r>
        <w:rPr>
          <w:rFonts w:hint="eastAsia"/>
          <w:color w:val="auto"/>
          <w:lang w:val="en-US" w:eastAsia="zh-CN"/>
        </w:rPr>
        <w:t>2.2.3主要建设内容及规模</w:t>
      </w:r>
      <w:bookmarkEnd w:id="24"/>
    </w:p>
    <w:p>
      <w:pPr>
        <w:ind w:firstLine="560" w:firstLineChars="200"/>
        <w:rPr>
          <w:rFonts w:hint="eastAsia"/>
          <w:color w:val="auto"/>
          <w:sz w:val="28"/>
          <w:szCs w:val="28"/>
          <w:highlight w:val="none"/>
          <w:lang w:val="en-US" w:eastAsia="zh-CN"/>
        </w:rPr>
      </w:pPr>
      <w:r>
        <w:rPr>
          <w:rFonts w:hint="eastAsia"/>
          <w:color w:val="auto"/>
          <w:sz w:val="28"/>
          <w:szCs w:val="28"/>
          <w:lang w:val="en-US" w:eastAsia="zh-CN"/>
        </w:rPr>
        <w:t>项目拟建设规模：1）新设入口道闸1个，出口道闸3个；2）新设60kw快充停车位90个；3）新设1600kva箱式变压器4座，相关的充电设备进行配套；4）场地进行硬化处理，硬化面积为3292m</w:t>
      </w:r>
      <w:r>
        <w:rPr>
          <w:rFonts w:hint="eastAsia"/>
          <w:color w:val="auto"/>
          <w:sz w:val="28"/>
          <w:szCs w:val="28"/>
          <w:vertAlign w:val="superscript"/>
          <w:lang w:val="en-US" w:eastAsia="zh-CN"/>
        </w:rPr>
        <w:t>2</w:t>
      </w:r>
      <w:r>
        <w:rPr>
          <w:rFonts w:hint="eastAsia"/>
          <w:color w:val="auto"/>
          <w:sz w:val="28"/>
          <w:szCs w:val="28"/>
          <w:lang w:val="en-US" w:eastAsia="zh-CN"/>
        </w:rPr>
        <w:t>。</w:t>
      </w:r>
      <w:r>
        <w:rPr>
          <w:rFonts w:hint="eastAsia"/>
          <w:color w:val="auto"/>
          <w:sz w:val="28"/>
          <w:szCs w:val="28"/>
          <w:highlight w:val="none"/>
          <w:lang w:val="en-US" w:eastAsia="zh-CN"/>
        </w:rPr>
        <w:t>配套建设充电监控系统、供电监控系统和安防监控系统、照明系统以及高低压电缆等。</w:t>
      </w:r>
    </w:p>
    <w:p>
      <w:pPr>
        <w:pStyle w:val="43"/>
        <w:bidi w:val="0"/>
        <w:rPr>
          <w:rFonts w:hint="eastAsia"/>
          <w:color w:val="auto"/>
          <w:lang w:val="en-US" w:eastAsia="zh-CN"/>
        </w:rPr>
      </w:pPr>
      <w:r>
        <w:rPr>
          <w:rFonts w:hint="eastAsia"/>
          <w:color w:val="auto"/>
          <w:lang w:val="en-US" w:eastAsia="zh-CN"/>
        </w:rPr>
        <w:t>表2.2-1主要设备一览表</w:t>
      </w:r>
    </w:p>
    <w:tbl>
      <w:tblPr>
        <w:tblStyle w:val="30"/>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368"/>
        <w:gridCol w:w="1898"/>
        <w:gridCol w:w="735"/>
        <w:gridCol w:w="665"/>
        <w:gridCol w:w="2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序号</w:t>
            </w:r>
          </w:p>
        </w:tc>
        <w:tc>
          <w:tcPr>
            <w:tcW w:w="236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设备名称</w:t>
            </w:r>
          </w:p>
        </w:tc>
        <w:tc>
          <w:tcPr>
            <w:tcW w:w="189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规格型号</w:t>
            </w:r>
          </w:p>
        </w:tc>
        <w:tc>
          <w:tcPr>
            <w:tcW w:w="73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数量</w:t>
            </w:r>
          </w:p>
        </w:tc>
        <w:tc>
          <w:tcPr>
            <w:tcW w:w="66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单位</w:t>
            </w:r>
          </w:p>
        </w:tc>
        <w:tc>
          <w:tcPr>
            <w:tcW w:w="2991"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1</w:t>
            </w:r>
          </w:p>
        </w:tc>
        <w:tc>
          <w:tcPr>
            <w:tcW w:w="236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箱式变压器</w:t>
            </w:r>
          </w:p>
        </w:tc>
        <w:tc>
          <w:tcPr>
            <w:tcW w:w="189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color w:val="auto"/>
                <w:lang w:val="en-US" w:eastAsia="zh-CN"/>
              </w:rPr>
            </w:pPr>
            <w:r>
              <w:rPr>
                <w:rFonts w:hint="eastAsia"/>
                <w:color w:val="auto"/>
                <w:lang w:val="en-US" w:eastAsia="zh-CN"/>
              </w:rPr>
              <w:t>1600KVA</w:t>
            </w:r>
          </w:p>
        </w:tc>
        <w:tc>
          <w:tcPr>
            <w:tcW w:w="73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4</w:t>
            </w:r>
          </w:p>
        </w:tc>
        <w:tc>
          <w:tcPr>
            <w:tcW w:w="66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座</w:t>
            </w:r>
          </w:p>
        </w:tc>
        <w:tc>
          <w:tcPr>
            <w:tcW w:w="2991"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新建，拟设在充电区四角处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Merge w:val="restart"/>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ascii="Times New Roman" w:hAnsi="Times New Roman" w:eastAsia="宋体" w:cs="Times New Roman"/>
                <w:color w:val="auto"/>
                <w:kern w:val="18"/>
                <w:sz w:val="21"/>
                <w:szCs w:val="21"/>
                <w:lang w:val="en-US" w:eastAsia="zh-CN" w:bidi="ar-SA"/>
              </w:rPr>
            </w:pPr>
            <w:r>
              <w:rPr>
                <w:rFonts w:hint="eastAsia"/>
                <w:color w:val="auto"/>
                <w:lang w:val="en-US" w:eastAsia="zh-CN"/>
              </w:rPr>
              <w:t>2</w:t>
            </w:r>
          </w:p>
        </w:tc>
        <w:tc>
          <w:tcPr>
            <w:tcW w:w="2368" w:type="dxa"/>
            <w:vMerge w:val="restart"/>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控制柜</w:t>
            </w:r>
          </w:p>
        </w:tc>
        <w:tc>
          <w:tcPr>
            <w:tcW w:w="189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480KW</w:t>
            </w:r>
          </w:p>
        </w:tc>
        <w:tc>
          <w:tcPr>
            <w:tcW w:w="73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9</w:t>
            </w:r>
          </w:p>
        </w:tc>
        <w:tc>
          <w:tcPr>
            <w:tcW w:w="66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个</w:t>
            </w:r>
          </w:p>
        </w:tc>
        <w:tc>
          <w:tcPr>
            <w:tcW w:w="2991"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新设，枪线250A，一机8枪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color w:val="auto"/>
                <w:lang w:val="en-US" w:eastAsia="zh-CN"/>
              </w:rPr>
            </w:pPr>
          </w:p>
        </w:tc>
        <w:tc>
          <w:tcPr>
            <w:tcW w:w="2368" w:type="dxa"/>
            <w:vMerge w:val="continue"/>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val="en-US" w:eastAsia="zh-CN"/>
              </w:rPr>
            </w:pPr>
          </w:p>
        </w:tc>
        <w:tc>
          <w:tcPr>
            <w:tcW w:w="189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360KW</w:t>
            </w:r>
          </w:p>
        </w:tc>
        <w:tc>
          <w:tcPr>
            <w:tcW w:w="73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1</w:t>
            </w:r>
          </w:p>
        </w:tc>
        <w:tc>
          <w:tcPr>
            <w:tcW w:w="6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个</w:t>
            </w:r>
          </w:p>
        </w:tc>
        <w:tc>
          <w:tcPr>
            <w:tcW w:w="29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新设，枪线250A，一机6枪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Merge w:val="continue"/>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color w:val="auto"/>
                <w:lang w:val="en-US" w:eastAsia="zh-CN"/>
              </w:rPr>
            </w:pPr>
          </w:p>
        </w:tc>
        <w:tc>
          <w:tcPr>
            <w:tcW w:w="2368" w:type="dxa"/>
            <w:vMerge w:val="continue"/>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val="en-US" w:eastAsia="zh-CN"/>
              </w:rPr>
            </w:pPr>
          </w:p>
        </w:tc>
        <w:tc>
          <w:tcPr>
            <w:tcW w:w="189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240KW</w:t>
            </w:r>
          </w:p>
        </w:tc>
        <w:tc>
          <w:tcPr>
            <w:tcW w:w="73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3</w:t>
            </w:r>
          </w:p>
        </w:tc>
        <w:tc>
          <w:tcPr>
            <w:tcW w:w="665"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个</w:t>
            </w:r>
          </w:p>
        </w:tc>
        <w:tc>
          <w:tcPr>
            <w:tcW w:w="29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新设，枪线250A，一机4枪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77"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3</w:t>
            </w:r>
          </w:p>
        </w:tc>
        <w:tc>
          <w:tcPr>
            <w:tcW w:w="236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环网柜</w:t>
            </w:r>
          </w:p>
        </w:tc>
        <w:tc>
          <w:tcPr>
            <w:tcW w:w="189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w:t>
            </w:r>
          </w:p>
        </w:tc>
        <w:tc>
          <w:tcPr>
            <w:tcW w:w="73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2</w:t>
            </w:r>
          </w:p>
        </w:tc>
        <w:tc>
          <w:tcPr>
            <w:tcW w:w="66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个</w:t>
            </w:r>
          </w:p>
        </w:tc>
        <w:tc>
          <w:tcPr>
            <w:tcW w:w="2991"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新设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77"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eastAsia" w:ascii="Times New Roman" w:hAnsi="Times New Roman" w:eastAsia="宋体" w:cs="Times New Roman"/>
                <w:color w:val="auto"/>
                <w:kern w:val="18"/>
                <w:sz w:val="21"/>
                <w:szCs w:val="21"/>
                <w:lang w:val="en-US" w:eastAsia="zh-CN" w:bidi="ar-SA"/>
              </w:rPr>
            </w:pPr>
            <w:r>
              <w:rPr>
                <w:rFonts w:hint="eastAsia"/>
                <w:color w:val="auto"/>
                <w:lang w:val="en-US" w:eastAsia="zh-CN"/>
              </w:rPr>
              <w:t>4</w:t>
            </w:r>
          </w:p>
        </w:tc>
        <w:tc>
          <w:tcPr>
            <w:tcW w:w="236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eastAsia"/>
                <w:color w:val="auto"/>
                <w:lang w:val="en-US" w:eastAsia="zh-CN"/>
              </w:rPr>
            </w:pPr>
            <w:r>
              <w:rPr>
                <w:rFonts w:hint="eastAsia"/>
                <w:color w:val="auto"/>
                <w:lang w:val="en-US" w:eastAsia="zh-CN"/>
              </w:rPr>
              <w:t>计量柜</w:t>
            </w:r>
          </w:p>
        </w:tc>
        <w:tc>
          <w:tcPr>
            <w:tcW w:w="189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w:t>
            </w:r>
          </w:p>
        </w:tc>
        <w:tc>
          <w:tcPr>
            <w:tcW w:w="73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1</w:t>
            </w:r>
          </w:p>
        </w:tc>
        <w:tc>
          <w:tcPr>
            <w:tcW w:w="66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个</w:t>
            </w:r>
          </w:p>
        </w:tc>
        <w:tc>
          <w:tcPr>
            <w:tcW w:w="2991"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新设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5</w:t>
            </w:r>
          </w:p>
        </w:tc>
        <w:tc>
          <w:tcPr>
            <w:tcW w:w="236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60kw快充充电停车位</w:t>
            </w:r>
          </w:p>
        </w:tc>
        <w:tc>
          <w:tcPr>
            <w:tcW w:w="189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60KW,输出电压范围20-1000V，落地式直流充电桩</w:t>
            </w:r>
          </w:p>
        </w:tc>
        <w:tc>
          <w:tcPr>
            <w:tcW w:w="73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90</w:t>
            </w:r>
          </w:p>
        </w:tc>
        <w:tc>
          <w:tcPr>
            <w:tcW w:w="66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个</w:t>
            </w:r>
          </w:p>
        </w:tc>
        <w:tc>
          <w:tcPr>
            <w:tcW w:w="2991"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rFonts w:hint="default"/>
                <w:color w:val="auto"/>
                <w:lang w:val="en-US" w:eastAsia="zh-CN"/>
              </w:rPr>
            </w:pPr>
            <w:r>
              <w:rPr>
                <w:rFonts w:hint="eastAsia"/>
                <w:color w:val="auto"/>
                <w:lang w:val="en-US" w:eastAsia="zh-CN"/>
              </w:rPr>
              <w:t>新建，恒功率范围300-1000KW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6</w:t>
            </w:r>
          </w:p>
        </w:tc>
        <w:tc>
          <w:tcPr>
            <w:tcW w:w="236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视频监控系统</w:t>
            </w:r>
          </w:p>
        </w:tc>
        <w:tc>
          <w:tcPr>
            <w:tcW w:w="1898"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default" w:ascii="Times New Roman" w:hAnsi="Times New Roman" w:eastAsia="宋体" w:cs="Times New Roman"/>
                <w:color w:val="auto"/>
                <w:kern w:val="18"/>
                <w:sz w:val="21"/>
                <w:szCs w:val="21"/>
                <w:lang w:val="en-US" w:eastAsia="zh-CN" w:bidi="ar-SA"/>
              </w:rPr>
            </w:pPr>
            <w:r>
              <w:rPr>
                <w:rFonts w:hint="eastAsia" w:cs="Times New Roman"/>
                <w:color w:val="auto"/>
                <w:kern w:val="18"/>
                <w:sz w:val="21"/>
                <w:szCs w:val="21"/>
                <w:lang w:val="en-US" w:eastAsia="zh-CN" w:bidi="ar-SA"/>
              </w:rPr>
              <w:t>-</w:t>
            </w:r>
          </w:p>
        </w:tc>
        <w:tc>
          <w:tcPr>
            <w:tcW w:w="73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1</w:t>
            </w:r>
          </w:p>
        </w:tc>
        <w:tc>
          <w:tcPr>
            <w:tcW w:w="665"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套</w:t>
            </w:r>
          </w:p>
        </w:tc>
        <w:tc>
          <w:tcPr>
            <w:tcW w:w="2991" w:type="dxa"/>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rPr>
                <w:rFonts w:hint="default" w:ascii="Times New Roman" w:hAnsi="Times New Roman" w:eastAsia="宋体" w:cs="Times New Roman"/>
                <w:color w:val="auto"/>
                <w:kern w:val="18"/>
                <w:sz w:val="21"/>
                <w:szCs w:val="21"/>
                <w:lang w:val="en-US" w:eastAsia="zh-CN" w:bidi="ar-SA"/>
              </w:rPr>
            </w:pPr>
            <w:r>
              <w:rPr>
                <w:rFonts w:hint="eastAsia"/>
                <w:color w:val="auto"/>
                <w:lang w:val="en-US" w:eastAsia="zh-CN"/>
              </w:rPr>
              <w:t>新设</w:t>
            </w:r>
          </w:p>
        </w:tc>
      </w:tr>
    </w:tbl>
    <w:p>
      <w:pPr>
        <w:pStyle w:val="3"/>
        <w:bidi w:val="0"/>
        <w:rPr>
          <w:rFonts w:hint="eastAsia" w:ascii="宋体" w:hAnsi="宋体" w:cs="宋体"/>
          <w:color w:val="auto"/>
          <w:lang w:val="en-US" w:eastAsia="zh-CN"/>
        </w:rPr>
      </w:pPr>
      <w:bookmarkStart w:id="25" w:name="_Toc25218"/>
      <w:r>
        <w:rPr>
          <w:rFonts w:hint="default" w:ascii="Times New Roman" w:hAnsi="Times New Roman" w:eastAsia="宋体" w:cs="Times New Roman"/>
          <w:color w:val="auto"/>
          <w:lang w:val="en-US" w:eastAsia="zh-CN"/>
        </w:rPr>
        <w:t>2.3</w:t>
      </w:r>
      <w:r>
        <w:rPr>
          <w:rFonts w:hint="eastAsia" w:ascii="宋体" w:hAnsi="宋体" w:cs="宋体"/>
          <w:color w:val="auto"/>
          <w:lang w:val="en-US" w:eastAsia="zh-CN"/>
        </w:rPr>
        <w:t>建设项目选址概况</w:t>
      </w:r>
      <w:bookmarkEnd w:id="25"/>
    </w:p>
    <w:p>
      <w:pPr>
        <w:pStyle w:val="4"/>
        <w:bidi w:val="0"/>
        <w:rPr>
          <w:rFonts w:hint="default"/>
          <w:color w:val="auto"/>
          <w:lang w:val="en-US" w:eastAsia="zh-CN"/>
        </w:rPr>
      </w:pPr>
      <w:bookmarkStart w:id="26" w:name="_Toc20375"/>
      <w:r>
        <w:rPr>
          <w:rFonts w:hint="eastAsia"/>
          <w:color w:val="auto"/>
          <w:lang w:val="en-US" w:eastAsia="zh-CN"/>
        </w:rPr>
        <w:t>2.3.1地理位置与周边环境</w:t>
      </w:r>
      <w:bookmarkEnd w:id="26"/>
    </w:p>
    <w:p>
      <w:pPr>
        <w:keepNext w:val="0"/>
        <w:keepLines w:val="0"/>
        <w:pageBreakBefore w:val="0"/>
        <w:widowControl w:val="0"/>
        <w:kinsoku/>
        <w:wordWrap/>
        <w:overflowPunct/>
        <w:topLinePunct w:val="0"/>
        <w:bidi w:val="0"/>
        <w:snapToGrid/>
        <w:spacing w:line="600" w:lineRule="exact"/>
        <w:ind w:firstLine="560" w:firstLineChars="200"/>
        <w:textAlignment w:val="auto"/>
        <w:outlineLvl w:val="9"/>
        <w:rPr>
          <w:rFonts w:hint="default" w:ascii="Times New Roman" w:hAnsi="Times New Roman" w:eastAsia="宋体" w:cs="Times New Roman"/>
          <w:color w:val="auto"/>
          <w:spacing w:val="-6"/>
          <w:sz w:val="28"/>
          <w:szCs w:val="28"/>
          <w:lang w:val="en-US" w:eastAsia="zh-CN"/>
        </w:rPr>
      </w:pPr>
      <w:r>
        <w:drawing>
          <wp:anchor distT="0" distB="0" distL="114300" distR="114300" simplePos="0" relativeHeight="251666432" behindDoc="0" locked="0" layoutInCell="1" allowOverlap="1">
            <wp:simplePos x="0" y="0"/>
            <wp:positionH relativeFrom="column">
              <wp:posOffset>322580</wp:posOffset>
            </wp:positionH>
            <wp:positionV relativeFrom="paragraph">
              <wp:posOffset>1197610</wp:posOffset>
            </wp:positionV>
            <wp:extent cx="4996180" cy="2678430"/>
            <wp:effectExtent l="0" t="0" r="13970" b="7620"/>
            <wp:wrapTopAndBottom/>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6"/>
                    <a:stretch>
                      <a:fillRect/>
                    </a:stretch>
                  </pic:blipFill>
                  <pic:spPr>
                    <a:xfrm>
                      <a:off x="0" y="0"/>
                      <a:ext cx="4996180" cy="2678430"/>
                    </a:xfrm>
                    <a:prstGeom prst="rect">
                      <a:avLst/>
                    </a:prstGeom>
                    <a:noFill/>
                    <a:ln>
                      <a:noFill/>
                    </a:ln>
                  </pic:spPr>
                </pic:pic>
              </a:graphicData>
            </a:graphic>
          </wp:anchor>
        </w:drawing>
      </w:r>
      <w:r>
        <w:rPr>
          <w:rFonts w:hint="eastAsia" w:cs="Times New Roman"/>
          <w:color w:val="auto"/>
          <w:sz w:val="28"/>
          <w:szCs w:val="28"/>
          <w:lang w:val="en-US" w:eastAsia="zh-CN"/>
        </w:rPr>
        <w:t>中国石化销售股份有限公司江西上饶广信石油分公司第五加油站</w:t>
      </w:r>
      <w:r>
        <w:rPr>
          <w:rFonts w:hint="eastAsia" w:ascii="Times New Roman" w:hAnsi="Times New Roman" w:cs="Times New Roman"/>
          <w:color w:val="auto"/>
          <w:spacing w:val="-6"/>
          <w:sz w:val="28"/>
          <w:szCs w:val="28"/>
          <w:lang w:val="en-US" w:eastAsia="zh-CN"/>
        </w:rPr>
        <w:t>改造</w:t>
      </w:r>
      <w:r>
        <w:rPr>
          <w:rFonts w:hint="eastAsia" w:ascii="Times New Roman" w:hAnsi="Times New Roman" w:cs="Times New Roman"/>
          <w:color w:val="auto"/>
          <w:spacing w:val="-6"/>
          <w:sz w:val="28"/>
          <w:szCs w:val="28"/>
          <w:lang w:eastAsia="zh-CN"/>
        </w:rPr>
        <w:t>项目（</w:t>
      </w:r>
      <w:r>
        <w:rPr>
          <w:rFonts w:hint="eastAsia" w:ascii="Times New Roman" w:hAnsi="Times New Roman" w:cs="Times New Roman"/>
          <w:color w:val="auto"/>
          <w:spacing w:val="-6"/>
          <w:sz w:val="28"/>
          <w:szCs w:val="28"/>
          <w:lang w:val="en-US" w:eastAsia="zh-CN"/>
        </w:rPr>
        <w:t>充电站</w:t>
      </w:r>
      <w:r>
        <w:rPr>
          <w:rFonts w:hint="eastAsia" w:ascii="Times New Roman" w:hAnsi="Times New Roman" w:cs="Times New Roman"/>
          <w:color w:val="auto"/>
          <w:spacing w:val="-6"/>
          <w:sz w:val="28"/>
          <w:szCs w:val="28"/>
          <w:lang w:eastAsia="zh-CN"/>
        </w:rPr>
        <w:t>）</w:t>
      </w:r>
      <w:r>
        <w:rPr>
          <w:rFonts w:hint="eastAsia" w:ascii="Times New Roman" w:hAnsi="Times New Roman" w:eastAsia="宋体" w:cs="Times New Roman"/>
          <w:color w:val="auto"/>
          <w:spacing w:val="-6"/>
          <w:sz w:val="28"/>
          <w:szCs w:val="28"/>
          <w:lang w:eastAsia="zh-CN"/>
        </w:rPr>
        <w:t>位于</w:t>
      </w:r>
      <w:r>
        <w:rPr>
          <w:rFonts w:hint="eastAsia" w:cs="Times New Roman"/>
          <w:bCs/>
          <w:color w:val="auto"/>
          <w:sz w:val="28"/>
          <w:szCs w:val="28"/>
          <w:highlight w:val="none"/>
          <w:lang w:val="en-US" w:eastAsia="zh-CN"/>
        </w:rPr>
        <w:t>江西省上饶市广信区320国道线罗桥路段（三清山大道）</w:t>
      </w:r>
      <w:r>
        <w:rPr>
          <w:rFonts w:hint="eastAsia" w:ascii="宋体" w:hAnsi="宋体" w:cs="宋体"/>
          <w:sz w:val="28"/>
          <w:szCs w:val="28"/>
          <w:lang w:eastAsia="zh-CN"/>
        </w:rPr>
        <w:t>，</w:t>
      </w:r>
      <w:r>
        <w:rPr>
          <w:rFonts w:hint="eastAsia" w:ascii="宋体" w:hAnsi="宋体" w:cs="宋体"/>
          <w:sz w:val="28"/>
          <w:szCs w:val="28"/>
          <w:lang w:val="en-US" w:eastAsia="zh-CN"/>
        </w:rPr>
        <w:t>站区整体坐南朝北</w:t>
      </w:r>
      <w:r>
        <w:rPr>
          <w:rFonts w:hint="eastAsia" w:cs="Times New Roman"/>
          <w:color w:val="auto"/>
          <w:spacing w:val="-6"/>
          <w:sz w:val="28"/>
          <w:szCs w:val="28"/>
          <w:lang w:val="en-US" w:eastAsia="zh-CN"/>
        </w:rPr>
        <w:t>。项目位置见下图：</w:t>
      </w:r>
    </w:p>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lang w:val="en-US" w:eastAsia="zh-CN"/>
        </w:rPr>
      </w:pPr>
      <w:r>
        <w:rPr>
          <w:rFonts w:hint="eastAsia"/>
          <w:color w:val="auto"/>
          <w:lang w:val="en-US" w:eastAsia="zh-CN"/>
        </w:rPr>
        <w:t>图2.3-1项目位置卫星图</w:t>
      </w:r>
    </w:p>
    <w:p>
      <w:pPr>
        <w:ind w:firstLine="560" w:firstLineChars="200"/>
        <w:rPr>
          <w:rFonts w:hint="eastAsia" w:ascii="宋体" w:hAnsi="宋体" w:cs="宋体"/>
          <w:color w:val="auto"/>
          <w:lang w:val="en-US" w:eastAsia="zh-CN"/>
        </w:rPr>
      </w:pPr>
      <w:r>
        <w:rPr>
          <w:rFonts w:hint="eastAsia" w:ascii="宋体" w:hAnsi="宋体" w:cs="宋体"/>
          <w:color w:val="auto"/>
          <w:lang w:val="en-US" w:eastAsia="zh-CN"/>
        </w:rPr>
        <w:t>本项目整体坐南朝北，其周边环境为：</w:t>
      </w:r>
    </w:p>
    <w:p>
      <w:pPr>
        <w:keepNext w:val="0"/>
        <w:keepLines w:val="0"/>
        <w:pageBreakBefore w:val="0"/>
        <w:widowControl w:val="0"/>
        <w:kinsoku/>
        <w:wordWrap/>
        <w:overflowPunct/>
        <w:topLinePunct w:val="0"/>
        <w:bidi w:val="0"/>
        <w:snapToGrid/>
        <w:spacing w:line="600" w:lineRule="exact"/>
        <w:ind w:firstLine="560" w:firstLineChars="200"/>
        <w:textAlignment w:val="auto"/>
        <w:outlineLvl w:val="9"/>
        <w:rPr>
          <w:rFonts w:hint="default" w:ascii="Times New Roman" w:hAnsi="Times New Roman" w:cs="Times New Roman"/>
          <w:sz w:val="28"/>
          <w:szCs w:val="28"/>
          <w:highlight w:val="none"/>
          <w:lang w:val="en-US" w:eastAsia="zh-CN"/>
        </w:rPr>
      </w:pPr>
      <w:r>
        <w:rPr>
          <w:rFonts w:hint="eastAsia" w:cs="Times New Roman"/>
          <w:sz w:val="28"/>
          <w:szCs w:val="28"/>
          <w:highlight w:val="none"/>
          <w:lang w:val="en-US" w:eastAsia="zh-CN"/>
        </w:rPr>
        <w:t>东</w:t>
      </w:r>
      <w:r>
        <w:rPr>
          <w:rFonts w:hint="default" w:ascii="Times New Roman" w:hAnsi="Times New Roman" w:cs="Times New Roman"/>
          <w:sz w:val="28"/>
          <w:szCs w:val="28"/>
          <w:highlight w:val="none"/>
        </w:rPr>
        <w:t>面</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万年路</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隔道路为商场；</w:t>
      </w:r>
    </w:p>
    <w:p>
      <w:pPr>
        <w:keepNext w:val="0"/>
        <w:keepLines w:val="0"/>
        <w:pageBreakBefore w:val="0"/>
        <w:widowControl w:val="0"/>
        <w:kinsoku/>
        <w:wordWrap/>
        <w:overflowPunct/>
        <w:topLinePunct w:val="0"/>
        <w:bidi w:val="0"/>
        <w:snapToGrid/>
        <w:spacing w:line="600" w:lineRule="exact"/>
        <w:ind w:firstLine="560" w:firstLineChars="200"/>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cs="Times New Roman"/>
          <w:sz w:val="28"/>
          <w:szCs w:val="28"/>
          <w:highlight w:val="none"/>
          <w:lang w:val="en-US" w:eastAsia="zh-CN"/>
        </w:rPr>
        <w:t>南面：隔</w:t>
      </w:r>
      <w:r>
        <w:rPr>
          <w:rFonts w:hint="eastAsia" w:cs="Times New Roman"/>
          <w:sz w:val="28"/>
          <w:szCs w:val="28"/>
          <w:highlight w:val="none"/>
          <w:lang w:val="en-US" w:eastAsia="zh-CN"/>
        </w:rPr>
        <w:t>道路</w:t>
      </w:r>
      <w:r>
        <w:rPr>
          <w:rFonts w:hint="default" w:ascii="Times New Roman" w:hAnsi="Times New Roman" w:cs="Times New Roman"/>
          <w:sz w:val="28"/>
          <w:szCs w:val="28"/>
          <w:highlight w:val="none"/>
          <w:lang w:val="en-US" w:eastAsia="zh-CN"/>
        </w:rPr>
        <w:t>、停车场为商场办公楼；</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color w:val="auto"/>
          <w:spacing w:val="-6"/>
          <w:sz w:val="28"/>
          <w:szCs w:val="28"/>
          <w:highlight w:val="none"/>
          <w:lang w:val="en-US" w:eastAsia="zh-CN"/>
        </w:rPr>
      </w:pPr>
      <w:r>
        <w:rPr>
          <w:rFonts w:hint="eastAsia" w:cs="Times New Roman"/>
          <w:sz w:val="28"/>
          <w:szCs w:val="28"/>
          <w:highlight w:val="none"/>
          <w:lang w:val="en-US" w:eastAsia="zh-CN"/>
        </w:rPr>
        <w:t>西</w:t>
      </w:r>
      <w:r>
        <w:rPr>
          <w:rFonts w:hint="default" w:ascii="Times New Roman" w:hAnsi="Times New Roman" w:cs="Times New Roman"/>
          <w:sz w:val="28"/>
          <w:szCs w:val="28"/>
          <w:highlight w:val="none"/>
          <w:lang w:val="en-US" w:eastAsia="zh-CN"/>
        </w:rPr>
        <w:t>面：隔住宅小区</w:t>
      </w:r>
      <w:r>
        <w:rPr>
          <w:rFonts w:hint="eastAsia" w:cs="Times New Roman"/>
          <w:sz w:val="28"/>
          <w:szCs w:val="28"/>
          <w:highlight w:val="none"/>
          <w:lang w:val="en-US" w:eastAsia="zh-CN"/>
        </w:rPr>
        <w:t>内部</w:t>
      </w:r>
      <w:r>
        <w:rPr>
          <w:rFonts w:hint="default" w:ascii="Times New Roman" w:hAnsi="Times New Roman" w:cs="Times New Roman"/>
          <w:sz w:val="28"/>
          <w:szCs w:val="28"/>
          <w:highlight w:val="none"/>
          <w:lang w:val="en-US" w:eastAsia="zh-CN"/>
        </w:rPr>
        <w:t>道路为住宅楼</w:t>
      </w:r>
      <w:r>
        <w:rPr>
          <w:rFonts w:hint="eastAsia" w:cs="Times New Roman"/>
          <w:sz w:val="28"/>
          <w:szCs w:val="28"/>
          <w:highlight w:val="none"/>
          <w:lang w:val="en-US" w:eastAsia="zh-CN"/>
        </w:rPr>
        <w:t>（民建二类）</w:t>
      </w:r>
      <w:r>
        <w:rPr>
          <w:rFonts w:hint="default" w:ascii="Times New Roman" w:hAnsi="Times New Roman" w:cs="Times New Roman"/>
          <w:sz w:val="28"/>
          <w:szCs w:val="28"/>
          <w:highlight w:val="none"/>
          <w:lang w:eastAsia="zh-CN"/>
        </w:rPr>
        <w:t>；</w:t>
      </w:r>
    </w:p>
    <w:p>
      <w:pPr>
        <w:spacing w:line="600" w:lineRule="exact"/>
        <w:ind w:firstLine="536" w:firstLineChars="200"/>
        <w:rPr>
          <w:rFonts w:hint="eastAsia" w:ascii="Times New Roman" w:hAnsi="Times New Roman" w:cs="Times New Roman"/>
          <w:color w:val="auto"/>
          <w:spacing w:val="-6"/>
          <w:sz w:val="28"/>
          <w:szCs w:val="28"/>
          <w:highlight w:val="none"/>
          <w:lang w:val="en-US" w:eastAsia="zh-CN"/>
        </w:rPr>
      </w:pPr>
      <w:r>
        <w:rPr>
          <w:rFonts w:hint="eastAsia" w:cs="Times New Roman"/>
          <w:color w:val="auto"/>
          <w:spacing w:val="-6"/>
          <w:sz w:val="28"/>
          <w:szCs w:val="28"/>
          <w:highlight w:val="none"/>
          <w:lang w:val="en-US" w:eastAsia="zh-CN"/>
        </w:rPr>
        <w:t>北面：三清山大道</w:t>
      </w:r>
      <w:r>
        <w:rPr>
          <w:rFonts w:hint="eastAsia" w:ascii="Times New Roman" w:hAnsi="Times New Roman" w:cs="Times New Roman"/>
          <w:color w:val="auto"/>
          <w:spacing w:val="-6"/>
          <w:sz w:val="28"/>
          <w:szCs w:val="28"/>
          <w:highlight w:val="none"/>
          <w:lang w:val="en-US" w:eastAsia="zh-CN"/>
        </w:rPr>
        <w:t>。</w:t>
      </w:r>
    </w:p>
    <w:p>
      <w:pPr>
        <w:bidi w:val="0"/>
        <w:ind w:firstLine="560" w:firstLineChars="200"/>
        <w:rPr>
          <w:rFonts w:hint="eastAsia"/>
          <w:sz w:val="28"/>
          <w:szCs w:val="28"/>
          <w:highlight w:val="none"/>
        </w:rPr>
      </w:pPr>
      <w:r>
        <w:rPr>
          <w:rFonts w:hint="eastAsia"/>
          <w:sz w:val="28"/>
          <w:szCs w:val="28"/>
          <w:highlight w:val="none"/>
          <w:lang w:val="en-US" w:eastAsia="zh-CN"/>
        </w:rPr>
        <w:t>项目用地</w:t>
      </w:r>
      <w:r>
        <w:rPr>
          <w:rFonts w:hint="eastAsia"/>
          <w:sz w:val="28"/>
          <w:szCs w:val="28"/>
          <w:highlight w:val="none"/>
        </w:rPr>
        <w:t>周边5</w:t>
      </w:r>
      <w:r>
        <w:rPr>
          <w:sz w:val="28"/>
          <w:szCs w:val="28"/>
          <w:highlight w:val="none"/>
        </w:rPr>
        <w:t>0</w:t>
      </w:r>
      <w:r>
        <w:rPr>
          <w:rFonts w:hint="eastAsia"/>
          <w:sz w:val="28"/>
          <w:szCs w:val="28"/>
          <w:highlight w:val="none"/>
        </w:rPr>
        <w:t>米范围内无饮用水源、水厂</w:t>
      </w:r>
      <w:r>
        <w:rPr>
          <w:rFonts w:hint="eastAsia"/>
          <w:sz w:val="28"/>
          <w:szCs w:val="28"/>
          <w:highlight w:val="none"/>
          <w:lang w:eastAsia="zh-CN"/>
        </w:rPr>
        <w:t>、</w:t>
      </w:r>
      <w:r>
        <w:rPr>
          <w:rFonts w:hint="eastAsia"/>
          <w:sz w:val="28"/>
          <w:szCs w:val="28"/>
          <w:highlight w:val="none"/>
        </w:rPr>
        <w:t>水源保护区、机场以及地铁站出入口、风景名胜区和自然保护区、军事禁区、军事管理区、学校、医院、影剧院、体育场（管）等公共设施。</w:t>
      </w:r>
    </w:p>
    <w:p>
      <w:pPr>
        <w:bidi w:val="0"/>
        <w:ind w:firstLine="560" w:firstLineChars="200"/>
        <w:rPr>
          <w:rFonts w:hint="default"/>
          <w:color w:val="auto"/>
          <w:lang w:val="en-US" w:eastAsia="zh-CN"/>
        </w:rPr>
      </w:pPr>
      <w:r>
        <w:rPr>
          <w:rFonts w:hint="eastAsia"/>
          <w:color w:val="auto"/>
          <w:lang w:val="en-US" w:eastAsia="zh-CN"/>
        </w:rPr>
        <w:t>因该充电站建设地址在第五加油站站区内，充电站与加油站的防火距离应同时满足《汽车加油加气加氢站技术标准》（GB50156-2021）、《电动汽车充电站设计规范》（GB50966-2014）、《建筑设计防火规范》（GB50016-2014（2018年版））等规范的要求，箱式变压器按丙类生产厂房，充电车位按丁类生产厂房计算防火间距，加油站汽油设施、设备按甲类厂房计算防火间距。</w:t>
      </w:r>
    </w:p>
    <w:p>
      <w:pPr>
        <w:bidi w:val="0"/>
        <w:rPr>
          <w:rFonts w:hint="eastAsia"/>
          <w:color w:val="auto"/>
          <w:lang w:val="en-US" w:eastAsia="zh-CN"/>
        </w:rPr>
      </w:pPr>
      <w:r>
        <w:rPr>
          <w:rFonts w:hint="eastAsia"/>
          <w:color w:val="auto"/>
          <w:lang w:val="en-US" w:eastAsia="zh-CN"/>
        </w:rPr>
        <w:t>该项目与周边环境之间的防火距离见下表：</w:t>
      </w:r>
    </w:p>
    <w:p>
      <w:pPr>
        <w:pStyle w:val="43"/>
        <w:bidi w:val="0"/>
        <w:rPr>
          <w:rFonts w:hint="default"/>
          <w:color w:val="auto"/>
          <w:lang w:val="en-US" w:eastAsia="zh-CN"/>
        </w:rPr>
      </w:pPr>
      <w:r>
        <w:rPr>
          <w:rFonts w:hint="eastAsia"/>
          <w:color w:val="auto"/>
        </w:rPr>
        <w:t>表2</w:t>
      </w:r>
      <w:r>
        <w:rPr>
          <w:rFonts w:hint="eastAsia"/>
          <w:color w:val="auto"/>
          <w:lang w:val="en-US" w:eastAsia="zh-CN"/>
        </w:rPr>
        <w:t>.3</w:t>
      </w:r>
      <w:r>
        <w:rPr>
          <w:rFonts w:hint="eastAsia"/>
          <w:color w:val="auto"/>
        </w:rPr>
        <w:t>-</w:t>
      </w:r>
      <w:r>
        <w:rPr>
          <w:rFonts w:hint="eastAsia"/>
          <w:color w:val="auto"/>
          <w:lang w:val="en-US" w:eastAsia="zh-CN"/>
        </w:rPr>
        <w:t>1</w:t>
      </w:r>
      <w:r>
        <w:rPr>
          <w:rFonts w:hint="eastAsia"/>
          <w:color w:val="auto"/>
        </w:rPr>
        <w:t xml:space="preserve"> </w:t>
      </w:r>
      <w:r>
        <w:rPr>
          <w:rFonts w:hint="eastAsia"/>
          <w:color w:val="auto"/>
          <w:lang w:val="en-US" w:eastAsia="zh-CN"/>
        </w:rPr>
        <w:t>项目与周边环境防火距离一览表</w:t>
      </w:r>
    </w:p>
    <w:tbl>
      <w:tblPr>
        <w:tblStyle w:val="29"/>
        <w:tblW w:w="9138" w:type="dxa"/>
        <w:tblInd w:w="15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880"/>
        <w:gridCol w:w="2623"/>
        <w:gridCol w:w="1258"/>
        <w:gridCol w:w="1151"/>
        <w:gridCol w:w="18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390" w:type="dxa"/>
            <w:noWrap w:val="0"/>
            <w:vAlign w:val="center"/>
          </w:tcPr>
          <w:p>
            <w:pPr>
              <w:pStyle w:val="67"/>
              <w:bidi w:val="0"/>
              <w:rPr>
                <w:rFonts w:hint="eastAsia"/>
                <w:b/>
                <w:bCs/>
                <w:color w:val="auto"/>
                <w:highlight w:val="none"/>
              </w:rPr>
            </w:pPr>
            <w:r>
              <w:rPr>
                <w:rFonts w:hint="eastAsia"/>
                <w:b/>
                <w:bCs/>
                <w:color w:val="auto"/>
                <w:highlight w:val="none"/>
                <w:lang w:val="en-US" w:eastAsia="zh-CN"/>
              </w:rPr>
              <w:t>项目</w:t>
            </w:r>
            <w:r>
              <w:rPr>
                <w:rFonts w:hint="eastAsia"/>
                <w:b/>
                <w:bCs/>
                <w:color w:val="auto"/>
                <w:highlight w:val="none"/>
              </w:rPr>
              <w:t>名称</w:t>
            </w:r>
          </w:p>
        </w:tc>
        <w:tc>
          <w:tcPr>
            <w:tcW w:w="880" w:type="dxa"/>
            <w:noWrap w:val="0"/>
            <w:vAlign w:val="center"/>
          </w:tcPr>
          <w:p>
            <w:pPr>
              <w:pStyle w:val="67"/>
              <w:bidi w:val="0"/>
              <w:rPr>
                <w:rFonts w:hint="eastAsia"/>
                <w:b/>
                <w:bCs/>
                <w:color w:val="auto"/>
                <w:highlight w:val="none"/>
                <w:lang w:eastAsia="zh-CN"/>
              </w:rPr>
            </w:pPr>
            <w:r>
              <w:rPr>
                <w:rFonts w:hint="eastAsia"/>
                <w:b/>
                <w:bCs/>
                <w:color w:val="auto"/>
                <w:highlight w:val="none"/>
                <w:lang w:val="en-US" w:eastAsia="zh-CN"/>
              </w:rPr>
              <w:t>方位</w:t>
            </w:r>
          </w:p>
        </w:tc>
        <w:tc>
          <w:tcPr>
            <w:tcW w:w="2623" w:type="dxa"/>
            <w:noWrap w:val="0"/>
            <w:vAlign w:val="center"/>
          </w:tcPr>
          <w:p>
            <w:pPr>
              <w:pStyle w:val="67"/>
              <w:bidi w:val="0"/>
              <w:rPr>
                <w:rFonts w:hint="eastAsia"/>
                <w:b/>
                <w:bCs/>
                <w:color w:val="auto"/>
                <w:highlight w:val="none"/>
              </w:rPr>
            </w:pPr>
            <w:r>
              <w:rPr>
                <w:rFonts w:hint="eastAsia"/>
                <w:b/>
                <w:bCs/>
                <w:color w:val="auto"/>
                <w:highlight w:val="none"/>
              </w:rPr>
              <w:t>建（构）筑物名称</w:t>
            </w:r>
          </w:p>
        </w:tc>
        <w:tc>
          <w:tcPr>
            <w:tcW w:w="1258" w:type="dxa"/>
            <w:noWrap w:val="0"/>
            <w:vAlign w:val="center"/>
          </w:tcPr>
          <w:p>
            <w:pPr>
              <w:pStyle w:val="67"/>
              <w:bidi w:val="0"/>
              <w:rPr>
                <w:rFonts w:hint="eastAsia"/>
                <w:b/>
                <w:bCs/>
                <w:color w:val="auto"/>
                <w:highlight w:val="none"/>
              </w:rPr>
            </w:pPr>
            <w:r>
              <w:rPr>
                <w:rFonts w:hint="eastAsia"/>
                <w:b/>
                <w:bCs/>
                <w:color w:val="auto"/>
                <w:highlight w:val="none"/>
                <w:lang w:val="en-US" w:eastAsia="zh-CN"/>
              </w:rPr>
              <w:t>拟定</w:t>
            </w:r>
            <w:r>
              <w:rPr>
                <w:rFonts w:hint="eastAsia"/>
                <w:b/>
                <w:bCs/>
                <w:color w:val="auto"/>
                <w:highlight w:val="none"/>
              </w:rPr>
              <w:t>间距（m）</w:t>
            </w:r>
          </w:p>
        </w:tc>
        <w:tc>
          <w:tcPr>
            <w:tcW w:w="1151" w:type="dxa"/>
            <w:noWrap w:val="0"/>
            <w:vAlign w:val="center"/>
          </w:tcPr>
          <w:p>
            <w:pPr>
              <w:pStyle w:val="67"/>
              <w:bidi w:val="0"/>
              <w:rPr>
                <w:rFonts w:hint="default"/>
                <w:b/>
                <w:bCs/>
                <w:color w:val="auto"/>
                <w:highlight w:val="none"/>
                <w:lang w:val="en-US" w:eastAsia="zh-CN"/>
              </w:rPr>
            </w:pPr>
            <w:r>
              <w:rPr>
                <w:rFonts w:hint="eastAsia"/>
                <w:b/>
                <w:bCs/>
                <w:color w:val="auto"/>
                <w:highlight w:val="none"/>
                <w:lang w:val="en-US" w:eastAsia="zh-CN"/>
              </w:rPr>
              <w:t>标准间距（m）</w:t>
            </w:r>
          </w:p>
        </w:tc>
        <w:tc>
          <w:tcPr>
            <w:tcW w:w="1836" w:type="dxa"/>
            <w:noWrap w:val="0"/>
            <w:vAlign w:val="center"/>
          </w:tcPr>
          <w:p>
            <w:pPr>
              <w:pStyle w:val="67"/>
              <w:bidi w:val="0"/>
              <w:rPr>
                <w:rFonts w:hint="default"/>
                <w:b/>
                <w:bCs/>
                <w:color w:val="auto"/>
                <w:highlight w:val="none"/>
                <w:lang w:val="en-US" w:eastAsia="zh-CN"/>
              </w:rPr>
            </w:pPr>
            <w:r>
              <w:rPr>
                <w:rFonts w:hint="eastAsia"/>
                <w:b/>
                <w:bCs/>
                <w:color w:val="auto"/>
                <w:highlight w:val="none"/>
                <w:lang w:val="en-US" w:eastAsia="zh-CN"/>
              </w:rPr>
              <w:t>引用规范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restart"/>
            <w:noWrap w:val="0"/>
            <w:vAlign w:val="center"/>
          </w:tcPr>
          <w:p>
            <w:pPr>
              <w:pStyle w:val="67"/>
              <w:bidi w:val="0"/>
              <w:rPr>
                <w:rFonts w:hint="eastAsia"/>
                <w:color w:val="auto"/>
                <w:highlight w:val="none"/>
                <w:lang w:val="en-US" w:eastAsia="zh-CN"/>
              </w:rPr>
            </w:pPr>
            <w:r>
              <w:rPr>
                <w:rFonts w:hint="eastAsia"/>
                <w:color w:val="auto"/>
                <w:highlight w:val="none"/>
                <w:lang w:val="en-US" w:eastAsia="zh-CN"/>
              </w:rPr>
              <w:t>充电车位</w:t>
            </w:r>
          </w:p>
          <w:p>
            <w:pPr>
              <w:pStyle w:val="67"/>
              <w:bidi w:val="0"/>
              <w:rPr>
                <w:rFonts w:hint="eastAsia"/>
                <w:color w:val="auto"/>
                <w:highlight w:val="none"/>
                <w:lang w:val="en-US" w:eastAsia="zh-CN"/>
              </w:rPr>
            </w:pPr>
            <w:r>
              <w:rPr>
                <w:rFonts w:hint="eastAsia"/>
                <w:color w:val="auto"/>
                <w:highlight w:val="none"/>
                <w:lang w:val="en-US" w:eastAsia="zh-CN"/>
              </w:rPr>
              <w:t>（丁类厂房）</w:t>
            </w:r>
          </w:p>
        </w:tc>
        <w:tc>
          <w:tcPr>
            <w:tcW w:w="880" w:type="dxa"/>
            <w:noWrap w:val="0"/>
            <w:vAlign w:val="center"/>
          </w:tcPr>
          <w:p>
            <w:pPr>
              <w:pStyle w:val="67"/>
              <w:bidi w:val="0"/>
              <w:rPr>
                <w:rFonts w:hint="eastAsia"/>
                <w:color w:val="auto"/>
                <w:highlight w:val="none"/>
              </w:rPr>
            </w:pPr>
            <w:r>
              <w:rPr>
                <w:rFonts w:hint="eastAsia"/>
                <w:color w:val="auto"/>
                <w:highlight w:val="none"/>
                <w:lang w:val="en-US" w:eastAsia="zh-CN"/>
              </w:rPr>
              <w:t>东</w:t>
            </w:r>
            <w:r>
              <w:rPr>
                <w:rFonts w:hint="eastAsia"/>
                <w:color w:val="auto"/>
                <w:highlight w:val="none"/>
              </w:rPr>
              <w:t>侧</w:t>
            </w:r>
          </w:p>
        </w:tc>
        <w:tc>
          <w:tcPr>
            <w:tcW w:w="2623" w:type="dxa"/>
            <w:noWrap w:val="0"/>
            <w:vAlign w:val="center"/>
          </w:tcPr>
          <w:p>
            <w:pPr>
              <w:pStyle w:val="67"/>
              <w:bidi w:val="0"/>
              <w:rPr>
                <w:rFonts w:hint="eastAsia"/>
                <w:color w:val="auto"/>
                <w:highlight w:val="none"/>
              </w:rPr>
            </w:pPr>
            <w:r>
              <w:rPr>
                <w:rFonts w:hint="eastAsia"/>
                <w:color w:val="auto"/>
                <w:highlight w:val="none"/>
                <w:lang w:val="en-US" w:eastAsia="zh-CN"/>
              </w:rPr>
              <w:t>万年</w:t>
            </w:r>
            <w:r>
              <w:rPr>
                <w:rFonts w:hint="eastAsia"/>
                <w:color w:val="auto"/>
                <w:highlight w:val="none"/>
              </w:rPr>
              <w:t>路</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7</w:t>
            </w:r>
          </w:p>
        </w:tc>
        <w:tc>
          <w:tcPr>
            <w:tcW w:w="1151"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w:t>
            </w:r>
          </w:p>
        </w:tc>
        <w:tc>
          <w:tcPr>
            <w:tcW w:w="1836"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continue"/>
            <w:noWrap w:val="0"/>
            <w:vAlign w:val="center"/>
          </w:tcPr>
          <w:p>
            <w:pPr>
              <w:pStyle w:val="67"/>
              <w:bidi w:val="0"/>
              <w:rPr>
                <w:rFonts w:hint="eastAsia"/>
                <w:color w:val="auto"/>
                <w:highlight w:val="none"/>
                <w:lang w:val="en-US" w:eastAsia="zh-CN"/>
              </w:rPr>
            </w:pPr>
          </w:p>
        </w:tc>
        <w:tc>
          <w:tcPr>
            <w:tcW w:w="880"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西侧</w:t>
            </w:r>
          </w:p>
        </w:tc>
        <w:tc>
          <w:tcPr>
            <w:tcW w:w="2623"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住宅楼</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47.5</w:t>
            </w:r>
          </w:p>
        </w:tc>
        <w:tc>
          <w:tcPr>
            <w:tcW w:w="1151"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13</w:t>
            </w:r>
          </w:p>
        </w:tc>
        <w:tc>
          <w:tcPr>
            <w:tcW w:w="1836" w:type="dxa"/>
            <w:vMerge w:val="restart"/>
            <w:noWrap w:val="0"/>
            <w:vAlign w:val="center"/>
          </w:tcPr>
          <w:p>
            <w:pPr>
              <w:pStyle w:val="67"/>
              <w:bidi w:val="0"/>
              <w:jc w:val="center"/>
              <w:rPr>
                <w:rFonts w:hint="eastAsia"/>
                <w:color w:val="auto"/>
                <w:highlight w:val="none"/>
                <w:lang w:val="en-US" w:eastAsia="zh-CN"/>
              </w:rPr>
            </w:pPr>
            <w:r>
              <w:rPr>
                <w:rFonts w:hint="eastAsia"/>
                <w:color w:val="auto"/>
                <w:highlight w:val="none"/>
                <w:lang w:val="en-US" w:eastAsia="zh-CN"/>
              </w:rPr>
              <w:t>GB50016-2014（2018年版）</w:t>
            </w:r>
          </w:p>
          <w:p>
            <w:pPr>
              <w:pStyle w:val="67"/>
              <w:bidi w:val="0"/>
              <w:jc w:val="center"/>
              <w:rPr>
                <w:rFonts w:hint="default"/>
                <w:color w:val="auto"/>
                <w:highlight w:val="none"/>
                <w:lang w:val="en-US" w:eastAsia="zh-CN"/>
              </w:rPr>
            </w:pPr>
            <w:r>
              <w:rPr>
                <w:rFonts w:hint="eastAsia"/>
                <w:color w:val="auto"/>
                <w:highlight w:val="none"/>
                <w:lang w:val="en-US" w:eastAsia="zh-CN"/>
              </w:rPr>
              <w:t>3.4.1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continue"/>
            <w:noWrap w:val="0"/>
            <w:vAlign w:val="center"/>
          </w:tcPr>
          <w:p>
            <w:pPr>
              <w:pStyle w:val="67"/>
              <w:bidi w:val="0"/>
              <w:rPr>
                <w:rFonts w:hint="eastAsia"/>
                <w:color w:val="auto"/>
                <w:highlight w:val="none"/>
              </w:rPr>
            </w:pPr>
          </w:p>
        </w:tc>
        <w:tc>
          <w:tcPr>
            <w:tcW w:w="880" w:type="dxa"/>
            <w:vMerge w:val="restart"/>
            <w:noWrap w:val="0"/>
            <w:vAlign w:val="center"/>
          </w:tcPr>
          <w:p>
            <w:pPr>
              <w:pStyle w:val="67"/>
              <w:bidi w:val="0"/>
              <w:rPr>
                <w:rFonts w:hint="eastAsia"/>
                <w:color w:val="auto"/>
                <w:highlight w:val="none"/>
              </w:rPr>
            </w:pPr>
            <w:r>
              <w:rPr>
                <w:rFonts w:hint="eastAsia"/>
                <w:color w:val="auto"/>
                <w:highlight w:val="none"/>
                <w:lang w:val="en-US" w:eastAsia="zh-CN"/>
              </w:rPr>
              <w:t>北</w:t>
            </w:r>
            <w:r>
              <w:rPr>
                <w:rFonts w:hint="eastAsia"/>
                <w:color w:val="auto"/>
                <w:highlight w:val="none"/>
              </w:rPr>
              <w:t>侧</w:t>
            </w:r>
          </w:p>
        </w:tc>
        <w:tc>
          <w:tcPr>
            <w:tcW w:w="2623" w:type="dxa"/>
            <w:noWrap w:val="0"/>
            <w:vAlign w:val="center"/>
          </w:tcPr>
          <w:p>
            <w:pPr>
              <w:pStyle w:val="67"/>
              <w:bidi w:val="0"/>
              <w:rPr>
                <w:rFonts w:hint="eastAsia"/>
                <w:color w:val="auto"/>
                <w:highlight w:val="none"/>
                <w:lang w:eastAsia="zh-CN"/>
              </w:rPr>
            </w:pPr>
            <w:r>
              <w:rPr>
                <w:rFonts w:hint="eastAsia"/>
                <w:color w:val="auto"/>
                <w:highlight w:val="none"/>
                <w:lang w:val="en-US" w:eastAsia="zh-CN"/>
              </w:rPr>
              <w:t>加油机（有油气回收系统）</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36.3</w:t>
            </w:r>
          </w:p>
        </w:tc>
        <w:tc>
          <w:tcPr>
            <w:tcW w:w="1151"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12</w:t>
            </w:r>
          </w:p>
        </w:tc>
        <w:tc>
          <w:tcPr>
            <w:tcW w:w="1836" w:type="dxa"/>
            <w:vMerge w:val="continue"/>
            <w:noWrap w:val="0"/>
            <w:vAlign w:val="center"/>
          </w:tcPr>
          <w:p>
            <w:pPr>
              <w:pStyle w:val="67"/>
              <w:bidi w:val="0"/>
              <w:jc w:val="center"/>
              <w:rPr>
                <w:rFonts w:hint="default"/>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continue"/>
            <w:noWrap w:val="0"/>
            <w:vAlign w:val="center"/>
          </w:tcPr>
          <w:p>
            <w:pPr>
              <w:pStyle w:val="67"/>
              <w:bidi w:val="0"/>
              <w:rPr>
                <w:rFonts w:hint="eastAsia"/>
                <w:color w:val="auto"/>
                <w:highlight w:val="none"/>
              </w:rPr>
            </w:pPr>
          </w:p>
        </w:tc>
        <w:tc>
          <w:tcPr>
            <w:tcW w:w="880" w:type="dxa"/>
            <w:vMerge w:val="continue"/>
            <w:noWrap w:val="0"/>
            <w:vAlign w:val="center"/>
          </w:tcPr>
          <w:p>
            <w:pPr>
              <w:pStyle w:val="67"/>
              <w:bidi w:val="0"/>
              <w:rPr>
                <w:rFonts w:hint="eastAsia"/>
                <w:color w:val="auto"/>
                <w:highlight w:val="none"/>
              </w:rPr>
            </w:pPr>
          </w:p>
        </w:tc>
        <w:tc>
          <w:tcPr>
            <w:tcW w:w="2623"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埋地油罐（二级站）</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25</w:t>
            </w:r>
          </w:p>
        </w:tc>
        <w:tc>
          <w:tcPr>
            <w:tcW w:w="1151"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12</w:t>
            </w:r>
          </w:p>
        </w:tc>
        <w:tc>
          <w:tcPr>
            <w:tcW w:w="1836" w:type="dxa"/>
            <w:vMerge w:val="continue"/>
            <w:noWrap w:val="0"/>
            <w:vAlign w:val="center"/>
          </w:tcPr>
          <w:p>
            <w:pPr>
              <w:pStyle w:val="67"/>
              <w:bidi w:val="0"/>
              <w:rPr>
                <w:rFonts w:hint="eastAsia"/>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continue"/>
            <w:noWrap w:val="0"/>
            <w:vAlign w:val="center"/>
          </w:tcPr>
          <w:p>
            <w:pPr>
              <w:pStyle w:val="67"/>
              <w:bidi w:val="0"/>
              <w:rPr>
                <w:rFonts w:hint="eastAsia"/>
                <w:color w:val="auto"/>
                <w:highlight w:val="none"/>
              </w:rPr>
            </w:pPr>
          </w:p>
        </w:tc>
        <w:tc>
          <w:tcPr>
            <w:tcW w:w="880" w:type="dxa"/>
            <w:vMerge w:val="continue"/>
            <w:noWrap w:val="0"/>
            <w:vAlign w:val="center"/>
          </w:tcPr>
          <w:p>
            <w:pPr>
              <w:pStyle w:val="67"/>
              <w:bidi w:val="0"/>
              <w:rPr>
                <w:rFonts w:hint="eastAsia"/>
                <w:color w:val="auto"/>
                <w:highlight w:val="none"/>
              </w:rPr>
            </w:pPr>
          </w:p>
        </w:tc>
        <w:tc>
          <w:tcPr>
            <w:tcW w:w="2623" w:type="dxa"/>
            <w:noWrap w:val="0"/>
            <w:vAlign w:val="center"/>
          </w:tcPr>
          <w:p>
            <w:pPr>
              <w:pStyle w:val="67"/>
              <w:bidi w:val="0"/>
              <w:ind w:firstLine="0" w:firstLineChars="0"/>
              <w:rPr>
                <w:rFonts w:hint="default"/>
                <w:color w:val="auto"/>
                <w:highlight w:val="none"/>
                <w:lang w:val="en-US" w:eastAsia="zh-CN"/>
              </w:rPr>
            </w:pPr>
            <w:r>
              <w:rPr>
                <w:rFonts w:hint="eastAsia"/>
                <w:color w:val="auto"/>
                <w:highlight w:val="none"/>
                <w:lang w:val="en-US" w:eastAsia="zh-CN"/>
              </w:rPr>
              <w:t>通气管口</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53</w:t>
            </w:r>
          </w:p>
        </w:tc>
        <w:tc>
          <w:tcPr>
            <w:tcW w:w="1151" w:type="dxa"/>
            <w:noWrap w:val="0"/>
            <w:vAlign w:val="center"/>
          </w:tcPr>
          <w:p>
            <w:pPr>
              <w:pStyle w:val="67"/>
              <w:bidi w:val="0"/>
              <w:ind w:firstLine="0" w:firstLineChars="0"/>
              <w:rPr>
                <w:rFonts w:hint="default"/>
                <w:color w:val="auto"/>
                <w:highlight w:val="none"/>
                <w:lang w:val="en-US" w:eastAsia="zh-CN"/>
              </w:rPr>
            </w:pPr>
            <w:r>
              <w:rPr>
                <w:rFonts w:hint="eastAsia"/>
                <w:color w:val="auto"/>
                <w:highlight w:val="none"/>
                <w:lang w:val="en-US" w:eastAsia="zh-CN"/>
              </w:rPr>
              <w:t>12</w:t>
            </w:r>
          </w:p>
        </w:tc>
        <w:tc>
          <w:tcPr>
            <w:tcW w:w="1836" w:type="dxa"/>
            <w:vMerge w:val="continue"/>
            <w:noWrap w:val="0"/>
            <w:vAlign w:val="center"/>
          </w:tcPr>
          <w:p>
            <w:pPr>
              <w:pStyle w:val="67"/>
              <w:bidi w:val="0"/>
              <w:rPr>
                <w:rFonts w:hint="eastAsia"/>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continue"/>
            <w:noWrap w:val="0"/>
            <w:vAlign w:val="center"/>
          </w:tcPr>
          <w:p>
            <w:pPr>
              <w:pStyle w:val="67"/>
              <w:bidi w:val="0"/>
              <w:rPr>
                <w:rFonts w:hint="eastAsia"/>
                <w:color w:val="auto"/>
                <w:highlight w:val="none"/>
              </w:rPr>
            </w:pPr>
          </w:p>
        </w:tc>
        <w:tc>
          <w:tcPr>
            <w:tcW w:w="880" w:type="dxa"/>
            <w:vMerge w:val="continue"/>
            <w:noWrap w:val="0"/>
            <w:vAlign w:val="center"/>
          </w:tcPr>
          <w:p>
            <w:pPr>
              <w:pStyle w:val="67"/>
              <w:bidi w:val="0"/>
              <w:rPr>
                <w:rFonts w:hint="eastAsia"/>
                <w:color w:val="auto"/>
                <w:highlight w:val="none"/>
              </w:rPr>
            </w:pPr>
          </w:p>
        </w:tc>
        <w:tc>
          <w:tcPr>
            <w:tcW w:w="2623" w:type="dxa"/>
            <w:noWrap w:val="0"/>
            <w:vAlign w:val="center"/>
          </w:tcPr>
          <w:p>
            <w:pPr>
              <w:pStyle w:val="67"/>
              <w:bidi w:val="0"/>
              <w:ind w:firstLine="0" w:firstLineChars="0"/>
              <w:rPr>
                <w:rFonts w:hint="default"/>
                <w:color w:val="auto"/>
                <w:highlight w:val="none"/>
                <w:lang w:val="en-US" w:eastAsia="zh-CN"/>
              </w:rPr>
            </w:pPr>
            <w:r>
              <w:rPr>
                <w:rFonts w:hint="eastAsia"/>
                <w:color w:val="auto"/>
                <w:highlight w:val="none"/>
                <w:lang w:val="en-US" w:eastAsia="zh-CN"/>
              </w:rPr>
              <w:t>卸油口</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79.4</w:t>
            </w:r>
          </w:p>
        </w:tc>
        <w:tc>
          <w:tcPr>
            <w:tcW w:w="1151" w:type="dxa"/>
            <w:noWrap w:val="0"/>
            <w:vAlign w:val="center"/>
          </w:tcPr>
          <w:p>
            <w:pPr>
              <w:pStyle w:val="67"/>
              <w:bidi w:val="0"/>
              <w:ind w:firstLine="0" w:firstLineChars="0"/>
              <w:rPr>
                <w:rFonts w:hint="default"/>
                <w:color w:val="auto"/>
                <w:highlight w:val="none"/>
                <w:lang w:val="en-US" w:eastAsia="zh-CN"/>
              </w:rPr>
            </w:pPr>
            <w:r>
              <w:rPr>
                <w:rFonts w:hint="eastAsia"/>
                <w:color w:val="auto"/>
                <w:highlight w:val="none"/>
                <w:lang w:val="en-US" w:eastAsia="zh-CN"/>
              </w:rPr>
              <w:t>12</w:t>
            </w:r>
          </w:p>
        </w:tc>
        <w:tc>
          <w:tcPr>
            <w:tcW w:w="1836" w:type="dxa"/>
            <w:vMerge w:val="continue"/>
            <w:noWrap w:val="0"/>
            <w:vAlign w:val="center"/>
          </w:tcPr>
          <w:p>
            <w:pPr>
              <w:pStyle w:val="67"/>
              <w:bidi w:val="0"/>
              <w:rPr>
                <w:rFonts w:hint="eastAsia"/>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restart"/>
            <w:noWrap w:val="0"/>
            <w:vAlign w:val="center"/>
          </w:tcPr>
          <w:p>
            <w:pPr>
              <w:pStyle w:val="67"/>
              <w:bidi w:val="0"/>
              <w:rPr>
                <w:rFonts w:hint="eastAsia"/>
                <w:color w:val="auto"/>
                <w:highlight w:val="none"/>
                <w:lang w:val="en-US" w:eastAsia="zh-CN"/>
              </w:rPr>
            </w:pPr>
            <w:r>
              <w:rPr>
                <w:rFonts w:hint="eastAsia"/>
                <w:color w:val="auto"/>
                <w:highlight w:val="none"/>
                <w:lang w:val="en-US" w:eastAsia="zh-CN"/>
              </w:rPr>
              <w:t>箱式变压器</w:t>
            </w:r>
          </w:p>
          <w:p>
            <w:pPr>
              <w:pStyle w:val="67"/>
              <w:bidi w:val="0"/>
              <w:rPr>
                <w:rFonts w:hint="default"/>
                <w:color w:val="auto"/>
                <w:highlight w:val="none"/>
                <w:lang w:val="en-US" w:eastAsia="zh-CN"/>
              </w:rPr>
            </w:pPr>
            <w:r>
              <w:rPr>
                <w:rFonts w:hint="eastAsia"/>
                <w:color w:val="auto"/>
                <w:highlight w:val="none"/>
                <w:lang w:val="en-US" w:eastAsia="zh-CN"/>
              </w:rPr>
              <w:t>（丙类厂房）</w:t>
            </w:r>
          </w:p>
        </w:tc>
        <w:tc>
          <w:tcPr>
            <w:tcW w:w="880"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东侧</w:t>
            </w:r>
          </w:p>
        </w:tc>
        <w:tc>
          <w:tcPr>
            <w:tcW w:w="2623" w:type="dxa"/>
            <w:noWrap w:val="0"/>
            <w:vAlign w:val="center"/>
          </w:tcPr>
          <w:p>
            <w:pPr>
              <w:pStyle w:val="67"/>
              <w:bidi w:val="0"/>
              <w:rPr>
                <w:rFonts w:hint="default" w:ascii="Times New Roman" w:hAnsi="Times New Roman" w:eastAsia="宋体" w:cs="Times New Roman"/>
                <w:color w:val="auto"/>
                <w:kern w:val="18"/>
                <w:sz w:val="21"/>
                <w:szCs w:val="21"/>
                <w:highlight w:val="none"/>
                <w:lang w:val="en-US" w:eastAsia="zh-CN" w:bidi="ar-SA"/>
              </w:rPr>
            </w:pPr>
            <w:r>
              <w:rPr>
                <w:rFonts w:hint="eastAsia" w:cs="Times New Roman"/>
                <w:color w:val="auto"/>
                <w:kern w:val="18"/>
                <w:sz w:val="21"/>
                <w:szCs w:val="21"/>
                <w:highlight w:val="none"/>
                <w:lang w:val="en-US" w:eastAsia="zh-CN" w:bidi="ar-SA"/>
              </w:rPr>
              <w:t>住宅楼</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22.7</w:t>
            </w:r>
          </w:p>
        </w:tc>
        <w:tc>
          <w:tcPr>
            <w:tcW w:w="1151" w:type="dxa"/>
            <w:noWrap w:val="0"/>
            <w:vAlign w:val="center"/>
          </w:tcPr>
          <w:p>
            <w:pPr>
              <w:pStyle w:val="67"/>
              <w:bidi w:val="0"/>
              <w:ind w:firstLine="0" w:firstLineChars="0"/>
              <w:rPr>
                <w:rFonts w:hint="default"/>
                <w:color w:val="auto"/>
                <w:highlight w:val="none"/>
                <w:lang w:val="en-US" w:eastAsia="zh-CN"/>
              </w:rPr>
            </w:pPr>
            <w:r>
              <w:rPr>
                <w:rFonts w:hint="eastAsia"/>
                <w:color w:val="auto"/>
                <w:highlight w:val="none"/>
                <w:lang w:val="en-US" w:eastAsia="zh-CN"/>
              </w:rPr>
              <w:t>15</w:t>
            </w:r>
          </w:p>
        </w:tc>
        <w:tc>
          <w:tcPr>
            <w:tcW w:w="1836" w:type="dxa"/>
            <w:vMerge w:val="continue"/>
            <w:noWrap w:val="0"/>
            <w:vAlign w:val="center"/>
          </w:tcPr>
          <w:p>
            <w:pPr>
              <w:pStyle w:val="67"/>
              <w:bidi w:val="0"/>
              <w:rPr>
                <w:rFonts w:hint="eastAsia"/>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continue"/>
            <w:noWrap w:val="0"/>
            <w:vAlign w:val="center"/>
          </w:tcPr>
          <w:p>
            <w:pPr>
              <w:pStyle w:val="67"/>
              <w:bidi w:val="0"/>
              <w:rPr>
                <w:rFonts w:hint="eastAsia"/>
                <w:color w:val="auto"/>
                <w:highlight w:val="none"/>
                <w:lang w:val="en-US" w:eastAsia="zh-CN"/>
              </w:rPr>
            </w:pPr>
          </w:p>
        </w:tc>
        <w:tc>
          <w:tcPr>
            <w:tcW w:w="880" w:type="dxa"/>
            <w:noWrap w:val="0"/>
            <w:vAlign w:val="center"/>
          </w:tcPr>
          <w:p>
            <w:pPr>
              <w:pStyle w:val="67"/>
              <w:bidi w:val="0"/>
              <w:ind w:firstLine="0" w:firstLineChars="0"/>
              <w:rPr>
                <w:rFonts w:hint="eastAsia" w:ascii="Times New Roman" w:hAnsi="Times New Roman" w:eastAsia="宋体" w:cs="Times New Roman"/>
                <w:color w:val="auto"/>
                <w:kern w:val="18"/>
                <w:sz w:val="21"/>
                <w:szCs w:val="21"/>
                <w:highlight w:val="none"/>
                <w:lang w:val="en-US" w:eastAsia="zh-CN" w:bidi="ar-SA"/>
              </w:rPr>
            </w:pPr>
            <w:r>
              <w:rPr>
                <w:rFonts w:hint="eastAsia"/>
                <w:color w:val="auto"/>
                <w:highlight w:val="none"/>
                <w:lang w:val="en-US" w:eastAsia="zh-CN"/>
              </w:rPr>
              <w:t>南侧</w:t>
            </w:r>
          </w:p>
        </w:tc>
        <w:tc>
          <w:tcPr>
            <w:tcW w:w="2623" w:type="dxa"/>
            <w:noWrap w:val="0"/>
            <w:vAlign w:val="center"/>
          </w:tcPr>
          <w:p>
            <w:pPr>
              <w:pStyle w:val="67"/>
              <w:bidi w:val="0"/>
              <w:ind w:firstLine="0" w:firstLineChars="0"/>
              <w:rPr>
                <w:rFonts w:hint="eastAsia" w:ascii="Times New Roman" w:hAnsi="Times New Roman" w:eastAsia="宋体" w:cs="Times New Roman"/>
                <w:color w:val="auto"/>
                <w:kern w:val="18"/>
                <w:sz w:val="21"/>
                <w:szCs w:val="21"/>
                <w:highlight w:val="none"/>
                <w:lang w:val="en-US" w:eastAsia="zh-CN" w:bidi="ar-SA"/>
              </w:rPr>
            </w:pPr>
            <w:r>
              <w:rPr>
                <w:rFonts w:hint="eastAsia"/>
                <w:color w:val="auto"/>
                <w:highlight w:val="none"/>
                <w:lang w:val="en-US" w:eastAsia="zh-CN"/>
              </w:rPr>
              <w:t>加油机（有油气回收系统）</w:t>
            </w:r>
          </w:p>
        </w:tc>
        <w:tc>
          <w:tcPr>
            <w:tcW w:w="1258" w:type="dxa"/>
            <w:noWrap w:val="0"/>
            <w:vAlign w:val="center"/>
          </w:tcPr>
          <w:p>
            <w:pPr>
              <w:pStyle w:val="67"/>
              <w:bidi w:val="0"/>
              <w:ind w:firstLine="0" w:firstLineChars="0"/>
              <w:rPr>
                <w:rFonts w:hint="eastAsia" w:ascii="Times New Roman" w:hAnsi="Times New Roman" w:eastAsia="宋体" w:cs="Times New Roman"/>
                <w:color w:val="auto"/>
                <w:kern w:val="18"/>
                <w:sz w:val="21"/>
                <w:szCs w:val="21"/>
                <w:highlight w:val="none"/>
                <w:lang w:val="en-US" w:eastAsia="zh-CN" w:bidi="ar-SA"/>
              </w:rPr>
            </w:pPr>
            <w:r>
              <w:rPr>
                <w:rFonts w:hint="eastAsia"/>
                <w:color w:val="auto"/>
                <w:highlight w:val="none"/>
                <w:lang w:val="en-US" w:eastAsia="zh-CN"/>
              </w:rPr>
              <w:t>62</w:t>
            </w:r>
          </w:p>
        </w:tc>
        <w:tc>
          <w:tcPr>
            <w:tcW w:w="1151" w:type="dxa"/>
            <w:noWrap w:val="0"/>
            <w:vAlign w:val="center"/>
          </w:tcPr>
          <w:p>
            <w:pPr>
              <w:pStyle w:val="67"/>
              <w:bidi w:val="0"/>
              <w:ind w:firstLine="0" w:firstLineChars="0"/>
              <w:rPr>
                <w:rFonts w:hint="eastAsia" w:ascii="Times New Roman" w:hAnsi="Times New Roman" w:eastAsia="宋体" w:cs="Times New Roman"/>
                <w:color w:val="auto"/>
                <w:kern w:val="18"/>
                <w:sz w:val="21"/>
                <w:szCs w:val="21"/>
                <w:highlight w:val="none"/>
                <w:lang w:val="en-US" w:eastAsia="zh-CN" w:bidi="ar-SA"/>
              </w:rPr>
            </w:pPr>
            <w:r>
              <w:rPr>
                <w:rFonts w:hint="eastAsia"/>
                <w:color w:val="auto"/>
                <w:highlight w:val="none"/>
                <w:lang w:val="en-US" w:eastAsia="zh-CN"/>
              </w:rPr>
              <w:t>12</w:t>
            </w:r>
          </w:p>
        </w:tc>
        <w:tc>
          <w:tcPr>
            <w:tcW w:w="1836" w:type="dxa"/>
            <w:vMerge w:val="continue"/>
            <w:noWrap w:val="0"/>
            <w:vAlign w:val="center"/>
          </w:tcPr>
          <w:p>
            <w:pPr>
              <w:pStyle w:val="67"/>
              <w:bidi w:val="0"/>
              <w:rPr>
                <w:rFonts w:hint="eastAsia"/>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continue"/>
            <w:noWrap w:val="0"/>
            <w:vAlign w:val="center"/>
          </w:tcPr>
          <w:p>
            <w:pPr>
              <w:pStyle w:val="67"/>
              <w:bidi w:val="0"/>
              <w:rPr>
                <w:rFonts w:hint="eastAsia"/>
                <w:color w:val="auto"/>
                <w:highlight w:val="none"/>
                <w:lang w:val="en-US" w:eastAsia="zh-CN"/>
              </w:rPr>
            </w:pPr>
          </w:p>
        </w:tc>
        <w:tc>
          <w:tcPr>
            <w:tcW w:w="880" w:type="dxa"/>
            <w:vMerge w:val="restart"/>
            <w:noWrap w:val="0"/>
            <w:vAlign w:val="center"/>
          </w:tcPr>
          <w:p>
            <w:pPr>
              <w:pStyle w:val="67"/>
              <w:bidi w:val="0"/>
              <w:rPr>
                <w:rFonts w:hint="eastAsia"/>
                <w:color w:val="auto"/>
                <w:highlight w:val="none"/>
                <w:lang w:val="en-US" w:eastAsia="zh-CN"/>
              </w:rPr>
            </w:pPr>
            <w:r>
              <w:rPr>
                <w:rFonts w:hint="eastAsia"/>
                <w:color w:val="auto"/>
                <w:highlight w:val="none"/>
                <w:lang w:val="en-US" w:eastAsia="zh-CN"/>
              </w:rPr>
              <w:t>东南</w:t>
            </w:r>
          </w:p>
        </w:tc>
        <w:tc>
          <w:tcPr>
            <w:tcW w:w="2623" w:type="dxa"/>
            <w:noWrap w:val="0"/>
            <w:vAlign w:val="center"/>
          </w:tcPr>
          <w:p>
            <w:pPr>
              <w:pStyle w:val="67"/>
              <w:bidi w:val="0"/>
              <w:rPr>
                <w:rFonts w:hint="eastAsia" w:ascii="Times New Roman" w:hAnsi="Times New Roman" w:eastAsia="宋体" w:cs="Times New Roman"/>
                <w:color w:val="auto"/>
                <w:kern w:val="18"/>
                <w:sz w:val="21"/>
                <w:szCs w:val="21"/>
                <w:highlight w:val="none"/>
                <w:lang w:val="en-US" w:eastAsia="zh-CN" w:bidi="ar-SA"/>
              </w:rPr>
            </w:pPr>
            <w:r>
              <w:rPr>
                <w:rFonts w:hint="eastAsia"/>
                <w:color w:val="auto"/>
                <w:highlight w:val="none"/>
                <w:lang w:val="en-US" w:eastAsia="zh-CN"/>
              </w:rPr>
              <w:t>埋地油罐（二级站）</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64</w:t>
            </w:r>
          </w:p>
        </w:tc>
        <w:tc>
          <w:tcPr>
            <w:tcW w:w="1151" w:type="dxa"/>
            <w:noWrap w:val="0"/>
            <w:vAlign w:val="center"/>
          </w:tcPr>
          <w:p>
            <w:pPr>
              <w:pStyle w:val="67"/>
              <w:bidi w:val="0"/>
              <w:ind w:firstLine="0" w:firstLineChars="0"/>
              <w:rPr>
                <w:rFonts w:hint="eastAsia"/>
                <w:color w:val="auto"/>
                <w:highlight w:val="none"/>
                <w:lang w:val="en-US" w:eastAsia="zh-CN"/>
              </w:rPr>
            </w:pPr>
            <w:r>
              <w:rPr>
                <w:rFonts w:hint="eastAsia"/>
                <w:color w:val="auto"/>
                <w:highlight w:val="none"/>
                <w:lang w:val="en-US" w:eastAsia="zh-CN"/>
              </w:rPr>
              <w:t>12</w:t>
            </w:r>
          </w:p>
        </w:tc>
        <w:tc>
          <w:tcPr>
            <w:tcW w:w="1836" w:type="dxa"/>
            <w:vMerge w:val="continue"/>
            <w:noWrap w:val="0"/>
            <w:vAlign w:val="center"/>
          </w:tcPr>
          <w:p>
            <w:pPr>
              <w:pStyle w:val="67"/>
              <w:bidi w:val="0"/>
              <w:rPr>
                <w:rFonts w:hint="eastAsia"/>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continue"/>
            <w:noWrap w:val="0"/>
            <w:vAlign w:val="center"/>
          </w:tcPr>
          <w:p>
            <w:pPr>
              <w:pStyle w:val="67"/>
              <w:bidi w:val="0"/>
              <w:rPr>
                <w:rFonts w:hint="eastAsia"/>
                <w:color w:val="auto"/>
                <w:highlight w:val="none"/>
                <w:lang w:val="en-US" w:eastAsia="zh-CN"/>
              </w:rPr>
            </w:pPr>
          </w:p>
        </w:tc>
        <w:tc>
          <w:tcPr>
            <w:tcW w:w="880" w:type="dxa"/>
            <w:vMerge w:val="continue"/>
            <w:noWrap w:val="0"/>
            <w:vAlign w:val="center"/>
          </w:tcPr>
          <w:p>
            <w:pPr>
              <w:pStyle w:val="67"/>
              <w:bidi w:val="0"/>
              <w:rPr>
                <w:rFonts w:hint="eastAsia"/>
                <w:color w:val="auto"/>
                <w:highlight w:val="none"/>
              </w:rPr>
            </w:pPr>
          </w:p>
        </w:tc>
        <w:tc>
          <w:tcPr>
            <w:tcW w:w="2623" w:type="dxa"/>
            <w:noWrap w:val="0"/>
            <w:vAlign w:val="center"/>
          </w:tcPr>
          <w:p>
            <w:pPr>
              <w:pStyle w:val="67"/>
              <w:bidi w:val="0"/>
              <w:ind w:firstLine="0" w:firstLineChars="0"/>
              <w:rPr>
                <w:rFonts w:hint="eastAsia" w:ascii="Times New Roman" w:hAnsi="Times New Roman" w:eastAsia="宋体" w:cs="Times New Roman"/>
                <w:color w:val="auto"/>
                <w:kern w:val="18"/>
                <w:sz w:val="21"/>
                <w:szCs w:val="21"/>
                <w:highlight w:val="none"/>
                <w:lang w:val="en-US" w:eastAsia="zh-CN" w:bidi="ar-SA"/>
              </w:rPr>
            </w:pPr>
            <w:r>
              <w:rPr>
                <w:rFonts w:hint="eastAsia"/>
                <w:color w:val="auto"/>
                <w:highlight w:val="none"/>
                <w:lang w:val="en-US" w:eastAsia="zh-CN"/>
              </w:rPr>
              <w:t>通气管口</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74.4</w:t>
            </w:r>
          </w:p>
        </w:tc>
        <w:tc>
          <w:tcPr>
            <w:tcW w:w="1151" w:type="dxa"/>
            <w:noWrap w:val="0"/>
            <w:vAlign w:val="center"/>
          </w:tcPr>
          <w:p>
            <w:pPr>
              <w:pStyle w:val="67"/>
              <w:bidi w:val="0"/>
              <w:ind w:firstLine="0" w:firstLineChars="0"/>
              <w:rPr>
                <w:rFonts w:hint="eastAsia"/>
                <w:color w:val="auto"/>
                <w:highlight w:val="none"/>
                <w:lang w:val="en-US" w:eastAsia="zh-CN"/>
              </w:rPr>
            </w:pPr>
            <w:r>
              <w:rPr>
                <w:rFonts w:hint="eastAsia"/>
                <w:color w:val="auto"/>
                <w:highlight w:val="none"/>
                <w:lang w:val="en-US" w:eastAsia="zh-CN"/>
              </w:rPr>
              <w:t>12</w:t>
            </w:r>
          </w:p>
        </w:tc>
        <w:tc>
          <w:tcPr>
            <w:tcW w:w="1836" w:type="dxa"/>
            <w:vMerge w:val="continue"/>
            <w:noWrap w:val="0"/>
            <w:vAlign w:val="center"/>
          </w:tcPr>
          <w:p>
            <w:pPr>
              <w:pStyle w:val="67"/>
              <w:bidi w:val="0"/>
              <w:rPr>
                <w:rFonts w:hint="eastAsia"/>
                <w:color w:val="auto"/>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390" w:type="dxa"/>
            <w:vMerge w:val="continue"/>
            <w:noWrap w:val="0"/>
            <w:vAlign w:val="center"/>
          </w:tcPr>
          <w:p>
            <w:pPr>
              <w:pStyle w:val="67"/>
              <w:bidi w:val="0"/>
              <w:rPr>
                <w:rFonts w:hint="eastAsia"/>
                <w:color w:val="auto"/>
                <w:highlight w:val="none"/>
                <w:lang w:val="en-US" w:eastAsia="zh-CN"/>
              </w:rPr>
            </w:pPr>
          </w:p>
        </w:tc>
        <w:tc>
          <w:tcPr>
            <w:tcW w:w="880" w:type="dxa"/>
            <w:vMerge w:val="continue"/>
            <w:noWrap w:val="0"/>
            <w:vAlign w:val="center"/>
          </w:tcPr>
          <w:p>
            <w:pPr>
              <w:pStyle w:val="67"/>
              <w:bidi w:val="0"/>
              <w:rPr>
                <w:rFonts w:hint="eastAsia"/>
                <w:color w:val="auto"/>
                <w:highlight w:val="none"/>
              </w:rPr>
            </w:pPr>
          </w:p>
        </w:tc>
        <w:tc>
          <w:tcPr>
            <w:tcW w:w="2623" w:type="dxa"/>
            <w:noWrap w:val="0"/>
            <w:vAlign w:val="center"/>
          </w:tcPr>
          <w:p>
            <w:pPr>
              <w:pStyle w:val="67"/>
              <w:bidi w:val="0"/>
              <w:ind w:firstLine="0" w:firstLineChars="0"/>
              <w:rPr>
                <w:rFonts w:hint="eastAsia" w:ascii="Times New Roman" w:hAnsi="Times New Roman" w:eastAsia="宋体" w:cs="Times New Roman"/>
                <w:color w:val="auto"/>
                <w:kern w:val="18"/>
                <w:sz w:val="21"/>
                <w:szCs w:val="21"/>
                <w:highlight w:val="none"/>
                <w:lang w:val="en-US" w:eastAsia="zh-CN" w:bidi="ar-SA"/>
              </w:rPr>
            </w:pPr>
            <w:r>
              <w:rPr>
                <w:rFonts w:hint="eastAsia"/>
                <w:color w:val="auto"/>
                <w:highlight w:val="none"/>
                <w:lang w:val="en-US" w:eastAsia="zh-CN"/>
              </w:rPr>
              <w:t>卸油口</w:t>
            </w:r>
          </w:p>
        </w:tc>
        <w:tc>
          <w:tcPr>
            <w:tcW w:w="1258" w:type="dxa"/>
            <w:noWrap w:val="0"/>
            <w:vAlign w:val="center"/>
          </w:tcPr>
          <w:p>
            <w:pPr>
              <w:pStyle w:val="67"/>
              <w:bidi w:val="0"/>
              <w:rPr>
                <w:rFonts w:hint="default"/>
                <w:color w:val="auto"/>
                <w:highlight w:val="none"/>
                <w:lang w:val="en-US" w:eastAsia="zh-CN"/>
              </w:rPr>
            </w:pPr>
            <w:r>
              <w:rPr>
                <w:rFonts w:hint="eastAsia"/>
                <w:color w:val="auto"/>
                <w:highlight w:val="none"/>
                <w:lang w:val="en-US" w:eastAsia="zh-CN"/>
              </w:rPr>
              <w:t>106</w:t>
            </w:r>
          </w:p>
        </w:tc>
        <w:tc>
          <w:tcPr>
            <w:tcW w:w="1151" w:type="dxa"/>
            <w:noWrap w:val="0"/>
            <w:vAlign w:val="center"/>
          </w:tcPr>
          <w:p>
            <w:pPr>
              <w:pStyle w:val="67"/>
              <w:bidi w:val="0"/>
              <w:ind w:firstLine="0" w:firstLineChars="0"/>
              <w:rPr>
                <w:rFonts w:hint="eastAsia"/>
                <w:color w:val="auto"/>
                <w:highlight w:val="none"/>
                <w:lang w:val="en-US" w:eastAsia="zh-CN"/>
              </w:rPr>
            </w:pPr>
            <w:r>
              <w:rPr>
                <w:rFonts w:hint="eastAsia"/>
                <w:color w:val="auto"/>
                <w:highlight w:val="none"/>
                <w:lang w:val="en-US" w:eastAsia="zh-CN"/>
              </w:rPr>
              <w:t>12</w:t>
            </w:r>
          </w:p>
        </w:tc>
        <w:tc>
          <w:tcPr>
            <w:tcW w:w="1836" w:type="dxa"/>
            <w:vMerge w:val="continue"/>
            <w:noWrap w:val="0"/>
            <w:vAlign w:val="center"/>
          </w:tcPr>
          <w:p>
            <w:pPr>
              <w:pStyle w:val="67"/>
              <w:bidi w:val="0"/>
              <w:rPr>
                <w:rFonts w:hint="eastAsia"/>
                <w:color w:val="auto"/>
                <w:highlight w:val="none"/>
                <w:lang w:val="en-US" w:eastAsia="zh-CN"/>
              </w:rPr>
            </w:pPr>
          </w:p>
        </w:tc>
      </w:tr>
    </w:tbl>
    <w:p>
      <w:pPr>
        <w:pStyle w:val="4"/>
        <w:bidi w:val="0"/>
        <w:rPr>
          <w:rFonts w:hint="eastAsia"/>
          <w:color w:val="auto"/>
          <w:lang w:val="en-US" w:eastAsia="zh-CN"/>
        </w:rPr>
      </w:pPr>
      <w:bookmarkStart w:id="27" w:name="_Toc14346"/>
      <w:r>
        <w:rPr>
          <w:rFonts w:hint="eastAsia"/>
          <w:color w:val="auto"/>
          <w:lang w:val="en-US" w:eastAsia="zh-CN"/>
        </w:rPr>
        <w:t>2.3.2自然条件</w:t>
      </w:r>
      <w:bookmarkEnd w:id="27"/>
    </w:p>
    <w:p>
      <w:pPr>
        <w:pageBreakBefore w:val="0"/>
        <w:widowControl w:val="0"/>
        <w:kinsoku/>
        <w:wordWrap/>
        <w:overflowPunct/>
        <w:topLinePunct w:val="0"/>
        <w:bidi w:val="0"/>
        <w:snapToGrid/>
        <w:spacing w:line="600" w:lineRule="exact"/>
        <w:ind w:firstLine="560" w:firstLineChars="200"/>
        <w:jc w:val="left"/>
        <w:textAlignment w:val="auto"/>
        <w:rPr>
          <w:rFonts w:hint="default" w:ascii="Times New Roman" w:hAnsi="Times New Roman" w:eastAsia="宋体" w:cs="Times New Roman"/>
          <w:sz w:val="28"/>
          <w:szCs w:val="28"/>
          <w:lang w:val="en-US" w:eastAsia="zh-CN"/>
        </w:rPr>
      </w:pPr>
      <w:r>
        <w:rPr>
          <w:rFonts w:ascii="Times New Roman" w:hAnsi="Times New Roman" w:cs="Times New Roman"/>
          <w:sz w:val="28"/>
          <w:szCs w:val="28"/>
        </w:rPr>
        <w:t>1）气象条件</w:t>
      </w:r>
    </w:p>
    <w:p>
      <w:pPr>
        <w:pageBreakBefore w:val="0"/>
        <w:widowControl w:val="0"/>
        <w:kinsoku/>
        <w:wordWrap/>
        <w:overflowPunct/>
        <w:topLinePunct w:val="0"/>
        <w:bidi w:val="0"/>
        <w:snapToGrid/>
        <w:spacing w:line="600" w:lineRule="exact"/>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江西上饶市气候温湿，属亚热带湿润型气候。全年平均气温在16</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rPr>
        <w:t>7摄氏度至18</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rPr>
        <w:t>3摄氏度之间，年均日照时数1781至2098小时，年均无霜期251至274天。由于气候温暖， 光照充足，雨量充沛，无霜期长，农作物生长十分繁茂。主要灾害天气有冬季冰雪、干旱、雷电、暴雨等。上饶市年平均降水量为1600至1850毫米，属降水较多地区。1998年达2619毫米。降水量的分布受地形影响很大，以怀玉山区各县降水量为最大，年降水量都在1800毫米左右；湖滨地区的余干为最少。</w:t>
      </w:r>
    </w:p>
    <w:p>
      <w:pPr>
        <w:pageBreakBefore w:val="0"/>
        <w:widowControl w:val="0"/>
        <w:kinsoku/>
        <w:wordWrap/>
        <w:overflowPunct/>
        <w:topLinePunct w:val="0"/>
        <w:bidi w:val="0"/>
        <w:snapToGrid/>
        <w:spacing w:line="600" w:lineRule="exact"/>
        <w:ind w:firstLine="560" w:firstLineChars="200"/>
        <w:textAlignment w:val="auto"/>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上饶地区年平均雷暴日数为60天。</w:t>
      </w:r>
    </w:p>
    <w:p>
      <w:pPr>
        <w:pStyle w:val="64"/>
        <w:pageBreakBefore w:val="0"/>
        <w:widowControl w:val="0"/>
        <w:kinsoku/>
        <w:wordWrap/>
        <w:overflowPunct/>
        <w:topLinePunct w:val="0"/>
        <w:bidi w:val="0"/>
        <w:snapToGrid/>
        <w:spacing w:line="600" w:lineRule="exact"/>
        <w:ind w:firstLine="840" w:firstLineChars="300"/>
        <w:textAlignment w:val="auto"/>
        <w:rPr>
          <w:rFonts w:ascii="Times New Roman" w:cs="Times New Roman"/>
          <w:color w:val="auto"/>
          <w:kern w:val="2"/>
          <w:sz w:val="28"/>
          <w:szCs w:val="28"/>
        </w:rPr>
      </w:pPr>
      <w:bookmarkStart w:id="28" w:name="1248280-1320174-3_3"/>
      <w:bookmarkEnd w:id="28"/>
      <w:r>
        <w:rPr>
          <w:rFonts w:ascii="Times New Roman" w:cs="Times New Roman"/>
          <w:color w:val="auto"/>
          <w:kern w:val="2"/>
          <w:sz w:val="28"/>
          <w:szCs w:val="28"/>
        </w:rPr>
        <w:t>2）地</w:t>
      </w:r>
      <w:r>
        <w:rPr>
          <w:rFonts w:hint="eastAsia" w:ascii="Times New Roman" w:cs="Times New Roman"/>
          <w:color w:val="auto"/>
          <w:kern w:val="2"/>
          <w:sz w:val="28"/>
          <w:szCs w:val="28"/>
        </w:rPr>
        <w:t>质</w:t>
      </w:r>
    </w:p>
    <w:p>
      <w:pPr>
        <w:pStyle w:val="64"/>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560" w:firstLineChars="200"/>
        <w:textAlignment w:val="auto"/>
        <w:rPr>
          <w:rFonts w:ascii="Times New Roman" w:cs="Times New Roman"/>
          <w:color w:val="auto"/>
          <w:kern w:val="2"/>
          <w:sz w:val="28"/>
          <w:szCs w:val="28"/>
        </w:rPr>
      </w:pPr>
      <w:r>
        <w:rPr>
          <w:rFonts w:ascii="Times New Roman" w:cs="Times New Roman"/>
          <w:color w:val="auto"/>
          <w:kern w:val="2"/>
          <w:sz w:val="28"/>
          <w:szCs w:val="28"/>
        </w:rPr>
        <w:t>工程所在地场地基本平整，基础置于粉质粘土层。本场地及其附近没有可能影响工程稳定性的不良地质现象，场地及周边没有古河道、暗浜、暗塘、人工洞穴或其它人工地下设施等。</w:t>
      </w:r>
    </w:p>
    <w:p>
      <w:pPr>
        <w:pStyle w:val="64"/>
        <w:pageBreakBefore w:val="0"/>
        <w:widowControl w:val="0"/>
        <w:kinsoku/>
        <w:wordWrap/>
        <w:overflowPunct/>
        <w:topLinePunct w:val="0"/>
        <w:bidi w:val="0"/>
        <w:snapToGrid/>
        <w:spacing w:line="600" w:lineRule="exact"/>
        <w:ind w:firstLine="840" w:firstLineChars="300"/>
        <w:textAlignment w:val="auto"/>
        <w:rPr>
          <w:rFonts w:ascii="Times New Roman" w:cs="Times New Roman"/>
          <w:color w:val="auto"/>
          <w:kern w:val="2"/>
          <w:sz w:val="28"/>
          <w:szCs w:val="28"/>
        </w:rPr>
      </w:pPr>
      <w:r>
        <w:rPr>
          <w:rFonts w:hint="eastAsia" w:ascii="Times New Roman" w:cs="Times New Roman"/>
          <w:color w:val="auto"/>
          <w:kern w:val="2"/>
          <w:sz w:val="28"/>
          <w:szCs w:val="28"/>
        </w:rPr>
        <w:t>3）地震</w:t>
      </w:r>
    </w:p>
    <w:p>
      <w:pPr>
        <w:pageBreakBefore w:val="0"/>
        <w:widowControl w:val="0"/>
        <w:kinsoku/>
        <w:wordWrap/>
        <w:overflowPunct/>
        <w:topLinePunct w:val="0"/>
        <w:bidi w:val="0"/>
        <w:snapToGrid/>
        <w:spacing w:line="600" w:lineRule="exact"/>
        <w:ind w:firstLine="560" w:firstLineChars="200"/>
        <w:textAlignment w:val="auto"/>
        <w:rPr>
          <w:rFonts w:hint="eastAsia"/>
          <w:color w:val="auto"/>
          <w:lang w:val="en-US" w:eastAsia="zh-CN"/>
        </w:rPr>
      </w:pPr>
      <w:r>
        <w:rPr>
          <w:rFonts w:hint="eastAsia" w:ascii="Times New Roman" w:cs="Times New Roman"/>
          <w:color w:val="auto"/>
          <w:kern w:val="2"/>
          <w:sz w:val="28"/>
          <w:szCs w:val="28"/>
          <w:lang w:val="en-US" w:eastAsia="zh-CN"/>
        </w:rPr>
        <w:t>根据《中国地震烈度区划图》和《建筑抗震设计规范》的规定，当地区建筑场地设防烈度为6度，设计基本地震加速度为0.05g。所以本加油站建设项目建（构）筑物按地震基本烈度6度设防。</w:t>
      </w:r>
    </w:p>
    <w:p>
      <w:pPr>
        <w:pStyle w:val="3"/>
        <w:keepNext/>
        <w:keepLines/>
        <w:pageBreakBefore w:val="0"/>
        <w:widowControl w:val="0"/>
        <w:kinsoku/>
        <w:wordWrap/>
        <w:overflowPunct/>
        <w:topLinePunct w:val="0"/>
        <w:autoSpaceDE/>
        <w:autoSpaceDN/>
        <w:bidi w:val="0"/>
        <w:adjustRightInd/>
        <w:snapToGrid/>
        <w:spacing w:before="157" w:beforeLines="50" w:after="157" w:afterLines="50" w:line="600" w:lineRule="exact"/>
        <w:textAlignment w:val="auto"/>
        <w:rPr>
          <w:rFonts w:hint="eastAsia" w:ascii="宋体" w:hAnsi="宋体" w:eastAsia="宋体" w:cs="宋体"/>
          <w:b w:val="0"/>
          <w:color w:val="auto"/>
        </w:rPr>
      </w:pPr>
      <w:bookmarkStart w:id="29" w:name="_Toc9549"/>
      <w:r>
        <w:rPr>
          <w:color w:val="auto"/>
        </w:rPr>
        <w:t>2.</w:t>
      </w:r>
      <w:r>
        <w:rPr>
          <w:rFonts w:hint="eastAsia"/>
          <w:color w:val="auto"/>
          <w:lang w:val="en-US" w:eastAsia="zh-CN"/>
        </w:rPr>
        <w:t>4</w:t>
      </w:r>
      <w:r>
        <w:rPr>
          <w:rFonts w:hint="eastAsia" w:ascii="宋体" w:hAnsi="宋体" w:eastAsia="宋体" w:cs="宋体"/>
          <w:color w:val="auto"/>
          <w:lang w:val="en-US" w:eastAsia="zh-CN"/>
        </w:rPr>
        <w:t>总</w:t>
      </w:r>
      <w:r>
        <w:rPr>
          <w:rFonts w:hint="eastAsia" w:ascii="宋体" w:hAnsi="宋体" w:cs="宋体"/>
          <w:color w:val="auto"/>
          <w:lang w:val="en-US" w:eastAsia="zh-CN"/>
        </w:rPr>
        <w:t>图及</w:t>
      </w:r>
      <w:r>
        <w:rPr>
          <w:rFonts w:hint="eastAsia" w:ascii="宋体" w:hAnsi="宋体" w:eastAsia="宋体" w:cs="宋体"/>
          <w:color w:val="auto"/>
          <w:lang w:val="en-US" w:eastAsia="zh-CN"/>
        </w:rPr>
        <w:t>平面布置</w:t>
      </w:r>
      <w:bookmarkEnd w:id="29"/>
    </w:p>
    <w:p>
      <w:pPr>
        <w:pageBreakBefore w:val="0"/>
        <w:widowControl w:val="0"/>
        <w:kinsoku/>
        <w:wordWrap/>
        <w:overflowPunct/>
        <w:topLinePunct w:val="0"/>
        <w:bidi w:val="0"/>
        <w:snapToGrid/>
        <w:spacing w:line="600" w:lineRule="exact"/>
        <w:ind w:firstLine="560" w:firstLineChars="200"/>
        <w:textAlignment w:val="auto"/>
        <w:rPr>
          <w:rFonts w:hint="eastAsia" w:eastAsia="宋体"/>
          <w:color w:val="auto"/>
          <w:sz w:val="28"/>
          <w:szCs w:val="28"/>
          <w:lang w:eastAsia="zh-CN"/>
        </w:rPr>
      </w:pPr>
      <w:r>
        <w:rPr>
          <w:rFonts w:hint="eastAsia"/>
          <w:color w:val="auto"/>
          <w:sz w:val="28"/>
          <w:szCs w:val="28"/>
          <w:lang w:val="en-US" w:eastAsia="zh-CN"/>
        </w:rPr>
        <w:t>该项目拟建位置于</w:t>
      </w:r>
      <w:r>
        <w:rPr>
          <w:rFonts w:hint="eastAsia"/>
          <w:color w:val="auto"/>
          <w:sz w:val="28"/>
          <w:szCs w:val="28"/>
          <w:lang w:eastAsia="zh-CN"/>
        </w:rPr>
        <w:t>中国石化销售股份有限公司江西上饶市广信石油分公司第五加油站</w:t>
      </w:r>
      <w:r>
        <w:rPr>
          <w:rFonts w:hint="eastAsia"/>
          <w:color w:val="auto"/>
          <w:sz w:val="28"/>
          <w:szCs w:val="28"/>
          <w:lang w:val="en-US" w:eastAsia="zh-CN"/>
        </w:rPr>
        <w:t>南侧预留场地</w:t>
      </w:r>
      <w:r>
        <w:rPr>
          <w:rFonts w:hint="eastAsia"/>
          <w:color w:val="auto"/>
          <w:sz w:val="28"/>
          <w:szCs w:val="28"/>
        </w:rPr>
        <w:t>。</w:t>
      </w:r>
      <w:r>
        <w:rPr>
          <w:rFonts w:hint="eastAsia"/>
          <w:color w:val="auto"/>
          <w:sz w:val="28"/>
          <w:szCs w:val="28"/>
          <w:lang w:val="en-US" w:eastAsia="zh-CN"/>
        </w:rPr>
        <w:t>充电站</w:t>
      </w:r>
      <w:r>
        <w:rPr>
          <w:rFonts w:hint="eastAsia"/>
          <w:color w:val="auto"/>
          <w:sz w:val="28"/>
          <w:szCs w:val="28"/>
        </w:rPr>
        <w:t>整体坐</w:t>
      </w:r>
      <w:r>
        <w:rPr>
          <w:rFonts w:hint="eastAsia"/>
          <w:color w:val="auto"/>
          <w:sz w:val="28"/>
          <w:szCs w:val="28"/>
          <w:lang w:val="en-US" w:eastAsia="zh-CN"/>
        </w:rPr>
        <w:t>南</w:t>
      </w:r>
      <w:r>
        <w:rPr>
          <w:rFonts w:hint="eastAsia"/>
          <w:color w:val="auto"/>
          <w:sz w:val="28"/>
          <w:szCs w:val="28"/>
        </w:rPr>
        <w:t>朝</w:t>
      </w:r>
      <w:r>
        <w:rPr>
          <w:rFonts w:hint="eastAsia"/>
          <w:color w:val="auto"/>
          <w:sz w:val="28"/>
          <w:szCs w:val="28"/>
          <w:lang w:val="en-US" w:eastAsia="zh-CN"/>
        </w:rPr>
        <w:t>北，充电区道路宽度不小于6m，</w:t>
      </w:r>
      <w:r>
        <w:rPr>
          <w:rFonts w:hint="eastAsia"/>
          <w:color w:val="auto"/>
          <w:sz w:val="28"/>
          <w:szCs w:val="28"/>
          <w:lang w:eastAsia="zh-CN"/>
        </w:rPr>
        <w:t>。</w:t>
      </w:r>
    </w:p>
    <w:p>
      <w:pPr>
        <w:pageBreakBefore w:val="0"/>
        <w:widowControl w:val="0"/>
        <w:kinsoku/>
        <w:wordWrap/>
        <w:overflowPunct/>
        <w:topLinePunct w:val="0"/>
        <w:bidi w:val="0"/>
        <w:snapToGrid/>
        <w:spacing w:line="600" w:lineRule="exact"/>
        <w:ind w:firstLine="560" w:firstLineChars="200"/>
        <w:textAlignment w:val="auto"/>
        <w:rPr>
          <w:rFonts w:hint="default"/>
          <w:color w:val="auto"/>
          <w:sz w:val="28"/>
          <w:szCs w:val="28"/>
          <w:lang w:val="en-US" w:eastAsia="zh-CN"/>
        </w:rPr>
      </w:pPr>
      <w:r>
        <w:rPr>
          <w:rFonts w:hint="eastAsia"/>
          <w:color w:val="auto"/>
          <w:sz w:val="28"/>
          <w:szCs w:val="28"/>
          <w:lang w:val="en-US" w:eastAsia="zh-CN"/>
        </w:rPr>
        <w:t>充电区按充电车位的方位布置及功能，可分为：</w:t>
      </w:r>
      <w:r>
        <w:rPr>
          <w:rFonts w:hint="eastAsia"/>
          <w:b/>
          <w:bCs/>
          <w:color w:val="auto"/>
          <w:sz w:val="28"/>
          <w:szCs w:val="28"/>
          <w:lang w:val="en-US" w:eastAsia="zh-CN"/>
        </w:rPr>
        <w:t>南部充电车位、北部充电车位、中部充电车位。</w:t>
      </w:r>
    </w:p>
    <w:p>
      <w:pPr>
        <w:pageBreakBefore w:val="0"/>
        <w:widowControl w:val="0"/>
        <w:kinsoku/>
        <w:wordWrap/>
        <w:overflowPunct/>
        <w:topLinePunct w:val="0"/>
        <w:bidi w:val="0"/>
        <w:snapToGrid/>
        <w:spacing w:line="600" w:lineRule="exact"/>
        <w:ind w:firstLine="562" w:firstLineChars="200"/>
        <w:textAlignment w:val="auto"/>
        <w:rPr>
          <w:rFonts w:hint="eastAsia"/>
          <w:color w:val="auto"/>
          <w:sz w:val="28"/>
          <w:szCs w:val="28"/>
          <w:highlight w:val="none"/>
          <w:vertAlign w:val="baseline"/>
          <w:lang w:val="en-US" w:eastAsia="zh-CN"/>
        </w:rPr>
      </w:pPr>
      <w:r>
        <w:rPr>
          <w:rFonts w:hint="eastAsia"/>
          <w:b/>
          <w:bCs/>
          <w:color w:val="auto"/>
          <w:sz w:val="28"/>
          <w:szCs w:val="28"/>
          <w:highlight w:val="none"/>
          <w:vertAlign w:val="baseline"/>
          <w:lang w:val="en-US" w:eastAsia="zh-CN"/>
        </w:rPr>
        <w:t>南部充电车位：</w:t>
      </w:r>
      <w:r>
        <w:rPr>
          <w:rFonts w:hint="eastAsia"/>
          <w:color w:val="auto"/>
          <w:sz w:val="28"/>
          <w:szCs w:val="28"/>
          <w:highlight w:val="none"/>
          <w:vertAlign w:val="baseline"/>
          <w:lang w:val="en-US" w:eastAsia="zh-CN"/>
        </w:rPr>
        <w:t>拟设置于充电区南侧，自东向西分别设置1座1600KVA箱式变压器、2台480KW控制柜（由南向北）、10个60KW货拉拉停车位</w:t>
      </w:r>
      <w:r>
        <w:rPr>
          <w:rFonts w:hint="eastAsia"/>
          <w:color w:val="auto"/>
          <w:sz w:val="28"/>
          <w:szCs w:val="28"/>
          <w:lang w:val="en-US" w:eastAsia="zh-CN"/>
        </w:rPr>
        <w:t>（由东向西单排设置）</w:t>
      </w:r>
      <w:r>
        <w:rPr>
          <w:rFonts w:hint="eastAsia"/>
          <w:color w:val="auto"/>
          <w:sz w:val="28"/>
          <w:szCs w:val="28"/>
          <w:highlight w:val="none"/>
          <w:vertAlign w:val="baseline"/>
          <w:lang w:val="en-US" w:eastAsia="zh-CN"/>
        </w:rPr>
        <w:t>、13个60KW充电停车位和1个60KW液冷停车位</w:t>
      </w:r>
      <w:r>
        <w:rPr>
          <w:rFonts w:hint="eastAsia"/>
          <w:color w:val="auto"/>
          <w:sz w:val="28"/>
          <w:szCs w:val="28"/>
          <w:lang w:val="en-US" w:eastAsia="zh-CN"/>
        </w:rPr>
        <w:t>（由东向西单排设置）</w:t>
      </w:r>
      <w:r>
        <w:rPr>
          <w:rFonts w:hint="eastAsia"/>
          <w:color w:val="auto"/>
          <w:sz w:val="28"/>
          <w:szCs w:val="28"/>
          <w:highlight w:val="none"/>
          <w:vertAlign w:val="baseline"/>
          <w:lang w:val="en-US" w:eastAsia="zh-CN"/>
        </w:rPr>
        <w:t>、1台480KW控制柜和1台360KW控制柜（由南向北）、1座1600KVA箱式变压器；</w:t>
      </w:r>
    </w:p>
    <w:p>
      <w:pPr>
        <w:bidi w:val="0"/>
        <w:ind w:firstLine="562" w:firstLineChars="200"/>
        <w:rPr>
          <w:rFonts w:hint="default"/>
          <w:b w:val="0"/>
          <w:bCs/>
          <w:color w:val="auto"/>
          <w:sz w:val="28"/>
          <w:szCs w:val="28"/>
          <w:lang w:val="en-US" w:eastAsia="zh-CN"/>
        </w:rPr>
      </w:pPr>
      <w:r>
        <w:rPr>
          <w:rFonts w:hint="eastAsia"/>
          <w:b/>
          <w:bCs/>
          <w:color w:val="auto"/>
          <w:sz w:val="28"/>
          <w:szCs w:val="28"/>
          <w:lang w:val="en-US" w:eastAsia="zh-CN"/>
        </w:rPr>
        <w:t>北部充电车位：</w:t>
      </w:r>
      <w:r>
        <w:rPr>
          <w:rFonts w:hint="eastAsia"/>
          <w:color w:val="auto"/>
          <w:sz w:val="28"/>
          <w:szCs w:val="28"/>
          <w:lang w:val="en-US" w:eastAsia="zh-CN"/>
        </w:rPr>
        <w:t>拟设置于充电区北侧，自东向西分别设置1座1600KVA箱式变压器、1台480KW控制柜、8个60KW充电停车位（由东向西单排设置）、1处出口道闸、11个60KW充电停车位和1个60KW液冷车位（由东向西单排设置）、1台240KW控制柜和1台480KW控制柜（由南向北）、1处出口道闸、由防护围栏隔离保护的1座1600KVA箱式变压器、2台环网柜及1台计量柜（由南向北）。</w:t>
      </w:r>
    </w:p>
    <w:p>
      <w:pPr>
        <w:bidi w:val="0"/>
        <w:ind w:firstLine="562" w:firstLineChars="200"/>
        <w:rPr>
          <w:rFonts w:hint="default"/>
          <w:b/>
          <w:bCs w:val="0"/>
          <w:color w:val="auto"/>
          <w:sz w:val="28"/>
          <w:szCs w:val="28"/>
          <w:lang w:val="en-US" w:eastAsia="zh-CN"/>
        </w:rPr>
      </w:pPr>
      <w:r>
        <w:rPr>
          <w:rFonts w:hint="eastAsia"/>
          <w:b/>
          <w:bCs w:val="0"/>
          <w:color w:val="auto"/>
          <w:sz w:val="28"/>
          <w:szCs w:val="28"/>
          <w:lang w:val="en-US" w:eastAsia="zh-CN"/>
        </w:rPr>
        <w:t>中部充电车位：</w:t>
      </w:r>
      <w:r>
        <w:rPr>
          <w:rFonts w:hint="eastAsia"/>
          <w:b w:val="0"/>
          <w:bCs/>
          <w:color w:val="auto"/>
          <w:sz w:val="28"/>
          <w:szCs w:val="28"/>
          <w:lang w:val="en-US" w:eastAsia="zh-CN"/>
        </w:rPr>
        <w:t>拟设置于充电区中部，自东向西分别设置1处出入口道闸、2台480KW控制柜（由南向北）、8个60KW充电停车位（东西向双排设置，共17个）、2台240KW控制柜（由南向北）、12个60KW充电车位（东西双排设置，共24个）、2台480KW控制柜（由南向北）、6个60KW充电车位和1个临时停车位（由南向北单排设置）。</w:t>
      </w:r>
    </w:p>
    <w:p>
      <w:pPr>
        <w:bidi w:val="0"/>
        <w:ind w:firstLine="560" w:firstLineChars="200"/>
        <w:rPr>
          <w:color w:val="auto"/>
          <w:spacing w:val="-4"/>
          <w:sz w:val="28"/>
        </w:rPr>
      </w:pPr>
      <w:r>
        <w:rPr>
          <w:rFonts w:hint="eastAsia"/>
          <w:b w:val="0"/>
          <w:bCs/>
          <w:color w:val="auto"/>
          <w:sz w:val="28"/>
          <w:szCs w:val="28"/>
          <w:lang w:val="en-US" w:eastAsia="zh-CN"/>
        </w:rPr>
        <w:t>总平面布置详见附件。</w:t>
      </w:r>
      <w:r>
        <w:rPr>
          <w:rFonts w:hint="eastAsia"/>
          <w:color w:val="auto"/>
          <w:spacing w:val="-4"/>
          <w:sz w:val="28"/>
        </w:rPr>
        <w:t xml:space="preserve">   </w:t>
      </w:r>
      <w:bookmarkStart w:id="30" w:name="_Toc9917"/>
      <w:r>
        <w:rPr>
          <w:color w:val="auto"/>
          <w:spacing w:val="-4"/>
          <w:sz w:val="28"/>
        </w:rPr>
        <w:t xml:space="preserve"> </w:t>
      </w:r>
      <w:bookmarkStart w:id="31" w:name="_Toc134482521"/>
    </w:p>
    <w:bookmarkEnd w:id="30"/>
    <w:bookmarkEnd w:id="31"/>
    <w:p>
      <w:pPr>
        <w:pStyle w:val="3"/>
        <w:bidi w:val="0"/>
        <w:rPr>
          <w:color w:val="auto"/>
        </w:rPr>
      </w:pPr>
      <w:bookmarkStart w:id="32" w:name="_Toc2210"/>
      <w:bookmarkStart w:id="33" w:name="_Toc24002"/>
      <w:bookmarkStart w:id="34" w:name="_Toc14678"/>
      <w:r>
        <w:rPr>
          <w:color w:val="auto"/>
        </w:rPr>
        <w:t>2.</w:t>
      </w:r>
      <w:r>
        <w:rPr>
          <w:rFonts w:hint="eastAsia"/>
          <w:color w:val="auto"/>
          <w:lang w:val="en-US" w:eastAsia="zh-CN"/>
        </w:rPr>
        <w:t>5</w:t>
      </w:r>
      <w:r>
        <w:rPr>
          <w:rFonts w:hint="eastAsia"/>
          <w:color w:val="auto"/>
        </w:rPr>
        <w:t xml:space="preserve"> </w:t>
      </w:r>
      <w:r>
        <w:rPr>
          <w:rFonts w:hint="eastAsia" w:ascii="宋体" w:hAnsi="宋体" w:eastAsia="宋体" w:cs="宋体"/>
          <w:color w:val="auto"/>
        </w:rPr>
        <w:t>工艺</w:t>
      </w:r>
      <w:r>
        <w:rPr>
          <w:rFonts w:hint="eastAsia" w:ascii="宋体" w:hAnsi="宋体" w:cs="宋体"/>
          <w:color w:val="auto"/>
          <w:lang w:val="en-US" w:eastAsia="zh-CN"/>
        </w:rPr>
        <w:t>方案</w:t>
      </w:r>
      <w:bookmarkEnd w:id="32"/>
      <w:bookmarkEnd w:id="33"/>
      <w:bookmarkEnd w:id="34"/>
    </w:p>
    <w:p>
      <w:pPr>
        <w:pStyle w:val="4"/>
        <w:bidi w:val="0"/>
        <w:rPr>
          <w:color w:val="auto"/>
        </w:rPr>
      </w:pPr>
      <w:bookmarkStart w:id="35" w:name="_Toc16501"/>
      <w:r>
        <w:rPr>
          <w:color w:val="auto"/>
        </w:rPr>
        <w:t>2.</w:t>
      </w:r>
      <w:r>
        <w:rPr>
          <w:rFonts w:hint="eastAsia"/>
          <w:color w:val="auto"/>
          <w:lang w:val="en-US" w:eastAsia="zh-CN"/>
        </w:rPr>
        <w:t>5</w:t>
      </w:r>
      <w:r>
        <w:rPr>
          <w:color w:val="auto"/>
        </w:rPr>
        <w:t>.</w:t>
      </w:r>
      <w:r>
        <w:rPr>
          <w:rFonts w:hint="eastAsia"/>
          <w:color w:val="auto"/>
          <w:lang w:val="en-US" w:eastAsia="zh-CN"/>
        </w:rPr>
        <w:t>1充电</w:t>
      </w:r>
      <w:r>
        <w:rPr>
          <w:color w:val="auto"/>
        </w:rPr>
        <w:t>工艺流程</w:t>
      </w:r>
      <w:bookmarkEnd w:id="35"/>
    </w:p>
    <w:p>
      <w:pPr>
        <w:bidi w:val="0"/>
        <w:rPr>
          <w:rFonts w:hint="default"/>
          <w:color w:val="auto"/>
        </w:rPr>
      </w:pPr>
      <w:r>
        <w:rPr>
          <w:rFonts w:hint="default"/>
          <w:color w:val="auto"/>
        </w:rPr>
        <w:t>1、充电桩充电原理</w:t>
      </w:r>
    </w:p>
    <w:p>
      <w:pPr>
        <w:bidi w:val="0"/>
        <w:rPr>
          <w:rFonts w:hint="default"/>
          <w:color w:val="auto"/>
        </w:rPr>
      </w:pPr>
      <w:r>
        <w:rPr>
          <w:rFonts w:hint="default"/>
          <w:color w:val="auto"/>
        </w:rPr>
        <w:t>充电桩固定在地面，利用专用充电接口，采用传导方式，为具有车载充电机的电动汽车提供交流电能，具有相应的通讯、计费和安全防护功能。市民只需要购买IC卡并充值，就可以使用充电桩为汽车充电了。</w:t>
      </w:r>
    </w:p>
    <w:p>
      <w:pPr>
        <w:bidi w:val="0"/>
        <w:rPr>
          <w:rFonts w:hint="default"/>
          <w:color w:val="auto"/>
        </w:rPr>
      </w:pPr>
      <w:r>
        <w:rPr>
          <w:rFonts w:hint="default"/>
          <w:color w:val="auto"/>
        </w:rPr>
        <w:t>电动汽车蓄电池放电后，用直流电按与放电电流相反的方向通过蓄电池，使它恢复工作能力，这个过程称为蓄电池充电。蓄电池充电时，电池正极与电源正极相联，电池负极与电源负极相联，充电电源电压必须高于电池的总电动势。</w:t>
      </w:r>
    </w:p>
    <w:p>
      <w:pPr>
        <w:bidi w:val="0"/>
        <w:rPr>
          <w:rFonts w:hint="default"/>
          <w:color w:val="auto"/>
        </w:rPr>
      </w:pPr>
      <w:r>
        <w:rPr>
          <w:rFonts w:hint="default"/>
          <w:color w:val="auto"/>
        </w:rPr>
        <w:t>2、充电桩充电方式</w:t>
      </w:r>
    </w:p>
    <w:p>
      <w:pPr>
        <w:bidi w:val="0"/>
        <w:rPr>
          <w:rFonts w:hint="default"/>
          <w:color w:val="auto"/>
        </w:rPr>
      </w:pPr>
      <w:r>
        <w:rPr>
          <w:rFonts w:hint="default"/>
          <w:color w:val="auto"/>
        </w:rPr>
        <w:t>充电方式有恒电流充电和恒电压充电两种：</w:t>
      </w:r>
    </w:p>
    <w:p>
      <w:pPr>
        <w:bidi w:val="0"/>
        <w:rPr>
          <w:rFonts w:hint="default"/>
          <w:color w:val="auto"/>
        </w:rPr>
      </w:pPr>
      <w:r>
        <w:rPr>
          <w:rFonts w:hint="default"/>
          <w:color w:val="auto"/>
        </w:rPr>
        <w:t>①恒流充电法</w:t>
      </w:r>
    </w:p>
    <w:p>
      <w:pPr>
        <w:bidi w:val="0"/>
        <w:rPr>
          <w:rFonts w:hint="default"/>
          <w:color w:val="auto"/>
        </w:rPr>
      </w:pPr>
      <w:r>
        <w:rPr>
          <w:rFonts w:hint="default"/>
          <w:color w:val="auto"/>
        </w:rPr>
        <w:t>恒流充电法是用调整充电装置输出电压或改变与蓄电池串联电阻的方法，保持充电电流强度不变的充电方法。控制方法简单，但由于电池的可接受电流能力是随着充电过程的进行而逐渐下降的，到充电后期，充电电流多用于电解水，产生气体，使出气过甚，因此，常选用阶段充电法。</w:t>
      </w:r>
    </w:p>
    <w:p>
      <w:pPr>
        <w:bidi w:val="0"/>
        <w:rPr>
          <w:rFonts w:hint="default"/>
          <w:color w:val="auto"/>
        </w:rPr>
      </w:pPr>
      <w:r>
        <w:rPr>
          <w:rFonts w:hint="default"/>
          <w:color w:val="auto"/>
        </w:rPr>
        <w:t>②恒压充电法</w:t>
      </w:r>
    </w:p>
    <w:p>
      <w:pPr>
        <w:bidi w:val="0"/>
        <w:rPr>
          <w:rFonts w:hint="default"/>
          <w:color w:val="auto"/>
        </w:rPr>
      </w:pPr>
      <w:r>
        <w:rPr>
          <w:rFonts w:hint="default"/>
          <w:color w:val="auto"/>
        </w:rPr>
        <w:t>充电电源的电压在全部充电时间里保持恒定的数值，随着蓄电池端电压的逐渐升高，电流逐渐减少。与恒流充电法相比，其充电过程更接近于最佳充电曲线。用恒定电压快速充电，由于充电初期蓄电池电动势较低，充电电流很大，随着充电的进行，电流将逐渐减少，因此，只需简易控制系统。</w:t>
      </w:r>
    </w:p>
    <w:p>
      <w:pPr>
        <w:bidi w:val="0"/>
        <w:rPr>
          <w:rFonts w:hint="default"/>
          <w:color w:val="auto"/>
        </w:rPr>
      </w:pPr>
      <w:r>
        <w:rPr>
          <w:rFonts w:hint="default"/>
          <w:color w:val="auto"/>
        </w:rPr>
        <w:t>电动汽车充电桩直流充电桩充电方式</w:t>
      </w:r>
    </w:p>
    <w:p>
      <w:pPr>
        <w:bidi w:val="0"/>
        <w:rPr>
          <w:rFonts w:hint="default"/>
          <w:color w:val="auto"/>
        </w:rPr>
      </w:pPr>
      <w:r>
        <w:rPr>
          <w:rFonts w:hint="default"/>
          <w:color w:val="auto"/>
        </w:rPr>
        <w:t>直流充电桩主要安装在大型充电站内，以三相四线制的方式连接电网，能够提供充足的电力，输出的电压和电流调整范围大，俗称“快充”。电动大巴车主要通过直流充电桩充电。</w:t>
      </w:r>
    </w:p>
    <w:p>
      <w:pPr>
        <w:bidi w:val="0"/>
        <w:rPr>
          <w:rFonts w:hint="default"/>
          <w:color w:val="auto"/>
          <w:lang w:val="en-US" w:eastAsia="zh-CN"/>
        </w:rPr>
      </w:pPr>
      <w:r>
        <w:rPr>
          <w:rFonts w:hint="default"/>
          <w:color w:val="auto"/>
        </w:rPr>
        <w:t>直流充电桩与电动汽车之间通信充电时，直流充电桩需要与电动汽车进行信息互换，让充电桩识别插头连接状态，如是否可靠连接、是否漏电等，用于确定是否可以开始充电或断电。GB/T20234.3-2015对直流充电桩与电动汽车的通信方式及接口进行了规范，二者之间通过CAN协议进行通信，因此每一个直流充电插头都必须包含CAN接口，一桩多充的充电桩则会有多个CAN接</w:t>
      </w:r>
      <w:r>
        <w:rPr>
          <w:rFonts w:hint="default"/>
          <w:color w:val="auto"/>
          <w:lang w:val="en-US" w:eastAsia="zh-CN"/>
        </w:rPr>
        <w:t>口。</w:t>
      </w:r>
    </w:p>
    <w:p>
      <w:pPr>
        <w:bidi w:val="0"/>
        <w:rPr>
          <w:rFonts w:hint="eastAsia"/>
          <w:color w:val="auto"/>
          <w:lang w:val="en-US" w:eastAsia="zh-CN"/>
        </w:rPr>
      </w:pPr>
      <w:r>
        <w:rPr>
          <w:rFonts w:hint="default"/>
          <w:color w:val="auto"/>
          <w:lang w:val="en-US" w:eastAsia="zh-CN"/>
        </w:rPr>
        <w:t>3、</w:t>
      </w:r>
      <w:r>
        <w:rPr>
          <w:rFonts w:hint="eastAsia"/>
          <w:color w:val="auto"/>
          <w:lang w:val="en-US" w:eastAsia="zh-CN"/>
        </w:rPr>
        <w:t>本项目</w:t>
      </w:r>
      <w:r>
        <w:rPr>
          <w:rFonts w:hint="eastAsia"/>
          <w:color w:val="auto"/>
        </w:rPr>
        <w:t>充电工艺流程</w:t>
      </w:r>
      <w:r>
        <w:rPr>
          <w:rFonts w:hint="eastAsia"/>
          <w:color w:val="auto"/>
          <w:lang w:val="en-US" w:eastAsia="zh-CN"/>
        </w:rPr>
        <w:t>图</w:t>
      </w:r>
    </w:p>
    <w:p>
      <w:pPr>
        <w:pStyle w:val="10"/>
        <w:spacing w:line="600" w:lineRule="exact"/>
        <w:ind w:firstLine="560" w:firstLineChars="200"/>
        <w:rPr>
          <w:rFonts w:hint="eastAsia"/>
          <w:color w:val="auto"/>
          <w:sz w:val="28"/>
          <w:szCs w:val="28"/>
        </w:rPr>
      </w:pPr>
      <w:r>
        <w:rPr>
          <w:color w:val="auto"/>
          <w:sz w:val="28"/>
        </w:rPr>
        <mc:AlternateContent>
          <mc:Choice Requires="wpg">
            <w:drawing>
              <wp:anchor distT="0" distB="0" distL="114300" distR="114300" simplePos="0" relativeHeight="251660288" behindDoc="0" locked="0" layoutInCell="1" allowOverlap="1">
                <wp:simplePos x="0" y="0"/>
                <wp:positionH relativeFrom="column">
                  <wp:posOffset>337820</wp:posOffset>
                </wp:positionH>
                <wp:positionV relativeFrom="paragraph">
                  <wp:posOffset>193675</wp:posOffset>
                </wp:positionV>
                <wp:extent cx="5550535" cy="335280"/>
                <wp:effectExtent l="7620" t="8255" r="23495" b="18415"/>
                <wp:wrapNone/>
                <wp:docPr id="32" name="组合 32"/>
                <wp:cNvGraphicFramePr/>
                <a:graphic xmlns:a="http://schemas.openxmlformats.org/drawingml/2006/main">
                  <a:graphicData uri="http://schemas.microsoft.com/office/word/2010/wordprocessingGroup">
                    <wpg:wgp>
                      <wpg:cNvGrpSpPr/>
                      <wpg:grpSpPr>
                        <a:xfrm>
                          <a:off x="0" y="0"/>
                          <a:ext cx="5550535" cy="335280"/>
                          <a:chOff x="2233" y="407676"/>
                          <a:chExt cx="8741" cy="528"/>
                        </a:xfrm>
                      </wpg:grpSpPr>
                      <wps:wsp>
                        <wps:cNvPr id="15" name="文本框 15"/>
                        <wps:cNvSpPr txBox="1"/>
                        <wps:spPr>
                          <a:xfrm>
                            <a:off x="2233" y="407676"/>
                            <a:ext cx="1455" cy="51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38"/>
                                <w:bidi w:val="0"/>
                                <w:rPr>
                                  <w:rFonts w:hint="default"/>
                                  <w:lang w:val="en-US" w:eastAsia="zh-CN"/>
                                </w:rPr>
                              </w:pPr>
                              <w:r>
                                <w:rPr>
                                  <w:rFonts w:hint="eastAsia"/>
                                  <w:lang w:val="en-US" w:eastAsia="zh-CN"/>
                                </w:rPr>
                                <w:t>箱式变压器</w:t>
                              </w:r>
                            </w:p>
                          </w:txbxContent>
                        </wps:txbx>
                        <wps:bodyPr upright="1"/>
                      </wps:wsp>
                      <wps:wsp>
                        <wps:cNvPr id="29" name="直接箭头连接符 29"/>
                        <wps:cNvCnPr/>
                        <wps:spPr>
                          <a:xfrm>
                            <a:off x="3703" y="407931"/>
                            <a:ext cx="570" cy="0"/>
                          </a:xfrm>
                          <a:prstGeom prst="straightConnector1">
                            <a:avLst/>
                          </a:prstGeom>
                          <a:ln w="15875" cap="flat" cmpd="sng">
                            <a:solidFill>
                              <a:srgbClr val="000000"/>
                            </a:solidFill>
                            <a:prstDash val="solid"/>
                            <a:headEnd type="none" w="med" len="med"/>
                            <a:tailEnd type="triangle" w="med" len="med"/>
                          </a:ln>
                        </wps:spPr>
                        <wps:bodyPr/>
                      </wps:wsp>
                      <wps:wsp>
                        <wps:cNvPr id="28" name="文本框 28"/>
                        <wps:cNvSpPr txBox="1"/>
                        <wps:spPr>
                          <a:xfrm>
                            <a:off x="4288" y="407676"/>
                            <a:ext cx="1455" cy="51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38"/>
                                <w:bidi w:val="0"/>
                                <w:rPr>
                                  <w:rFonts w:hint="eastAsia"/>
                                </w:rPr>
                              </w:pPr>
                              <w:r>
                                <w:rPr>
                                  <w:rFonts w:hint="eastAsia"/>
                                  <w:lang w:val="en-US" w:eastAsia="zh-CN"/>
                                </w:rPr>
                                <w:t>总控制柜</w:t>
                              </w:r>
                              <w:r>
                                <w:rPr>
                                  <w:rFonts w:hint="eastAsia"/>
                                </w:rPr>
                                <w:t>箱</w:t>
                              </w:r>
                            </w:p>
                          </w:txbxContent>
                        </wps:txbx>
                        <wps:bodyPr upright="1"/>
                      </wps:wsp>
                      <wps:wsp>
                        <wps:cNvPr id="27" name="直接箭头连接符 27"/>
                        <wps:cNvCnPr/>
                        <wps:spPr>
                          <a:xfrm>
                            <a:off x="5764" y="407931"/>
                            <a:ext cx="570" cy="0"/>
                          </a:xfrm>
                          <a:prstGeom prst="straightConnector1">
                            <a:avLst/>
                          </a:prstGeom>
                          <a:ln w="15875" cap="flat" cmpd="sng">
                            <a:solidFill>
                              <a:srgbClr val="000000"/>
                            </a:solidFill>
                            <a:prstDash val="solid"/>
                            <a:headEnd type="none" w="med" len="med"/>
                            <a:tailEnd type="triangle" w="med" len="med"/>
                          </a:ln>
                        </wps:spPr>
                        <wps:bodyPr/>
                      </wps:wsp>
                      <wps:wsp>
                        <wps:cNvPr id="26" name="文本框 26"/>
                        <wps:cNvSpPr txBox="1"/>
                        <wps:spPr>
                          <a:xfrm>
                            <a:off x="6367" y="407694"/>
                            <a:ext cx="1741" cy="511"/>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spacing w:line="240" w:lineRule="auto"/>
                                <w:ind w:left="0" w:leftChars="0" w:firstLine="0" w:firstLineChars="0"/>
                                <w:jc w:val="center"/>
                                <w:rPr>
                                  <w:rFonts w:hint="eastAsia"/>
                                  <w:sz w:val="21"/>
                                  <w:szCs w:val="21"/>
                                </w:rPr>
                              </w:pPr>
                              <w:r>
                                <w:rPr>
                                  <w:rStyle w:val="69"/>
                                  <w:rFonts w:hint="eastAsia"/>
                                </w:rPr>
                                <w:t>直流充电终</w:t>
                              </w:r>
                              <w:r>
                                <w:rPr>
                                  <w:rStyle w:val="69"/>
                                  <w:rFonts w:hint="eastAsia"/>
                                  <w:lang w:val="en-US" w:eastAsia="zh-CN"/>
                                </w:rPr>
                                <w:t>端</w:t>
                              </w:r>
                            </w:p>
                          </w:txbxContent>
                        </wps:txbx>
                        <wps:bodyPr upright="1"/>
                      </wps:wsp>
                      <wps:wsp>
                        <wps:cNvPr id="19" name="直接箭头连接符 19"/>
                        <wps:cNvCnPr/>
                        <wps:spPr>
                          <a:xfrm>
                            <a:off x="8090" y="407916"/>
                            <a:ext cx="570" cy="0"/>
                          </a:xfrm>
                          <a:prstGeom prst="straightConnector1">
                            <a:avLst/>
                          </a:prstGeom>
                          <a:ln w="15875" cap="flat" cmpd="sng">
                            <a:solidFill>
                              <a:srgbClr val="000000"/>
                            </a:solidFill>
                            <a:prstDash val="solid"/>
                            <a:headEnd type="none" w="med" len="med"/>
                            <a:tailEnd type="triangle" w="med" len="med"/>
                          </a:ln>
                        </wps:spPr>
                        <wps:bodyPr/>
                      </wps:wsp>
                      <wps:wsp>
                        <wps:cNvPr id="16" name="文本框 16"/>
                        <wps:cNvSpPr txBox="1"/>
                        <wps:spPr>
                          <a:xfrm>
                            <a:off x="8660" y="407691"/>
                            <a:ext cx="2315" cy="51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pPr>
                                <w:pStyle w:val="38"/>
                                <w:bidi w:val="0"/>
                                <w:rPr>
                                  <w:rFonts w:hint="eastAsia"/>
                                </w:rPr>
                              </w:pPr>
                              <w:r>
                                <w:rPr>
                                  <w:rFonts w:hint="eastAsia"/>
                                </w:rPr>
                                <w:t>电动汽车动力蓄电池</w:t>
                              </w:r>
                            </w:p>
                          </w:txbxContent>
                        </wps:txbx>
                        <wps:bodyPr upright="1"/>
                      </wps:wsp>
                    </wpg:wgp>
                  </a:graphicData>
                </a:graphic>
              </wp:anchor>
            </w:drawing>
          </mc:Choice>
          <mc:Fallback>
            <w:pict>
              <v:group id="_x0000_s1026" o:spid="_x0000_s1026" o:spt="203" style="position:absolute;left:0pt;margin-left:26.6pt;margin-top:15.25pt;height:26.4pt;width:437.05pt;z-index:251660288;mso-width-relative:page;mso-height-relative:page;" coordorigin="2233,407676" coordsize="8741,528" o:gfxdata="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">
                <o:lock v:ext="edit" aspectratio="f"/>
                <v:shape id="_x0000_s1026" o:spid="_x0000_s1026" o:spt="202" type="#_x0000_t202" style="position:absolute;left:2233;top:407676;height:510;width:1455;" fillcolor="#FFFFFF" filled="t" stroked="t" coordsize="21600,21600" o:gfxdata="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Tyu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1.25pt" color="#000000" joinstyle="miter"/>
                  <v:imagedata o:title=""/>
                  <o:lock v:ext="edit" aspectratio="f"/>
                  <v:textbox>
                    <w:txbxContent>
                      <w:p>
                        <w:pPr>
                          <w:pStyle w:val="38"/>
                          <w:bidi w:val="0"/>
                          <w:rPr>
                            <w:rFonts w:hint="default"/>
                            <w:lang w:val="en-US" w:eastAsia="zh-CN"/>
                          </w:rPr>
                        </w:pPr>
                        <w:r>
                          <w:rPr>
                            <w:rFonts w:hint="eastAsia"/>
                            <w:lang w:val="en-US" w:eastAsia="zh-CN"/>
                          </w:rPr>
                          <w:t>箱式变压器</w:t>
                        </w:r>
                      </w:p>
                    </w:txbxContent>
                  </v:textbox>
                </v:shape>
                <v:shape id="_x0000_s1026" o:spid="_x0000_s1026" o:spt="32" type="#_x0000_t32" style="position:absolute;left:3703;top:407931;height:0;width:570;" filled="f" stroked="t" coordsize="21600,21600" o:gfxdata="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3RfB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_x0000_s1026" o:spid="_x0000_s1026" o:spt="202" type="#_x0000_t202" style="position:absolute;left:4288;top:407676;height:510;width:1455;" fillcolor="#FFFFFF" filled="t" stroked="t" coordsize="21600,21600" o:gfxdata="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TKgi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1.25pt" color="#000000" joinstyle="miter"/>
                  <v:imagedata o:title=""/>
                  <o:lock v:ext="edit" aspectratio="f"/>
                  <v:textbox>
                    <w:txbxContent>
                      <w:p>
                        <w:pPr>
                          <w:pStyle w:val="38"/>
                          <w:bidi w:val="0"/>
                          <w:rPr>
                            <w:rFonts w:hint="eastAsia"/>
                          </w:rPr>
                        </w:pPr>
                        <w:r>
                          <w:rPr>
                            <w:rFonts w:hint="eastAsia"/>
                            <w:lang w:val="en-US" w:eastAsia="zh-CN"/>
                          </w:rPr>
                          <w:t>总控制柜</w:t>
                        </w:r>
                        <w:r>
                          <w:rPr>
                            <w:rFonts w:hint="eastAsia"/>
                          </w:rPr>
                          <w:t>箱</w:t>
                        </w:r>
                      </w:p>
                    </w:txbxContent>
                  </v:textbox>
                </v:shape>
                <v:shape id="_x0000_s1026" o:spid="_x0000_s1026" o:spt="32" type="#_x0000_t32" style="position:absolute;left:5764;top:407931;height:0;width:570;" filled="f" stroked="t" coordsize="21600,21600" o:gfxdata="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iYo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shape>
                <v:shape id="_x0000_s1026" o:spid="_x0000_s1026" o:spt="202" type="#_x0000_t202" style="position:absolute;left:6367;top:407694;height:511;width:1741;" fillcolor="#FFFFFF" filled="t" stroked="t" coordsize="21600,21600" o:gfxdata="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Ab4bsAAADb&#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weight="1.25pt" color="#000000" joinstyle="miter"/>
                  <v:imagedata o:title=""/>
                  <o:lock v:ext="edit" aspectratio="f"/>
                  <v:textbox>
                    <w:txbxContent>
                      <w:p>
                        <w:pPr>
                          <w:spacing w:line="240" w:lineRule="auto"/>
                          <w:ind w:left="0" w:leftChars="0" w:firstLine="0" w:firstLineChars="0"/>
                          <w:jc w:val="center"/>
                          <w:rPr>
                            <w:rFonts w:hint="eastAsia"/>
                            <w:sz w:val="21"/>
                            <w:szCs w:val="21"/>
                          </w:rPr>
                        </w:pPr>
                        <w:r>
                          <w:rPr>
                            <w:rStyle w:val="69"/>
                            <w:rFonts w:hint="eastAsia"/>
                          </w:rPr>
                          <w:t>直流充电终</w:t>
                        </w:r>
                        <w:r>
                          <w:rPr>
                            <w:rStyle w:val="69"/>
                            <w:rFonts w:hint="eastAsia"/>
                            <w:lang w:val="en-US" w:eastAsia="zh-CN"/>
                          </w:rPr>
                          <w:t>端</w:t>
                        </w:r>
                      </w:p>
                    </w:txbxContent>
                  </v:textbox>
                </v:shape>
                <v:shape id="_x0000_s1026" o:spid="_x0000_s1026" o:spt="32" type="#_x0000_t32" style="position:absolute;left:8090;top:407916;height:0;width:570;" filled="f" stroked="t" coordsize="21600,21600" o:gfxdata="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HdfLsAAADb&#10;AAAADwAAAAAAAAABACAAAAAiAAAAZHJzL2Rvd25yZXYueG1sUEsBAhQAFAAAAAgAh07iQDMvBZ47&#10;AAAAOQAAABAAAAAAAAAAAQAgAAAACgEAAGRycy9zaGFwZXhtbC54bWxQSwUGAAAAAAYABgBbAQAA&#10;tAMAAAAA&#10;">
                  <v:fill on="f" focussize="0,0"/>
                  <v:stroke weight="1.25pt" color="#000000" joinstyle="round" endarrow="block"/>
                  <v:imagedata o:title=""/>
                  <o:lock v:ext="edit" aspectratio="f"/>
                </v:shape>
                <v:shape id="_x0000_s1026" o:spid="_x0000_s1026" o:spt="202" type="#_x0000_t202" style="position:absolute;left:8660;top:407691;height:510;width:2315;" fillcolor="#FFFFFF" filled="t" stroked="t" coordsize="21600,21600" o:gfxdata="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s0Vy5AAAA2w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weight="1.25pt" color="#000000" joinstyle="miter"/>
                  <v:imagedata o:title=""/>
                  <o:lock v:ext="edit" aspectratio="f"/>
                  <v:textbox>
                    <w:txbxContent>
                      <w:p>
                        <w:pPr>
                          <w:pStyle w:val="38"/>
                          <w:bidi w:val="0"/>
                          <w:rPr>
                            <w:rFonts w:hint="eastAsia"/>
                          </w:rPr>
                        </w:pPr>
                        <w:r>
                          <w:rPr>
                            <w:rFonts w:hint="eastAsia"/>
                          </w:rPr>
                          <w:t>电动汽车动力蓄电池</w:t>
                        </w:r>
                      </w:p>
                    </w:txbxContent>
                  </v:textbox>
                </v:shape>
              </v:group>
            </w:pict>
          </mc:Fallback>
        </mc:AlternateContent>
      </w:r>
    </w:p>
    <w:p>
      <w:pPr>
        <w:pStyle w:val="4"/>
        <w:bidi w:val="0"/>
        <w:rPr>
          <w:rFonts w:hint="default" w:eastAsia="楷体"/>
          <w:color w:val="auto"/>
          <w:lang w:val="en-US" w:eastAsia="zh-CN"/>
        </w:rPr>
      </w:pPr>
      <w:bookmarkStart w:id="36" w:name="_Toc2547"/>
      <w:r>
        <w:rPr>
          <w:color w:val="auto"/>
        </w:rPr>
        <w:t>2.</w:t>
      </w:r>
      <w:r>
        <w:rPr>
          <w:rFonts w:hint="eastAsia"/>
          <w:color w:val="auto"/>
          <w:lang w:val="en-US" w:eastAsia="zh-CN"/>
        </w:rPr>
        <w:t>5.2</w:t>
      </w:r>
      <w:r>
        <w:rPr>
          <w:rFonts w:hint="eastAsia" w:ascii="宋体" w:hAnsi="宋体" w:eastAsia="宋体" w:cs="宋体"/>
          <w:color w:val="auto"/>
          <w:lang w:val="en-US" w:eastAsia="zh-CN"/>
        </w:rPr>
        <w:t>系统选择</w:t>
      </w:r>
      <w:bookmarkEnd w:id="36"/>
    </w:p>
    <w:p>
      <w:pPr>
        <w:numPr>
          <w:ilvl w:val="0"/>
          <w:numId w:val="0"/>
        </w:numPr>
        <w:wordWrap w:val="0"/>
        <w:adjustRightInd w:val="0"/>
        <w:snapToGrid w:val="0"/>
        <w:spacing w:line="600" w:lineRule="exact"/>
        <w:ind w:firstLine="570" w:firstLineChars="0"/>
        <w:textAlignment w:val="center"/>
        <w:rPr>
          <w:rFonts w:hint="eastAsia"/>
          <w:b/>
          <w:bCs/>
          <w:color w:val="auto"/>
          <w:sz w:val="28"/>
          <w:szCs w:val="28"/>
          <w:lang w:val="en-US" w:eastAsia="zh-CN"/>
        </w:rPr>
      </w:pPr>
      <w:r>
        <w:rPr>
          <w:rFonts w:hint="eastAsia" w:ascii="Times New Roman" w:hAnsi="Times New Roman" w:eastAsia="宋体" w:cs="Times New Roman"/>
          <w:b/>
          <w:bCs/>
          <w:color w:val="auto"/>
          <w:kern w:val="2"/>
          <w:sz w:val="28"/>
          <w:szCs w:val="28"/>
          <w:lang w:val="en-US" w:eastAsia="zh-CN" w:bidi="ar-SA"/>
        </w:rPr>
        <w:t>1、</w:t>
      </w:r>
      <w:r>
        <w:rPr>
          <w:rFonts w:hint="eastAsia"/>
          <w:b/>
          <w:bCs/>
          <w:color w:val="auto"/>
          <w:sz w:val="28"/>
          <w:szCs w:val="28"/>
          <w:lang w:val="en-US" w:eastAsia="zh-CN"/>
        </w:rPr>
        <w:t>集成模块</w:t>
      </w:r>
    </w:p>
    <w:p>
      <w:pPr>
        <w:numPr>
          <w:ilvl w:val="0"/>
          <w:numId w:val="0"/>
        </w:numPr>
        <w:wordWrap w:val="0"/>
        <w:adjustRightInd w:val="0"/>
        <w:snapToGrid w:val="0"/>
        <w:spacing w:line="600" w:lineRule="exact"/>
        <w:ind w:firstLine="560" w:firstLineChars="200"/>
        <w:textAlignment w:val="center"/>
        <w:rPr>
          <w:rFonts w:hint="eastAsia"/>
          <w:color w:val="auto"/>
          <w:sz w:val="28"/>
          <w:szCs w:val="28"/>
          <w:lang w:val="en-US" w:eastAsia="zh-CN"/>
        </w:rPr>
      </w:pPr>
      <w:r>
        <w:rPr>
          <w:rFonts w:hint="eastAsia"/>
          <w:color w:val="auto"/>
          <w:sz w:val="28"/>
          <w:szCs w:val="28"/>
          <w:lang w:val="en-US" w:eastAsia="zh-CN"/>
        </w:rPr>
        <w:t>充电站采用标准化和模块化的设计，改变充电过程的无序状态，便于实现从配电到充电设备的集中监控。保证整体接入，与其他用电设备隔离，也为将来高效的维护运营打下基础。</w:t>
      </w:r>
    </w:p>
    <w:p>
      <w:pPr>
        <w:numPr>
          <w:ilvl w:val="0"/>
          <w:numId w:val="0"/>
        </w:numPr>
        <w:wordWrap w:val="0"/>
        <w:adjustRightInd w:val="0"/>
        <w:snapToGrid w:val="0"/>
        <w:spacing w:line="600" w:lineRule="exact"/>
        <w:ind w:firstLine="562" w:firstLineChars="200"/>
        <w:textAlignment w:val="center"/>
        <w:rPr>
          <w:rFonts w:hint="eastAsia"/>
          <w:b/>
          <w:bCs/>
          <w:color w:val="auto"/>
          <w:sz w:val="28"/>
          <w:szCs w:val="28"/>
          <w:lang w:val="en-US" w:eastAsia="zh-CN"/>
        </w:rPr>
      </w:pPr>
      <w:r>
        <w:rPr>
          <w:rFonts w:hint="eastAsia" w:ascii="Times New Roman" w:hAnsi="Times New Roman" w:eastAsia="宋体" w:cs="Times New Roman"/>
          <w:b/>
          <w:bCs/>
          <w:color w:val="auto"/>
          <w:kern w:val="2"/>
          <w:sz w:val="28"/>
          <w:szCs w:val="28"/>
          <w:lang w:val="en-US" w:eastAsia="zh-CN" w:bidi="ar-SA"/>
        </w:rPr>
        <w:t>2、</w:t>
      </w:r>
      <w:r>
        <w:rPr>
          <w:rFonts w:hint="eastAsia"/>
          <w:b/>
          <w:bCs/>
          <w:color w:val="auto"/>
          <w:sz w:val="28"/>
          <w:szCs w:val="28"/>
          <w:lang w:val="en-US" w:eastAsia="zh-CN"/>
        </w:rPr>
        <w:t>群管群控</w:t>
      </w:r>
    </w:p>
    <w:p>
      <w:pPr>
        <w:numPr>
          <w:ilvl w:val="0"/>
          <w:numId w:val="0"/>
        </w:numPr>
        <w:wordWrap w:val="0"/>
        <w:adjustRightInd w:val="0"/>
        <w:snapToGrid w:val="0"/>
        <w:spacing w:line="600" w:lineRule="exact"/>
        <w:ind w:firstLine="560" w:firstLineChars="200"/>
        <w:textAlignment w:val="center"/>
        <w:rPr>
          <w:rFonts w:hint="default"/>
          <w:color w:val="auto"/>
          <w:sz w:val="28"/>
          <w:szCs w:val="28"/>
          <w:lang w:val="en-US" w:eastAsia="zh-CN"/>
        </w:rPr>
      </w:pPr>
      <w:r>
        <w:rPr>
          <w:rFonts w:hint="eastAsia"/>
          <w:color w:val="auto"/>
          <w:sz w:val="28"/>
          <w:szCs w:val="28"/>
          <w:lang w:val="en-US" w:eastAsia="zh-CN"/>
        </w:rPr>
        <w:t>通过集成化的设备，实现设备的群管群控，实现分层次的管理水平。通过电动汽车电池充放电数量集团优势，运用合理的负荷调度原则，达到削谷填峰的电能调度目的。通过群管群控，模型建立的颗粒度增加，模型建立的可靠性、可研性、可控性整体增强，为负荷整体调控带来便利，也为电网接受集合放电提供了有利条件。</w:t>
      </w:r>
    </w:p>
    <w:p>
      <w:pPr>
        <w:numPr>
          <w:ilvl w:val="0"/>
          <w:numId w:val="0"/>
        </w:numPr>
        <w:wordWrap w:val="0"/>
        <w:adjustRightInd w:val="0"/>
        <w:snapToGrid w:val="0"/>
        <w:spacing w:line="600" w:lineRule="exact"/>
        <w:ind w:firstLine="562" w:firstLineChars="200"/>
        <w:textAlignment w:val="center"/>
        <w:rPr>
          <w:rFonts w:hint="eastAsia"/>
          <w:b/>
          <w:bCs/>
          <w:color w:val="auto"/>
          <w:sz w:val="28"/>
          <w:szCs w:val="28"/>
          <w:lang w:val="en-US" w:eastAsia="zh-CN"/>
        </w:rPr>
      </w:pPr>
      <w:r>
        <w:rPr>
          <w:rFonts w:hint="eastAsia" w:ascii="Times New Roman" w:hAnsi="Times New Roman" w:eastAsia="宋体" w:cs="Times New Roman"/>
          <w:b/>
          <w:bCs/>
          <w:color w:val="auto"/>
          <w:kern w:val="2"/>
          <w:sz w:val="28"/>
          <w:szCs w:val="28"/>
          <w:lang w:val="en-US" w:eastAsia="zh-CN" w:bidi="ar-SA"/>
        </w:rPr>
        <w:t>3、</w:t>
      </w:r>
      <w:r>
        <w:rPr>
          <w:rFonts w:hint="eastAsia"/>
          <w:b/>
          <w:bCs/>
          <w:color w:val="auto"/>
          <w:sz w:val="28"/>
          <w:szCs w:val="28"/>
          <w:lang w:val="en-US" w:eastAsia="zh-CN"/>
        </w:rPr>
        <w:t>防护选择</w:t>
      </w:r>
    </w:p>
    <w:p>
      <w:pPr>
        <w:numPr>
          <w:ilvl w:val="0"/>
          <w:numId w:val="0"/>
        </w:numPr>
        <w:wordWrap w:val="0"/>
        <w:adjustRightInd w:val="0"/>
        <w:snapToGrid w:val="0"/>
        <w:spacing w:line="600" w:lineRule="exact"/>
        <w:ind w:firstLine="560" w:firstLineChars="200"/>
        <w:textAlignment w:val="center"/>
        <w:rPr>
          <w:rFonts w:hint="default"/>
          <w:color w:val="auto"/>
          <w:sz w:val="28"/>
          <w:szCs w:val="28"/>
          <w:lang w:val="en-US" w:eastAsia="zh-CN"/>
        </w:rPr>
      </w:pPr>
      <w:r>
        <w:rPr>
          <w:rFonts w:hint="eastAsia"/>
          <w:color w:val="auto"/>
          <w:sz w:val="28"/>
          <w:szCs w:val="28"/>
          <w:lang w:val="en-US" w:eastAsia="zh-CN"/>
        </w:rPr>
        <w:t>①对电网的主动防护</w:t>
      </w:r>
    </w:p>
    <w:p>
      <w:pPr>
        <w:numPr>
          <w:ilvl w:val="0"/>
          <w:numId w:val="0"/>
        </w:numPr>
        <w:wordWrap w:val="0"/>
        <w:adjustRightInd w:val="0"/>
        <w:snapToGrid w:val="0"/>
        <w:spacing w:line="600" w:lineRule="exact"/>
        <w:ind w:firstLine="560" w:firstLineChars="200"/>
        <w:textAlignment w:val="center"/>
        <w:rPr>
          <w:rFonts w:hint="default"/>
          <w:color w:val="auto"/>
          <w:sz w:val="28"/>
          <w:szCs w:val="28"/>
          <w:lang w:val="en-US" w:eastAsia="zh-CN"/>
        </w:rPr>
      </w:pPr>
      <w:r>
        <w:rPr>
          <w:rFonts w:hint="eastAsia"/>
          <w:color w:val="auto"/>
          <w:sz w:val="28"/>
          <w:szCs w:val="28"/>
          <w:lang w:val="en-US" w:eastAsia="zh-CN"/>
        </w:rPr>
        <w:t>在电网的高峰时期，大量充电设施的接入会对一个区域内的电网形成明显冲击，不利于居民用电及汽车充电安全。智能群充电系统在设备模块化的群管群控的基础上，在车辆数量较多的情况下，会根据充电需求和电网需求排列出优先顺序，依次满足车辆电池充电需求，这样会大大减少对电网的冲击，实现对电网安全调控的目的。</w:t>
      </w:r>
    </w:p>
    <w:p>
      <w:pPr>
        <w:numPr>
          <w:ilvl w:val="0"/>
          <w:numId w:val="0"/>
        </w:numPr>
        <w:wordWrap w:val="0"/>
        <w:adjustRightInd w:val="0"/>
        <w:snapToGrid w:val="0"/>
        <w:spacing w:line="600" w:lineRule="exact"/>
        <w:ind w:firstLine="560" w:firstLineChars="200"/>
        <w:textAlignment w:val="center"/>
        <w:rPr>
          <w:rFonts w:hint="default"/>
          <w:color w:val="auto"/>
          <w:sz w:val="28"/>
          <w:szCs w:val="28"/>
          <w:lang w:val="en-US" w:eastAsia="zh-CN"/>
        </w:rPr>
      </w:pPr>
      <w:r>
        <w:rPr>
          <w:rFonts w:hint="eastAsia"/>
          <w:color w:val="auto"/>
          <w:sz w:val="28"/>
          <w:szCs w:val="28"/>
          <w:lang w:val="en-US" w:eastAsia="zh-CN"/>
        </w:rPr>
        <w:t>②充电系统自身的防护</w:t>
      </w:r>
    </w:p>
    <w:p>
      <w:pPr>
        <w:numPr>
          <w:ilvl w:val="0"/>
          <w:numId w:val="0"/>
        </w:numPr>
        <w:wordWrap w:val="0"/>
        <w:adjustRightInd w:val="0"/>
        <w:snapToGrid w:val="0"/>
        <w:spacing w:line="600" w:lineRule="exact"/>
        <w:ind w:firstLine="560" w:firstLineChars="200"/>
        <w:textAlignment w:val="center"/>
        <w:rPr>
          <w:rFonts w:hint="default"/>
          <w:color w:val="auto"/>
          <w:sz w:val="28"/>
          <w:szCs w:val="28"/>
          <w:lang w:val="en-US" w:eastAsia="zh-CN"/>
        </w:rPr>
      </w:pPr>
      <w:r>
        <w:rPr>
          <w:rFonts w:hint="eastAsia"/>
          <w:color w:val="auto"/>
          <w:sz w:val="28"/>
          <w:szCs w:val="28"/>
          <w:lang w:val="en-US" w:eastAsia="zh-CN"/>
        </w:rPr>
        <w:t>建立充电系统自身防护模型和故障树，用于比较实时 充电系统自身参数与柔性充电曲线间的匹配度，检测充电过程中充电机自身的问题。</w:t>
      </w:r>
    </w:p>
    <w:p>
      <w:pPr>
        <w:numPr>
          <w:ilvl w:val="0"/>
          <w:numId w:val="0"/>
        </w:numPr>
        <w:wordWrap w:val="0"/>
        <w:adjustRightInd w:val="0"/>
        <w:snapToGrid w:val="0"/>
        <w:spacing w:line="600" w:lineRule="exact"/>
        <w:ind w:firstLine="560" w:firstLineChars="200"/>
        <w:textAlignment w:val="center"/>
        <w:rPr>
          <w:rFonts w:hint="default"/>
          <w:color w:val="auto"/>
          <w:sz w:val="28"/>
          <w:szCs w:val="28"/>
          <w:lang w:val="en-US" w:eastAsia="zh-CN"/>
        </w:rPr>
      </w:pPr>
      <w:r>
        <w:rPr>
          <w:rFonts w:hint="eastAsia"/>
          <w:color w:val="auto"/>
          <w:sz w:val="28"/>
          <w:szCs w:val="28"/>
          <w:lang w:val="en-US" w:eastAsia="zh-CN"/>
        </w:rPr>
        <w:t>③充电过程中与BMS协同的主动防护</w:t>
      </w:r>
    </w:p>
    <w:p>
      <w:pPr>
        <w:numPr>
          <w:ilvl w:val="0"/>
          <w:numId w:val="0"/>
        </w:numPr>
        <w:wordWrap w:val="0"/>
        <w:adjustRightInd w:val="0"/>
        <w:snapToGrid w:val="0"/>
        <w:spacing w:line="600" w:lineRule="exact"/>
        <w:ind w:firstLine="560" w:firstLineChars="200"/>
        <w:textAlignment w:val="center"/>
        <w:rPr>
          <w:rFonts w:hint="default"/>
          <w:color w:val="auto"/>
          <w:sz w:val="28"/>
          <w:szCs w:val="28"/>
          <w:lang w:val="en-US" w:eastAsia="zh-CN"/>
        </w:rPr>
      </w:pPr>
      <w:r>
        <w:rPr>
          <w:rFonts w:hint="eastAsia"/>
          <w:color w:val="auto"/>
          <w:sz w:val="28"/>
          <w:szCs w:val="28"/>
          <w:lang w:val="en-US" w:eastAsia="zh-CN"/>
        </w:rPr>
        <w:t>充电设备与车辆的BMS进行通信，实时与电动汽车中的BMS进行数据交互，获取BMS动力电池的实时充电数据，结合告警值和阈值判断BMS和动力电池在充电过程中是否有异常。</w:t>
      </w:r>
    </w:p>
    <w:p>
      <w:pPr>
        <w:numPr>
          <w:ilvl w:val="0"/>
          <w:numId w:val="0"/>
        </w:numPr>
        <w:wordWrap w:val="0"/>
        <w:adjustRightInd w:val="0"/>
        <w:snapToGrid w:val="0"/>
        <w:spacing w:line="600" w:lineRule="exact"/>
        <w:ind w:firstLine="560" w:firstLineChars="200"/>
        <w:textAlignment w:val="center"/>
        <w:rPr>
          <w:rFonts w:hint="eastAsia"/>
          <w:color w:val="auto"/>
          <w:sz w:val="28"/>
          <w:szCs w:val="28"/>
          <w:lang w:val="en-US" w:eastAsia="zh-CN"/>
        </w:rPr>
      </w:pPr>
      <w:r>
        <w:rPr>
          <w:rFonts w:hint="eastAsia"/>
          <w:color w:val="auto"/>
          <w:sz w:val="28"/>
          <w:szCs w:val="28"/>
          <w:lang w:val="en-US" w:eastAsia="zh-CN"/>
        </w:rPr>
        <w:t>使电动汽车充电过程实现安全冗余设计，防止充电过程出现过充情况和事故，最大限度地保证BMS、动力电池处于正常充电状态，提高电动汽车充电过程的安全性。</w:t>
      </w:r>
    </w:p>
    <w:p>
      <w:pPr>
        <w:pStyle w:val="4"/>
        <w:bidi w:val="0"/>
        <w:rPr>
          <w:rFonts w:hint="eastAsia"/>
          <w:color w:val="auto"/>
          <w:lang w:val="en-US" w:eastAsia="zh-CN"/>
        </w:rPr>
      </w:pPr>
      <w:bookmarkStart w:id="37" w:name="_Toc22339"/>
      <w:r>
        <w:rPr>
          <w:rFonts w:hint="eastAsia"/>
          <w:color w:val="auto"/>
          <w:lang w:val="en-US" w:eastAsia="zh-CN"/>
        </w:rPr>
        <w:t>2.5.3柔性充电</w:t>
      </w:r>
      <w:bookmarkEnd w:id="37"/>
    </w:p>
    <w:p>
      <w:pPr>
        <w:numPr>
          <w:ilvl w:val="0"/>
          <w:numId w:val="0"/>
        </w:numPr>
        <w:wordWrap w:val="0"/>
        <w:adjustRightInd w:val="0"/>
        <w:snapToGrid w:val="0"/>
        <w:spacing w:line="600" w:lineRule="exact"/>
        <w:ind w:firstLine="560" w:firstLineChars="200"/>
        <w:textAlignment w:val="center"/>
        <w:rPr>
          <w:rFonts w:hint="eastAsia"/>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1、</w:t>
      </w:r>
      <w:r>
        <w:rPr>
          <w:rFonts w:hint="eastAsia"/>
          <w:color w:val="auto"/>
          <w:sz w:val="28"/>
          <w:szCs w:val="28"/>
          <w:lang w:val="en-US" w:eastAsia="zh-CN"/>
        </w:rPr>
        <w:t>电网柔性</w:t>
      </w:r>
    </w:p>
    <w:p>
      <w:pPr>
        <w:numPr>
          <w:ilvl w:val="0"/>
          <w:numId w:val="0"/>
        </w:numPr>
        <w:wordWrap w:val="0"/>
        <w:adjustRightInd w:val="0"/>
        <w:snapToGrid w:val="0"/>
        <w:spacing w:line="600" w:lineRule="exact"/>
        <w:ind w:firstLine="560" w:firstLineChars="200"/>
        <w:textAlignment w:val="center"/>
        <w:rPr>
          <w:rFonts w:hint="eastAsia"/>
          <w:color w:val="auto"/>
          <w:sz w:val="28"/>
          <w:szCs w:val="28"/>
          <w:lang w:val="en-US" w:eastAsia="zh-CN"/>
        </w:rPr>
      </w:pPr>
      <w:r>
        <w:rPr>
          <w:rFonts w:hint="eastAsia"/>
          <w:color w:val="auto"/>
          <w:sz w:val="28"/>
          <w:szCs w:val="28"/>
          <w:lang w:val="en-US" w:eastAsia="zh-CN"/>
        </w:rPr>
        <w:t>安装传统无序的充电模式，大面积的充电桩使用会对整个区域内的电网在高峰时段形成明显冲击，不利于居民用电及汽车充电安全。智能群充电系统柔性充电技术的内容之一，就是建立在设备模块化群管群控的硬件基础上，实现对电网柔性调控的功能。</w:t>
      </w:r>
    </w:p>
    <w:p>
      <w:pPr>
        <w:numPr>
          <w:ilvl w:val="0"/>
          <w:numId w:val="0"/>
        </w:numPr>
        <w:wordWrap w:val="0"/>
        <w:adjustRightInd w:val="0"/>
        <w:snapToGrid w:val="0"/>
        <w:spacing w:line="600" w:lineRule="exact"/>
        <w:ind w:firstLine="560" w:firstLineChars="200"/>
        <w:textAlignment w:val="center"/>
        <w:rPr>
          <w:rFonts w:hint="eastAsia"/>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2、</w:t>
      </w:r>
      <w:r>
        <w:rPr>
          <w:rFonts w:hint="eastAsia"/>
          <w:color w:val="auto"/>
          <w:sz w:val="28"/>
          <w:szCs w:val="28"/>
          <w:lang w:val="en-US" w:eastAsia="zh-CN"/>
        </w:rPr>
        <w:t>设备柔性</w:t>
      </w:r>
    </w:p>
    <w:p>
      <w:pPr>
        <w:numPr>
          <w:ilvl w:val="0"/>
          <w:numId w:val="0"/>
        </w:numPr>
        <w:wordWrap w:val="0"/>
        <w:adjustRightInd w:val="0"/>
        <w:snapToGrid w:val="0"/>
        <w:spacing w:line="600" w:lineRule="exact"/>
        <w:ind w:firstLine="560" w:firstLineChars="200"/>
        <w:textAlignment w:val="center"/>
        <w:rPr>
          <w:rFonts w:hint="eastAsia"/>
          <w:color w:val="auto"/>
          <w:sz w:val="28"/>
          <w:szCs w:val="28"/>
          <w:lang w:val="en-US" w:eastAsia="zh-CN"/>
        </w:rPr>
      </w:pPr>
      <w:r>
        <w:rPr>
          <w:rFonts w:hint="eastAsia"/>
          <w:color w:val="auto"/>
          <w:sz w:val="28"/>
          <w:szCs w:val="28"/>
          <w:lang w:val="en-US" w:eastAsia="zh-CN"/>
        </w:rPr>
        <w:t>设备柔性的视线同样建立在群管群控的硬件基础上，通过设备智能管理系统及云平台的统一调度，充电系统内部可以实现功率模块的实时调度与分配。根据不同的充电策略，系统可实现功率模块的按需分配，当车辆功率需求降低，电源模块空闲时，可实时的将空闲电源模块分配需要充电的车辆，提高设备的整体利用率。</w:t>
      </w:r>
    </w:p>
    <w:p>
      <w:pPr>
        <w:numPr>
          <w:ilvl w:val="0"/>
          <w:numId w:val="0"/>
        </w:numPr>
        <w:wordWrap w:val="0"/>
        <w:adjustRightInd w:val="0"/>
        <w:snapToGrid w:val="0"/>
        <w:spacing w:line="600" w:lineRule="exact"/>
        <w:textAlignment w:val="center"/>
        <w:rPr>
          <w:rFonts w:hint="eastAsia"/>
          <w:color w:val="auto"/>
          <w:sz w:val="28"/>
          <w:szCs w:val="28"/>
          <w:lang w:val="en-US" w:eastAsia="zh-CN"/>
        </w:rPr>
      </w:pPr>
      <w:r>
        <w:rPr>
          <w:rFonts w:hint="eastAsia"/>
          <w:color w:val="auto"/>
          <w:sz w:val="28"/>
          <w:szCs w:val="28"/>
          <w:lang w:val="en-US" w:eastAsia="zh-CN"/>
        </w:rPr>
        <w:t>同时，当车辆总功率需求固定，不需要所有模块同时工作时，系统会调度空闲模块进行休眠，还会根据运行模块的使用频次，调度使用频次较低的模块进行使用，达到平衡各模块工作强度的目的。</w:t>
      </w:r>
    </w:p>
    <w:p>
      <w:pPr>
        <w:numPr>
          <w:ilvl w:val="0"/>
          <w:numId w:val="0"/>
        </w:numPr>
        <w:wordWrap w:val="0"/>
        <w:adjustRightInd w:val="0"/>
        <w:snapToGrid w:val="0"/>
        <w:spacing w:line="600" w:lineRule="exact"/>
        <w:ind w:firstLine="560" w:firstLineChars="200"/>
        <w:textAlignment w:val="center"/>
        <w:rPr>
          <w:rFonts w:hint="eastAsia"/>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3、</w:t>
      </w:r>
      <w:r>
        <w:rPr>
          <w:rFonts w:hint="eastAsia"/>
          <w:color w:val="auto"/>
          <w:sz w:val="28"/>
          <w:szCs w:val="28"/>
          <w:lang w:val="en-US" w:eastAsia="zh-CN"/>
        </w:rPr>
        <w:t>电池柔性</w:t>
      </w:r>
    </w:p>
    <w:p>
      <w:pPr>
        <w:numPr>
          <w:ilvl w:val="0"/>
          <w:numId w:val="0"/>
        </w:numPr>
        <w:wordWrap w:val="0"/>
        <w:adjustRightInd w:val="0"/>
        <w:snapToGrid w:val="0"/>
        <w:spacing w:line="600" w:lineRule="exact"/>
        <w:ind w:firstLine="560"/>
        <w:textAlignment w:val="center"/>
        <w:rPr>
          <w:rFonts w:hint="eastAsia"/>
          <w:color w:val="auto"/>
          <w:sz w:val="28"/>
          <w:szCs w:val="28"/>
          <w:lang w:val="en-US" w:eastAsia="zh-CN"/>
        </w:rPr>
      </w:pPr>
      <w:r>
        <w:rPr>
          <w:rFonts w:hint="eastAsia"/>
          <w:color w:val="auto"/>
          <w:sz w:val="28"/>
          <w:szCs w:val="28"/>
          <w:lang w:val="en-US" w:eastAsia="zh-CN"/>
        </w:rPr>
        <w:t>柔性充电技术最重要的特点就是实现了电池柔性，电池的充电过程是一个复杂的电化学反应过程，这个过程与许多的环境因素有关，比如充电电流大小，SOC的工作范围，电池环境温度的差异，成组后电池间的不均衡性，电池老化后特性的差异，电池寿命与续航里程的矛盾平衡等等。</w:t>
      </w:r>
    </w:p>
    <w:p>
      <w:pPr>
        <w:numPr>
          <w:ilvl w:val="0"/>
          <w:numId w:val="0"/>
        </w:numPr>
        <w:wordWrap w:val="0"/>
        <w:adjustRightInd w:val="0"/>
        <w:snapToGrid w:val="0"/>
        <w:spacing w:line="600" w:lineRule="exact"/>
        <w:ind w:firstLine="560"/>
        <w:textAlignment w:val="center"/>
        <w:rPr>
          <w:rFonts w:hint="eastAsia"/>
          <w:color w:val="auto"/>
          <w:sz w:val="28"/>
          <w:szCs w:val="28"/>
          <w:lang w:val="en-US" w:eastAsia="zh-CN"/>
        </w:rPr>
      </w:pPr>
      <w:r>
        <w:rPr>
          <w:rFonts w:hint="eastAsia"/>
          <w:color w:val="auto"/>
          <w:sz w:val="28"/>
          <w:szCs w:val="28"/>
          <w:lang w:val="en-US" w:eastAsia="zh-CN"/>
        </w:rPr>
        <w:t xml:space="preserve"> 柔性充电的最终目的是综合电池当前的特性差异、客户需求（充电时间，以及要求的汽车续航里程等），云平台对汽车历史充电数据分析，制定出最适合电池寿命的充电方法，使电池在充电时尽可能延缓其老化，提供电池寿命。根据各方需求，智能群充电系统会依托云平台及设备管理系统的综合判断形成对电池的柔性充电曲线。</w:t>
      </w:r>
    </w:p>
    <w:p>
      <w:pPr>
        <w:numPr>
          <w:ilvl w:val="0"/>
          <w:numId w:val="0"/>
        </w:numPr>
        <w:wordWrap w:val="0"/>
        <w:adjustRightInd w:val="0"/>
        <w:snapToGrid w:val="0"/>
        <w:spacing w:line="600" w:lineRule="exact"/>
        <w:ind w:firstLine="560"/>
        <w:textAlignment w:val="center"/>
        <w:rPr>
          <w:rFonts w:hint="eastAsia"/>
          <w:color w:val="auto"/>
          <w:sz w:val="28"/>
          <w:szCs w:val="28"/>
          <w:lang w:val="en-US" w:eastAsia="zh-CN"/>
        </w:rPr>
      </w:pPr>
      <w:r>
        <w:rPr>
          <w:rFonts w:hint="eastAsia"/>
          <w:color w:val="auto"/>
          <w:sz w:val="28"/>
          <w:szCs w:val="28"/>
          <w:lang w:val="en-US" w:eastAsia="zh-CN"/>
        </w:rPr>
        <w:t>该曲线的生成考虑了电池的环境温度、SOC区间、单体电压、总电压等指标，在初充阶段、电压平台阶段和充电末段均调整不同的电流，并严格控制电池的温升，使电池能在最优的工况环境下，进行深度的充电，并在尾端提供足够的用以内部均衡的时间。该功能的实现，避免了车载BMS一成不变的充电模式，使电池在每个充电周期内都可以得到良好的养护。</w:t>
      </w:r>
    </w:p>
    <w:p>
      <w:pPr>
        <w:pStyle w:val="4"/>
        <w:bidi w:val="0"/>
        <w:rPr>
          <w:rFonts w:hint="eastAsia"/>
          <w:color w:val="auto"/>
          <w:lang w:val="en-US" w:eastAsia="zh-CN"/>
        </w:rPr>
      </w:pPr>
      <w:bookmarkStart w:id="38" w:name="_Toc15335"/>
      <w:r>
        <w:rPr>
          <w:rFonts w:hint="eastAsia"/>
          <w:color w:val="auto"/>
          <w:lang w:val="en-US" w:eastAsia="zh-CN"/>
        </w:rPr>
        <w:t>2.5.4智能管理</w:t>
      </w:r>
      <w:bookmarkEnd w:id="38"/>
    </w:p>
    <w:p>
      <w:pPr>
        <w:numPr>
          <w:ilvl w:val="0"/>
          <w:numId w:val="0"/>
        </w:numPr>
        <w:wordWrap w:val="0"/>
        <w:adjustRightInd w:val="0"/>
        <w:snapToGrid w:val="0"/>
        <w:spacing w:line="600" w:lineRule="exact"/>
        <w:ind w:firstLine="560" w:firstLineChars="0"/>
        <w:textAlignment w:val="center"/>
        <w:rPr>
          <w:rFonts w:hint="eastAsia"/>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1、</w:t>
      </w:r>
      <w:r>
        <w:rPr>
          <w:rFonts w:hint="eastAsia"/>
          <w:color w:val="auto"/>
          <w:sz w:val="28"/>
          <w:szCs w:val="28"/>
          <w:lang w:val="en-US" w:eastAsia="zh-CN"/>
        </w:rPr>
        <w:t>软件远程升级</w:t>
      </w:r>
    </w:p>
    <w:p>
      <w:pPr>
        <w:numPr>
          <w:ilvl w:val="0"/>
          <w:numId w:val="0"/>
        </w:numPr>
        <w:wordWrap w:val="0"/>
        <w:adjustRightInd w:val="0"/>
        <w:snapToGrid w:val="0"/>
        <w:spacing w:line="600" w:lineRule="exact"/>
        <w:ind w:firstLine="560" w:firstLineChars="200"/>
        <w:textAlignment w:val="center"/>
        <w:rPr>
          <w:rFonts w:hint="eastAsia"/>
          <w:color w:val="auto"/>
          <w:sz w:val="28"/>
          <w:szCs w:val="28"/>
          <w:lang w:val="en-US" w:eastAsia="zh-CN"/>
        </w:rPr>
      </w:pPr>
      <w:r>
        <w:rPr>
          <w:rFonts w:hint="eastAsia"/>
          <w:color w:val="auto"/>
          <w:sz w:val="28"/>
          <w:szCs w:val="28"/>
          <w:lang w:val="en-US" w:eastAsia="zh-CN"/>
        </w:rPr>
        <w:t>充电系统的智能控制子站系统应用软件应支持远程升级功能，可通过云平台实现应用程序远程升级。远程升级具有防错误和验证机制，升级不成功时，系统可自动回退至最后一次的健康方式。</w:t>
      </w:r>
    </w:p>
    <w:p>
      <w:pPr>
        <w:numPr>
          <w:ilvl w:val="0"/>
          <w:numId w:val="0"/>
        </w:numPr>
        <w:wordWrap w:val="0"/>
        <w:adjustRightInd w:val="0"/>
        <w:snapToGrid w:val="0"/>
        <w:spacing w:line="600" w:lineRule="exact"/>
        <w:ind w:firstLine="560" w:firstLineChars="200"/>
        <w:textAlignment w:val="center"/>
        <w:rPr>
          <w:rFonts w:hint="eastAsia"/>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2、</w:t>
      </w:r>
      <w:r>
        <w:rPr>
          <w:rFonts w:hint="eastAsia"/>
          <w:color w:val="auto"/>
          <w:sz w:val="28"/>
          <w:szCs w:val="28"/>
          <w:lang w:val="en-US" w:eastAsia="zh-CN"/>
        </w:rPr>
        <w:t>设备故障自诊断</w:t>
      </w:r>
    </w:p>
    <w:p>
      <w:pPr>
        <w:numPr>
          <w:ilvl w:val="0"/>
          <w:numId w:val="0"/>
        </w:numPr>
        <w:wordWrap w:val="0"/>
        <w:adjustRightInd w:val="0"/>
        <w:snapToGrid w:val="0"/>
        <w:spacing w:line="600" w:lineRule="exact"/>
        <w:ind w:firstLine="560"/>
        <w:textAlignment w:val="center"/>
        <w:rPr>
          <w:rFonts w:hint="eastAsia"/>
          <w:color w:val="auto"/>
          <w:sz w:val="28"/>
          <w:szCs w:val="28"/>
          <w:lang w:val="en-US" w:eastAsia="zh-CN"/>
        </w:rPr>
      </w:pPr>
      <w:r>
        <w:rPr>
          <w:rFonts w:hint="eastAsia"/>
          <w:color w:val="auto"/>
          <w:sz w:val="28"/>
          <w:szCs w:val="28"/>
          <w:lang w:val="en-US" w:eastAsia="zh-CN"/>
        </w:rPr>
        <w:t>所有充电设备应具备智能管理条件，故障信息不仅可以实时上传，还可以根据大数据的分析应用，实现故障自诊断和预判，大大降低故障时间。</w:t>
      </w:r>
    </w:p>
    <w:p>
      <w:pPr>
        <w:numPr>
          <w:ilvl w:val="0"/>
          <w:numId w:val="0"/>
        </w:numPr>
        <w:wordWrap w:val="0"/>
        <w:adjustRightInd w:val="0"/>
        <w:snapToGrid w:val="0"/>
        <w:spacing w:line="600" w:lineRule="exact"/>
        <w:ind w:firstLine="560" w:firstLineChars="0"/>
        <w:textAlignment w:val="center"/>
        <w:rPr>
          <w:rFonts w:hint="eastAsia"/>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3、</w:t>
      </w:r>
      <w:r>
        <w:rPr>
          <w:rFonts w:hint="eastAsia"/>
          <w:color w:val="auto"/>
          <w:sz w:val="28"/>
          <w:szCs w:val="28"/>
          <w:lang w:val="en-US" w:eastAsia="zh-CN"/>
        </w:rPr>
        <w:t>设备远程断电技术</w:t>
      </w:r>
    </w:p>
    <w:p>
      <w:pPr>
        <w:numPr>
          <w:ilvl w:val="0"/>
          <w:numId w:val="0"/>
        </w:numPr>
        <w:wordWrap w:val="0"/>
        <w:adjustRightInd w:val="0"/>
        <w:snapToGrid w:val="0"/>
        <w:spacing w:line="600" w:lineRule="exact"/>
        <w:textAlignment w:val="center"/>
        <w:rPr>
          <w:rFonts w:hint="default"/>
          <w:color w:val="auto"/>
          <w:sz w:val="28"/>
          <w:szCs w:val="28"/>
          <w:lang w:val="en-US" w:eastAsia="zh-CN"/>
        </w:rPr>
      </w:pPr>
      <w:r>
        <w:rPr>
          <w:rFonts w:hint="eastAsia"/>
          <w:color w:val="auto"/>
          <w:sz w:val="28"/>
          <w:szCs w:val="28"/>
          <w:lang w:val="en-US" w:eastAsia="zh-CN"/>
        </w:rPr>
        <w:t xml:space="preserve">    该站设计充电设备的配电回路，应具备远程断电技术，当发生洪涝灾害或其他灾害天气时，能在平台通过场站低压侧集控设备远程控制设备低压侧电源切除，也能通过平台实现高压远程跳闸，断掉场站高压电源。</w:t>
      </w:r>
    </w:p>
    <w:p>
      <w:pPr>
        <w:pStyle w:val="3"/>
        <w:bidi w:val="0"/>
        <w:rPr>
          <w:rFonts w:hint="eastAsia"/>
          <w:color w:val="auto"/>
          <w:lang w:val="en-US" w:eastAsia="zh-CN"/>
        </w:rPr>
      </w:pPr>
      <w:bookmarkStart w:id="39" w:name="_Toc2674"/>
      <w:r>
        <w:rPr>
          <w:rFonts w:hint="eastAsia"/>
          <w:color w:val="auto"/>
          <w:lang w:val="en-US" w:eastAsia="zh-CN"/>
        </w:rPr>
        <w:t>2.6公用工程及辅助设施</w:t>
      </w:r>
      <w:bookmarkEnd w:id="39"/>
    </w:p>
    <w:p>
      <w:pPr>
        <w:pStyle w:val="4"/>
        <w:bidi w:val="0"/>
        <w:rPr>
          <w:rFonts w:hint="eastAsia"/>
          <w:color w:val="auto"/>
          <w:lang w:val="en-US" w:eastAsia="zh-CN"/>
        </w:rPr>
      </w:pPr>
      <w:bookmarkStart w:id="40" w:name="_Toc17114"/>
      <w:r>
        <w:rPr>
          <w:rFonts w:hint="eastAsia"/>
          <w:color w:val="auto"/>
          <w:lang w:val="en-US" w:eastAsia="zh-CN"/>
        </w:rPr>
        <w:t>2.6.1供配电</w:t>
      </w:r>
      <w:bookmarkEnd w:id="40"/>
    </w:p>
    <w:p>
      <w:pPr>
        <w:wordWrap w:val="0"/>
        <w:adjustRightInd w:val="0"/>
        <w:snapToGrid w:val="0"/>
        <w:spacing w:line="560" w:lineRule="exact"/>
        <w:ind w:firstLine="570"/>
        <w:textAlignment w:val="center"/>
        <w:rPr>
          <w:rFonts w:hint="eastAsia"/>
          <w:color w:val="auto"/>
          <w:sz w:val="28"/>
          <w:szCs w:val="28"/>
          <w:lang w:val="en-US" w:eastAsia="zh-CN"/>
        </w:rPr>
      </w:pPr>
      <w:r>
        <w:rPr>
          <w:rFonts w:hint="eastAsia"/>
          <w:color w:val="auto"/>
          <w:sz w:val="28"/>
          <w:szCs w:val="28"/>
          <w:lang w:val="en-US" w:eastAsia="zh-CN"/>
        </w:rPr>
        <w:t>上饶市广信区电力资源丰富，电力供应有保障。该项目所在地建立有以国家电网为主的供电系统。</w:t>
      </w:r>
    </w:p>
    <w:p>
      <w:pPr>
        <w:wordWrap w:val="0"/>
        <w:adjustRightInd w:val="0"/>
        <w:snapToGrid w:val="0"/>
        <w:spacing w:line="560" w:lineRule="exact"/>
        <w:ind w:firstLine="570"/>
        <w:textAlignment w:val="center"/>
        <w:rPr>
          <w:rFonts w:hint="eastAsia"/>
          <w:color w:val="auto"/>
          <w:sz w:val="28"/>
          <w:szCs w:val="28"/>
          <w:lang w:val="en-US" w:eastAsia="zh-CN"/>
        </w:rPr>
      </w:pPr>
      <w:r>
        <w:rPr>
          <w:rFonts w:hint="eastAsia"/>
          <w:color w:val="auto"/>
          <w:sz w:val="28"/>
          <w:szCs w:val="28"/>
          <w:lang w:val="en-US" w:eastAsia="zh-CN"/>
        </w:rPr>
        <w:t>项目拟设置4台1600kva箱式变压器为充电站和加油站供电。供电电源由市政10kv电网提供，经终端电杆上熔断器保护和高压刀闸、开关计量装置后，穿管埋地敷设至4台16000kva箱式变压器高压进线侧。经变压器变压至380v后接入充电站进线端。</w:t>
      </w:r>
    </w:p>
    <w:p>
      <w:pPr>
        <w:wordWrap w:val="0"/>
        <w:adjustRightInd w:val="0"/>
        <w:snapToGrid w:val="0"/>
        <w:spacing w:line="560" w:lineRule="exact"/>
        <w:ind w:firstLine="570"/>
        <w:textAlignment w:val="center"/>
        <w:rPr>
          <w:rFonts w:hint="eastAsia"/>
          <w:color w:val="auto"/>
          <w:sz w:val="28"/>
          <w:szCs w:val="28"/>
          <w:lang w:val="en-US" w:eastAsia="zh-CN"/>
        </w:rPr>
      </w:pPr>
      <w:r>
        <w:rPr>
          <w:rFonts w:hint="eastAsia"/>
          <w:color w:val="auto"/>
          <w:sz w:val="28"/>
          <w:szCs w:val="28"/>
          <w:lang w:val="en-US" w:eastAsia="zh-CN"/>
        </w:rPr>
        <w:t>动力线路均采用汇线桥架方式引至用电点，配电设备选用低压屏或动力配电箱，照明线路采用穿管暗敷方式。</w:t>
      </w:r>
    </w:p>
    <w:p>
      <w:pPr>
        <w:wordWrap w:val="0"/>
        <w:adjustRightInd w:val="0"/>
        <w:snapToGrid w:val="0"/>
        <w:spacing w:line="560" w:lineRule="exact"/>
        <w:ind w:firstLine="570"/>
        <w:textAlignment w:val="center"/>
        <w:rPr>
          <w:rFonts w:hint="eastAsia"/>
          <w:color w:val="auto"/>
          <w:sz w:val="28"/>
          <w:szCs w:val="28"/>
          <w:lang w:val="en-US" w:eastAsia="zh-CN"/>
        </w:rPr>
      </w:pPr>
      <w:r>
        <w:rPr>
          <w:rFonts w:hint="eastAsia"/>
          <w:color w:val="auto"/>
          <w:sz w:val="28"/>
          <w:szCs w:val="28"/>
          <w:lang w:val="en-US" w:eastAsia="zh-CN"/>
        </w:rPr>
        <w:t>弱电系统包括电话、数据网络、保护监控等。其室外线路均采用电缆直埋的方式，电话进户线方位由当地主管部门确定。</w:t>
      </w:r>
    </w:p>
    <w:p>
      <w:pPr>
        <w:pStyle w:val="4"/>
        <w:bidi w:val="0"/>
        <w:rPr>
          <w:rFonts w:hint="eastAsia"/>
          <w:color w:val="auto"/>
          <w:lang w:val="en-US" w:eastAsia="zh-CN"/>
        </w:rPr>
      </w:pPr>
      <w:bookmarkStart w:id="41" w:name="_Toc8504"/>
      <w:r>
        <w:rPr>
          <w:rFonts w:hint="eastAsia"/>
          <w:color w:val="auto"/>
          <w:lang w:val="en-US" w:eastAsia="zh-CN"/>
        </w:rPr>
        <w:t>2.6.2给排水</w:t>
      </w:r>
      <w:bookmarkEnd w:id="41"/>
    </w:p>
    <w:p>
      <w:pPr>
        <w:wordWrap w:val="0"/>
        <w:adjustRightInd w:val="0"/>
        <w:snapToGrid w:val="0"/>
        <w:spacing w:line="560" w:lineRule="exact"/>
        <w:ind w:firstLine="570"/>
        <w:textAlignment w:val="center"/>
        <w:rPr>
          <w:rFonts w:hint="eastAsia"/>
          <w:color w:val="auto"/>
          <w:sz w:val="28"/>
          <w:szCs w:val="28"/>
          <w:lang w:val="en-US" w:eastAsia="zh-CN"/>
        </w:rPr>
      </w:pPr>
      <w:r>
        <w:rPr>
          <w:rFonts w:hint="eastAsia"/>
          <w:color w:val="auto"/>
          <w:sz w:val="28"/>
          <w:szCs w:val="28"/>
          <w:lang w:val="en-US" w:eastAsia="zh-CN"/>
        </w:rPr>
        <w:t>该项目无生产用水和生活用水。本项目应设置消防水。</w:t>
      </w:r>
    </w:p>
    <w:p>
      <w:pPr>
        <w:wordWrap w:val="0"/>
        <w:adjustRightInd w:val="0"/>
        <w:snapToGrid w:val="0"/>
        <w:spacing w:line="560" w:lineRule="exact"/>
        <w:ind w:firstLine="570"/>
        <w:textAlignment w:val="center"/>
        <w:rPr>
          <w:rFonts w:hint="eastAsia"/>
          <w:color w:val="auto"/>
          <w:sz w:val="28"/>
          <w:szCs w:val="28"/>
          <w:lang w:val="en-US" w:eastAsia="zh-CN"/>
        </w:rPr>
      </w:pPr>
      <w:r>
        <w:rPr>
          <w:rFonts w:hint="eastAsia"/>
          <w:color w:val="auto"/>
          <w:sz w:val="28"/>
          <w:szCs w:val="28"/>
          <w:lang w:val="en-US" w:eastAsia="zh-CN"/>
        </w:rPr>
        <w:t>排水为雨水排水，雨水经排水沟收集排入市政雨水管网。</w:t>
      </w:r>
    </w:p>
    <w:p>
      <w:pPr>
        <w:pStyle w:val="4"/>
        <w:bidi w:val="0"/>
        <w:rPr>
          <w:rFonts w:hint="eastAsia"/>
          <w:color w:val="auto"/>
          <w:lang w:val="en-US" w:eastAsia="zh-CN"/>
        </w:rPr>
      </w:pPr>
      <w:bookmarkStart w:id="42" w:name="_Toc21584"/>
      <w:r>
        <w:rPr>
          <w:rFonts w:hint="eastAsia"/>
          <w:color w:val="auto"/>
          <w:lang w:val="en-US" w:eastAsia="zh-CN"/>
        </w:rPr>
        <w:t>2.6.3通风与照明</w:t>
      </w:r>
      <w:bookmarkEnd w:id="42"/>
    </w:p>
    <w:p>
      <w:pPr>
        <w:wordWrap w:val="0"/>
        <w:adjustRightInd w:val="0"/>
        <w:snapToGrid w:val="0"/>
        <w:spacing w:line="560" w:lineRule="exact"/>
        <w:ind w:firstLine="570"/>
        <w:textAlignment w:val="center"/>
        <w:rPr>
          <w:rFonts w:hint="eastAsia"/>
          <w:color w:val="auto"/>
          <w:sz w:val="28"/>
          <w:szCs w:val="28"/>
          <w:highlight w:val="none"/>
          <w:lang w:val="en-US" w:eastAsia="zh-CN"/>
        </w:rPr>
      </w:pPr>
      <w:r>
        <w:rPr>
          <w:rFonts w:hint="eastAsia"/>
          <w:color w:val="auto"/>
          <w:sz w:val="28"/>
          <w:szCs w:val="28"/>
          <w:highlight w:val="none"/>
          <w:lang w:val="en-US" w:eastAsia="zh-CN"/>
        </w:rPr>
        <w:t>该项目充电区采用自然通风方式。</w:t>
      </w:r>
    </w:p>
    <w:p>
      <w:pPr>
        <w:wordWrap w:val="0"/>
        <w:adjustRightInd w:val="0"/>
        <w:snapToGrid w:val="0"/>
        <w:spacing w:line="560" w:lineRule="exact"/>
        <w:ind w:firstLine="570"/>
        <w:textAlignment w:val="center"/>
        <w:rPr>
          <w:rFonts w:hint="default"/>
          <w:color w:val="auto"/>
          <w:sz w:val="28"/>
          <w:szCs w:val="28"/>
          <w:lang w:val="en-US" w:eastAsia="zh-CN"/>
        </w:rPr>
      </w:pPr>
      <w:r>
        <w:rPr>
          <w:rFonts w:hint="eastAsia"/>
          <w:color w:val="auto"/>
          <w:sz w:val="28"/>
          <w:szCs w:val="28"/>
          <w:lang w:val="en-US" w:eastAsia="zh-CN"/>
        </w:rPr>
        <w:t xml:space="preserve">照明采用高效、节能的照明灯具。 </w:t>
      </w:r>
    </w:p>
    <w:p>
      <w:pPr>
        <w:pStyle w:val="3"/>
        <w:bidi w:val="0"/>
        <w:rPr>
          <w:color w:val="auto"/>
        </w:rPr>
      </w:pPr>
      <w:bookmarkStart w:id="43" w:name="_Toc24991"/>
      <w:r>
        <w:rPr>
          <w:rFonts w:hint="eastAsia"/>
          <w:color w:val="auto"/>
          <w:lang w:val="en-US" w:eastAsia="zh-CN"/>
        </w:rPr>
        <w:t>2.7</w:t>
      </w:r>
      <w:r>
        <w:rPr>
          <w:color w:val="auto"/>
        </w:rPr>
        <w:t>消防</w:t>
      </w:r>
      <w:bookmarkEnd w:id="43"/>
    </w:p>
    <w:p>
      <w:pPr>
        <w:spacing w:line="580" w:lineRule="exact"/>
        <w:ind w:firstLine="560" w:firstLineChars="200"/>
        <w:rPr>
          <w:rFonts w:hint="default"/>
          <w:color w:val="auto"/>
          <w:sz w:val="28"/>
          <w:szCs w:val="28"/>
          <w:lang w:val="en-US" w:eastAsia="zh-CN"/>
        </w:rPr>
      </w:pPr>
      <w:r>
        <w:rPr>
          <w:rFonts w:hint="eastAsia"/>
          <w:color w:val="auto"/>
          <w:sz w:val="28"/>
          <w:szCs w:val="28"/>
          <w:lang w:val="en-US" w:eastAsia="zh-CN"/>
        </w:rPr>
        <w:t>1、灭火器配置</w:t>
      </w:r>
    </w:p>
    <w:p>
      <w:pPr>
        <w:keepNext w:val="0"/>
        <w:keepLines w:val="0"/>
        <w:pageBreakBefore w:val="0"/>
        <w:widowControl w:val="0"/>
        <w:kinsoku/>
        <w:overflowPunct/>
        <w:topLinePunct w:val="0"/>
        <w:autoSpaceDE/>
        <w:autoSpaceDN/>
        <w:bidi w:val="0"/>
        <w:spacing w:line="600" w:lineRule="exact"/>
        <w:ind w:leftChars="0" w:firstLine="560" w:firstLineChars="200"/>
        <w:rPr>
          <w:rFonts w:hint="default" w:eastAsia="宋体"/>
          <w:color w:val="auto"/>
          <w:sz w:val="28"/>
          <w:szCs w:val="28"/>
          <w:lang w:val="en-US" w:eastAsia="zh-CN"/>
        </w:rPr>
      </w:pPr>
      <w:r>
        <w:rPr>
          <w:rFonts w:hint="eastAsia"/>
          <w:color w:val="auto"/>
          <w:sz w:val="28"/>
          <w:szCs w:val="28"/>
          <w:lang w:val="en-US" w:eastAsia="zh-CN"/>
        </w:rPr>
        <w:t>该项目配置磷酸铵盐干粉灭火器和二氧化碳灭火器，具体设置位置由消防专业设计单位进行设计。</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600" w:lineRule="exact"/>
        <w:ind w:leftChars="0" w:firstLine="560" w:firstLineChars="200"/>
        <w:textAlignment w:val="center"/>
        <w:rPr>
          <w:rFonts w:hint="eastAsia"/>
          <w:color w:val="auto"/>
          <w:sz w:val="28"/>
          <w:szCs w:val="28"/>
          <w:highlight w:val="yellow"/>
          <w:lang w:val="en-US" w:eastAsia="zh-CN"/>
        </w:rPr>
      </w:pPr>
      <w:r>
        <w:rPr>
          <w:rFonts w:hint="eastAsia" w:ascii="Times New Roman" w:hAnsi="Times New Roman" w:eastAsia="宋体" w:cs="Times New Roman"/>
          <w:color w:val="auto"/>
          <w:kern w:val="2"/>
          <w:sz w:val="28"/>
          <w:szCs w:val="28"/>
          <w:lang w:val="en-US" w:eastAsia="zh-CN" w:bidi="ar-SA"/>
        </w:rPr>
        <w:t>2、</w:t>
      </w:r>
      <w:r>
        <w:rPr>
          <w:rFonts w:hint="eastAsia"/>
          <w:color w:val="auto"/>
          <w:sz w:val="28"/>
          <w:szCs w:val="28"/>
          <w:highlight w:val="none"/>
          <w:lang w:val="en-US" w:eastAsia="zh-CN"/>
        </w:rPr>
        <w:t>室外消防系统</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textAlignment w:val="auto"/>
        <w:rPr>
          <w:rFonts w:hint="default" w:eastAsia="宋体"/>
          <w:color w:val="auto"/>
          <w:sz w:val="28"/>
          <w:szCs w:val="28"/>
          <w:lang w:val="en-US" w:eastAsia="zh-CN"/>
        </w:rPr>
      </w:pPr>
      <w:r>
        <w:rPr>
          <w:rFonts w:hint="eastAsia"/>
          <w:color w:val="auto"/>
          <w:lang w:val="en-US" w:eastAsia="zh-CN"/>
        </w:rPr>
        <w:t xml:space="preserve">    </w:t>
      </w:r>
      <w:r>
        <w:rPr>
          <w:rFonts w:hint="eastAsia"/>
          <w:color w:val="auto"/>
          <w:sz w:val="28"/>
          <w:szCs w:val="28"/>
          <w:lang w:val="en-US" w:eastAsia="zh-CN"/>
        </w:rPr>
        <w:t xml:space="preserve"> 设计说明中未提及室外消防系统，将在安全对策措施中提出。</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600" w:lineRule="exact"/>
        <w:ind w:left="0" w:leftChars="0" w:firstLine="560" w:firstLineChars="200"/>
        <w:textAlignment w:val="center"/>
        <w:rPr>
          <w:rFonts w:hint="eastAsia"/>
          <w:color w:val="auto"/>
          <w:sz w:val="28"/>
          <w:szCs w:val="28"/>
          <w:highlight w:val="yellow"/>
          <w:lang w:val="en-US" w:eastAsia="zh-CN"/>
        </w:rPr>
      </w:pPr>
      <w:r>
        <w:rPr>
          <w:rFonts w:hint="eastAsia" w:cs="Times New Roman"/>
          <w:color w:val="auto"/>
          <w:kern w:val="2"/>
          <w:sz w:val="28"/>
          <w:szCs w:val="28"/>
          <w:lang w:val="en-US" w:eastAsia="zh-CN" w:bidi="ar-SA"/>
        </w:rPr>
        <w:t>3</w:t>
      </w:r>
      <w:r>
        <w:rPr>
          <w:rFonts w:hint="eastAsia" w:ascii="Times New Roman" w:hAnsi="Times New Roman" w:eastAsia="宋体" w:cs="Times New Roman"/>
          <w:color w:val="auto"/>
          <w:kern w:val="2"/>
          <w:sz w:val="28"/>
          <w:szCs w:val="28"/>
          <w:lang w:val="en-US" w:eastAsia="zh-CN" w:bidi="ar-SA"/>
        </w:rPr>
        <w:t>、</w:t>
      </w:r>
      <w:r>
        <w:rPr>
          <w:rFonts w:hint="eastAsia"/>
          <w:color w:val="auto"/>
          <w:sz w:val="28"/>
          <w:szCs w:val="28"/>
          <w:highlight w:val="none"/>
          <w:lang w:val="en-US" w:eastAsia="zh-CN"/>
        </w:rPr>
        <w:t>火灾自动报警系统</w:t>
      </w:r>
    </w:p>
    <w:p>
      <w:pPr>
        <w:pStyle w:val="45"/>
        <w:keepNext w:val="0"/>
        <w:keepLines w:val="0"/>
        <w:pageBreakBefore w:val="0"/>
        <w:widowControl w:val="0"/>
        <w:numPr>
          <w:ilvl w:val="0"/>
          <w:numId w:val="0"/>
        </w:numPr>
        <w:kinsoku/>
        <w:overflowPunct/>
        <w:topLinePunct w:val="0"/>
        <w:autoSpaceDE/>
        <w:autoSpaceDN/>
        <w:bidi w:val="0"/>
        <w:spacing w:line="600" w:lineRule="exact"/>
        <w:ind w:leftChars="0" w:firstLine="560" w:firstLineChars="200"/>
        <w:rPr>
          <w:rFonts w:hint="default"/>
          <w:color w:val="auto"/>
          <w:sz w:val="28"/>
          <w:szCs w:val="28"/>
          <w:lang w:val="en-US" w:eastAsia="zh-CN"/>
        </w:rPr>
      </w:pPr>
      <w:r>
        <w:rPr>
          <w:rFonts w:hint="eastAsia"/>
          <w:color w:val="auto"/>
          <w:sz w:val="28"/>
          <w:szCs w:val="28"/>
          <w:lang w:val="en-US" w:eastAsia="zh-CN"/>
        </w:rPr>
        <w:t>设计说明中未提及火灾自动报警系统，将在安全对策措施中提出。</w:t>
      </w:r>
    </w:p>
    <w:p>
      <w:pPr>
        <w:pStyle w:val="3"/>
        <w:bidi w:val="0"/>
        <w:rPr>
          <w:rFonts w:hint="eastAsia"/>
          <w:color w:val="auto"/>
          <w:lang w:val="en-US" w:eastAsia="zh-CN"/>
        </w:rPr>
      </w:pPr>
      <w:bookmarkStart w:id="44" w:name="_Toc21083"/>
      <w:r>
        <w:rPr>
          <w:rFonts w:hint="eastAsia"/>
          <w:color w:val="auto"/>
          <w:lang w:val="en-US" w:eastAsia="zh-CN"/>
        </w:rPr>
        <w:t>2.8防雷防静电</w:t>
      </w:r>
      <w:bookmarkEnd w:id="44"/>
    </w:p>
    <w:p>
      <w:pPr>
        <w:ind w:firstLine="560" w:firstLineChars="200"/>
        <w:rPr>
          <w:rFonts w:hint="eastAsia"/>
          <w:color w:val="auto"/>
          <w:sz w:val="28"/>
          <w:szCs w:val="28"/>
          <w:lang w:val="en-US" w:eastAsia="zh-CN"/>
        </w:rPr>
      </w:pPr>
      <w:r>
        <w:rPr>
          <w:rFonts w:hint="eastAsia"/>
          <w:color w:val="auto"/>
          <w:sz w:val="28"/>
          <w:szCs w:val="28"/>
          <w:lang w:val="en-US" w:eastAsia="zh-CN"/>
        </w:rPr>
        <w:t>该项目火灾危险性为丁类，按第三类防雷建筑物设防。防雷以屋面板作接闪器，承重钢柱作引下线，基础钢筋和人工接地装置作接地装置，钢柱地脚螺栓与基础钢筋作可靠焊接。</w:t>
      </w:r>
    </w:p>
    <w:p>
      <w:pPr>
        <w:ind w:firstLine="560" w:firstLineChars="200"/>
        <w:rPr>
          <w:rFonts w:hint="eastAsia"/>
          <w:color w:val="auto"/>
          <w:sz w:val="28"/>
          <w:szCs w:val="28"/>
          <w:lang w:val="en-US" w:eastAsia="zh-CN"/>
        </w:rPr>
      </w:pPr>
      <w:r>
        <w:rPr>
          <w:rFonts w:hint="eastAsia"/>
          <w:color w:val="auto"/>
          <w:sz w:val="28"/>
          <w:szCs w:val="28"/>
          <w:lang w:val="en-US" w:eastAsia="zh-CN"/>
        </w:rPr>
        <w:t>低压配电系统接地形式采用TN-S系统，所有接地系统采用共用接地装置组成联合接地网，各接地装置互相连接，构成充电站接地网，共用接地网电阻不大于4Ω。</w:t>
      </w:r>
    </w:p>
    <w:p>
      <w:pPr>
        <w:pStyle w:val="3"/>
        <w:bidi w:val="0"/>
        <w:rPr>
          <w:rFonts w:hint="default"/>
          <w:lang w:val="en-US" w:eastAsia="zh-CN"/>
        </w:rPr>
      </w:pPr>
      <w:r>
        <w:rPr>
          <w:rFonts w:hint="eastAsia"/>
          <w:lang w:val="en-US" w:eastAsia="zh-CN"/>
        </w:rPr>
        <w:t>2.9维修维护</w:t>
      </w:r>
    </w:p>
    <w:p>
      <w:pPr>
        <w:rPr>
          <w:rFonts w:hint="default"/>
          <w:lang w:val="en-US" w:eastAsia="zh-CN"/>
        </w:rPr>
      </w:pPr>
      <w:r>
        <w:rPr>
          <w:rFonts w:hint="eastAsia"/>
          <w:lang w:val="en-US" w:eastAsia="zh-CN"/>
        </w:rPr>
        <w:t>充电设备设施的维修及定期维护由设备厂家提供，日常看护由加油站完成。</w:t>
      </w:r>
    </w:p>
    <w:p>
      <w:pPr>
        <w:pStyle w:val="3"/>
        <w:bidi w:val="0"/>
        <w:rPr>
          <w:rFonts w:hint="eastAsia" w:ascii="宋体" w:hAnsi="宋体" w:eastAsia="宋体" w:cs="宋体"/>
          <w:color w:val="auto"/>
        </w:rPr>
      </w:pPr>
      <w:bookmarkStart w:id="45" w:name="_Toc20706"/>
      <w:r>
        <w:rPr>
          <w:color w:val="auto"/>
        </w:rPr>
        <w:t>2.</w:t>
      </w:r>
      <w:r>
        <w:rPr>
          <w:rFonts w:hint="eastAsia"/>
          <w:color w:val="auto"/>
          <w:lang w:val="en-US" w:eastAsia="zh-CN"/>
        </w:rPr>
        <w:t>10</w:t>
      </w:r>
      <w:r>
        <w:rPr>
          <w:rFonts w:hint="eastAsia" w:ascii="宋体" w:hAnsi="宋体" w:eastAsia="宋体" w:cs="宋体"/>
          <w:color w:val="auto"/>
        </w:rPr>
        <w:t>安全管理体系</w:t>
      </w:r>
      <w:bookmarkEnd w:id="45"/>
    </w:p>
    <w:p>
      <w:pPr>
        <w:bidi w:val="0"/>
        <w:ind w:firstLine="560" w:firstLineChars="200"/>
        <w:rPr>
          <w:rFonts w:hint="default"/>
          <w:color w:val="auto"/>
          <w:lang w:val="en-US" w:eastAsia="zh-CN"/>
        </w:rPr>
      </w:pPr>
      <w:r>
        <w:rPr>
          <w:rFonts w:hint="eastAsia"/>
          <w:color w:val="auto"/>
          <w:lang w:val="en-US" w:eastAsia="zh-CN"/>
        </w:rPr>
        <w:t>1、组织机构及定员</w:t>
      </w:r>
    </w:p>
    <w:p>
      <w:pPr>
        <w:bidi w:val="0"/>
        <w:ind w:firstLine="560" w:firstLineChars="200"/>
        <w:rPr>
          <w:rFonts w:hint="default"/>
          <w:color w:val="auto"/>
          <w:lang w:val="en-US" w:eastAsia="zh-CN"/>
        </w:rPr>
      </w:pPr>
      <w:r>
        <w:rPr>
          <w:rFonts w:hint="eastAsia"/>
          <w:color w:val="auto"/>
          <w:lang w:val="en-US" w:eastAsia="zh-CN"/>
        </w:rPr>
        <w:t>充电站的组织机构及安全管理体系依托加油站现有，本项目不新增人员。</w:t>
      </w:r>
    </w:p>
    <w:p>
      <w:pPr>
        <w:bidi w:val="0"/>
        <w:ind w:firstLine="560" w:firstLineChars="200"/>
        <w:rPr>
          <w:rFonts w:hint="default"/>
          <w:color w:val="auto"/>
          <w:lang w:val="en-US" w:eastAsia="zh-CN"/>
        </w:rPr>
      </w:pPr>
      <w:r>
        <w:rPr>
          <w:rFonts w:hint="eastAsia"/>
          <w:color w:val="auto"/>
          <w:lang w:val="en-US" w:eastAsia="zh-CN"/>
        </w:rPr>
        <w:t>2、人员来源及培训</w:t>
      </w:r>
    </w:p>
    <w:p>
      <w:pPr>
        <w:ind w:firstLine="560" w:firstLineChars="200"/>
        <w:rPr>
          <w:rFonts w:hint="default"/>
          <w:color w:val="auto"/>
          <w:lang w:val="en-US" w:eastAsia="zh-CN"/>
        </w:rPr>
      </w:pPr>
      <w:r>
        <w:rPr>
          <w:rFonts w:hint="eastAsia"/>
          <w:color w:val="auto"/>
          <w:lang w:val="en-US" w:eastAsia="zh-CN"/>
        </w:rPr>
        <w:t>本项目不新增人员，由设备厂家提供培训服务。</w:t>
      </w:r>
    </w:p>
    <w:p>
      <w:pPr>
        <w:rPr>
          <w:color w:val="auto"/>
          <w:sz w:val="36"/>
          <w:szCs w:val="36"/>
        </w:rPr>
      </w:pPr>
      <w:bookmarkStart w:id="46" w:name="_Toc3831"/>
      <w:bookmarkStart w:id="47" w:name="_Toc21259"/>
      <w:bookmarkStart w:id="48" w:name="_Toc350517378"/>
      <w:r>
        <w:rPr>
          <w:color w:val="auto"/>
          <w:sz w:val="36"/>
          <w:szCs w:val="36"/>
        </w:rPr>
        <w:br w:type="page"/>
      </w:r>
    </w:p>
    <w:p>
      <w:pPr>
        <w:pStyle w:val="2"/>
        <w:rPr>
          <w:rFonts w:hint="eastAsia" w:ascii="宋体" w:hAnsi="宋体" w:eastAsia="宋体" w:cs="宋体"/>
          <w:b w:val="0"/>
          <w:color w:val="auto"/>
        </w:rPr>
      </w:pPr>
      <w:r>
        <w:rPr>
          <w:color w:val="auto"/>
          <w:sz w:val="36"/>
          <w:szCs w:val="36"/>
        </w:rPr>
        <w:t>3</w:t>
      </w:r>
      <w:r>
        <w:rPr>
          <w:rFonts w:hint="eastAsia" w:ascii="宋体" w:hAnsi="宋体" w:eastAsia="宋体" w:cs="宋体"/>
          <w:color w:val="auto"/>
          <w:sz w:val="36"/>
          <w:szCs w:val="36"/>
        </w:rPr>
        <w:t>主要危险、有害因素分析</w:t>
      </w:r>
      <w:bookmarkEnd w:id="46"/>
      <w:bookmarkEnd w:id="47"/>
      <w:bookmarkEnd w:id="48"/>
    </w:p>
    <w:p>
      <w:pPr>
        <w:bidi w:val="0"/>
        <w:ind w:firstLine="560" w:firstLineChars="200"/>
        <w:rPr>
          <w:rFonts w:hint="default"/>
          <w:color w:val="auto"/>
          <w:lang w:val="en-US" w:eastAsia="zh-CN"/>
        </w:rPr>
      </w:pPr>
      <w:bookmarkStart w:id="49" w:name="_Toc350517379"/>
      <w:r>
        <w:rPr>
          <w:rFonts w:hint="eastAsia"/>
          <w:color w:val="auto"/>
          <w:lang w:val="en-US" w:eastAsia="zh-CN"/>
        </w:rPr>
        <w:t>本章从该项目涉及的设备设施、建构筑物、公用辅助设施等方面对该项目存在的危险有害因素进行分析，来确定项目危险、有害因素的类型和程度，为评价单元的划分、评价方法的选择提供依据。</w:t>
      </w:r>
    </w:p>
    <w:p>
      <w:pPr>
        <w:pStyle w:val="3"/>
        <w:bidi w:val="0"/>
        <w:rPr>
          <w:rFonts w:hint="default" w:ascii="宋体" w:hAnsi="宋体" w:eastAsia="楷体" w:cs="宋体"/>
          <w:color w:val="auto"/>
          <w:lang w:val="en-US" w:eastAsia="zh-CN"/>
        </w:rPr>
      </w:pPr>
      <w:bookmarkStart w:id="50" w:name="_Toc17284"/>
      <w:r>
        <w:rPr>
          <w:color w:val="auto"/>
        </w:rPr>
        <w:t>3.1</w:t>
      </w:r>
      <w:bookmarkEnd w:id="49"/>
      <w:r>
        <w:rPr>
          <w:rFonts w:hint="eastAsia" w:ascii="宋体" w:hAnsi="宋体" w:eastAsia="宋体" w:cs="宋体"/>
          <w:color w:val="auto"/>
          <w:lang w:val="en-US" w:eastAsia="zh-CN"/>
        </w:rPr>
        <w:t>危险有害因素辨识的依据</w:t>
      </w:r>
      <w:bookmarkEnd w:id="50"/>
    </w:p>
    <w:p>
      <w:pPr>
        <w:bidi w:val="0"/>
        <w:ind w:firstLine="560"/>
        <w:rPr>
          <w:rFonts w:hint="eastAsia"/>
          <w:color w:val="auto"/>
          <w:lang w:val="en-US" w:eastAsia="zh-CN"/>
        </w:rPr>
      </w:pPr>
      <w:r>
        <w:rPr>
          <w:rFonts w:hint="eastAsia"/>
          <w:color w:val="auto"/>
          <w:lang w:val="en-US" w:eastAsia="zh-CN"/>
        </w:rPr>
        <w:t>危险因素是指能对人造成伤亡或对物造成突发性损害的因素；有害因素是指能影响人的身体健康，导致疾病，或对物造成缓慢性损害的因素。通常情况下，二者并不加以区分，统称为危险、有害因素。危险、有害因素的分类方法有多种，在安全评价过程中常用“可能导致生产过程中的危险和有害因索的性质”和“参照事故类别”的方法进行分类。</w:t>
      </w:r>
    </w:p>
    <w:p>
      <w:pPr>
        <w:bidi w:val="0"/>
        <w:ind w:firstLine="560"/>
        <w:rPr>
          <w:rFonts w:hint="eastAsia"/>
          <w:b/>
          <w:bCs/>
          <w:color w:val="auto"/>
          <w:lang w:val="en-US" w:eastAsia="zh-CN"/>
        </w:rPr>
      </w:pPr>
      <w:r>
        <w:rPr>
          <w:rFonts w:hint="eastAsia"/>
          <w:b/>
          <w:bCs/>
          <w:color w:val="auto"/>
          <w:lang w:val="en-US" w:eastAsia="zh-CN"/>
        </w:rPr>
        <w:t>1、按可能导致生产过程中危险和有害因素的性质进行分类</w:t>
      </w:r>
    </w:p>
    <w:p>
      <w:pPr>
        <w:bidi w:val="0"/>
        <w:ind w:firstLine="560"/>
        <w:rPr>
          <w:rFonts w:hint="eastAsia"/>
          <w:color w:val="auto"/>
          <w:lang w:val="en-US" w:eastAsia="zh-CN"/>
        </w:rPr>
      </w:pPr>
      <w:r>
        <w:rPr>
          <w:rFonts w:hint="eastAsia"/>
          <w:color w:val="auto"/>
          <w:lang w:val="en-US" w:eastAsia="zh-CN"/>
        </w:rPr>
        <w:t xml:space="preserve">根据 《生产过程危险和有害因素分类与代码》 的规定，将生产过程中的危险、有害因索分为“人的因索”、“物的因索”、“环境因素”和“管理因素”四大类。 </w:t>
      </w:r>
    </w:p>
    <w:p>
      <w:pPr>
        <w:bidi w:val="0"/>
        <w:ind w:firstLine="560"/>
        <w:rPr>
          <w:rFonts w:hint="eastAsia"/>
          <w:b/>
          <w:bCs/>
          <w:color w:val="auto"/>
          <w:lang w:val="en-US" w:eastAsia="zh-CN"/>
        </w:rPr>
      </w:pPr>
      <w:r>
        <w:rPr>
          <w:rFonts w:hint="eastAsia"/>
          <w:b/>
          <w:bCs/>
          <w:color w:val="auto"/>
          <w:lang w:val="en-US" w:eastAsia="zh-CN"/>
        </w:rPr>
        <w:t>2、参照《企业职工伤亡事故分类》 进行分类</w:t>
      </w:r>
    </w:p>
    <w:p>
      <w:pPr>
        <w:bidi w:val="0"/>
        <w:ind w:firstLine="560"/>
        <w:rPr>
          <w:rFonts w:hint="eastAsia"/>
          <w:color w:val="auto"/>
          <w:lang w:val="en-US" w:eastAsia="zh-CN"/>
        </w:rPr>
      </w:pPr>
      <w:r>
        <w:rPr>
          <w:rFonts w:hint="eastAsia"/>
          <w:color w:val="auto"/>
          <w:lang w:val="en-US" w:eastAsia="zh-CN"/>
        </w:rPr>
        <w:t>参照《企业职工伤亡事故分类》综合考虑起因物、引起事故的诱导性原因、致害物、伤害方式等，将事故分为物体打击、车辆伤害、机械伤害、起重伤害、触电、淹溺、灼烫、火灾、高处坠落、坍塌、冒顶片帮、透水、放炮、火药爆炸、瓦斯爆炸、锅炉爆炸、容器爆炸、其他爆炸、中毒和窒息、其他伤害共 20 类。</w:t>
      </w:r>
    </w:p>
    <w:p>
      <w:pPr>
        <w:bidi w:val="0"/>
        <w:ind w:firstLine="560"/>
        <w:rPr>
          <w:rFonts w:hint="eastAsia"/>
          <w:b/>
          <w:bCs/>
          <w:color w:val="auto"/>
          <w:lang w:val="en-US" w:eastAsia="zh-CN"/>
        </w:rPr>
      </w:pPr>
      <w:r>
        <w:rPr>
          <w:rFonts w:hint="eastAsia"/>
          <w:b/>
          <w:bCs/>
          <w:color w:val="auto"/>
          <w:lang w:val="en-US" w:eastAsia="zh-CN"/>
        </w:rPr>
        <w:t>3、按职业健康分类</w:t>
      </w:r>
    </w:p>
    <w:p>
      <w:pPr>
        <w:bidi w:val="0"/>
        <w:ind w:firstLine="560"/>
        <w:rPr>
          <w:rFonts w:hint="eastAsia"/>
          <w:color w:val="auto"/>
          <w:lang w:val="en-US" w:eastAsia="zh-CN"/>
        </w:rPr>
      </w:pPr>
      <w:r>
        <w:rPr>
          <w:rFonts w:hint="eastAsia"/>
          <w:color w:val="auto"/>
          <w:lang w:val="en-US" w:eastAsia="zh-CN"/>
        </w:rPr>
        <w:t>参照卫生部、原劳动部、总工会等颁发的《职业病范围和职业病患者处理办法的规定》，将危险、有害因素分为生产性粉尘、毒物、噪声与振动、高温、低温、辐射（电离辐射、非电离辐射）及其他有害因索等 7 类。</w:t>
      </w:r>
    </w:p>
    <w:p>
      <w:pPr>
        <w:bidi w:val="0"/>
        <w:ind w:firstLine="560" w:firstLineChars="200"/>
        <w:rPr>
          <w:rFonts w:hint="default"/>
          <w:color w:val="auto"/>
          <w:lang w:val="en-US" w:eastAsia="zh-CN"/>
        </w:rPr>
      </w:pPr>
      <w:r>
        <w:rPr>
          <w:rFonts w:hint="default"/>
          <w:color w:val="auto"/>
          <w:lang w:val="en-US" w:eastAsia="zh-CN"/>
        </w:rPr>
        <w:t>在本报告中，根据经营的实际情况，综合上述三种分类方式对危险、有害因索进行辨识和分析。</w:t>
      </w:r>
    </w:p>
    <w:p>
      <w:pPr>
        <w:pStyle w:val="3"/>
        <w:bidi w:val="0"/>
        <w:rPr>
          <w:color w:val="auto"/>
        </w:rPr>
      </w:pPr>
      <w:bookmarkStart w:id="51" w:name="_Toc31916"/>
      <w:bookmarkStart w:id="52" w:name="_Toc35241864"/>
      <w:bookmarkStart w:id="53" w:name="_Toc350517381"/>
      <w:r>
        <w:rPr>
          <w:color w:val="auto"/>
        </w:rPr>
        <w:t>3.</w:t>
      </w:r>
      <w:r>
        <w:rPr>
          <w:rFonts w:hint="eastAsia"/>
          <w:color w:val="auto"/>
          <w:lang w:val="en-US" w:eastAsia="zh-CN"/>
        </w:rPr>
        <w:t>2</w:t>
      </w:r>
      <w:r>
        <w:rPr>
          <w:rFonts w:hint="eastAsia" w:ascii="宋体" w:hAnsi="宋体" w:cs="宋体"/>
          <w:color w:val="auto"/>
          <w:lang w:val="en-US" w:eastAsia="zh-CN"/>
        </w:rPr>
        <w:t>主要</w:t>
      </w:r>
      <w:r>
        <w:rPr>
          <w:rFonts w:hint="eastAsia" w:ascii="宋体" w:hAnsi="宋体" w:eastAsia="宋体" w:cs="宋体"/>
          <w:color w:val="auto"/>
        </w:rPr>
        <w:t>危险</w:t>
      </w:r>
      <w:r>
        <w:rPr>
          <w:rFonts w:hint="eastAsia" w:ascii="宋体" w:hAnsi="宋体" w:cs="宋体"/>
          <w:color w:val="auto"/>
          <w:lang w:eastAsia="zh-CN"/>
        </w:rPr>
        <w:t>、</w:t>
      </w:r>
      <w:r>
        <w:rPr>
          <w:rFonts w:hint="eastAsia" w:ascii="宋体" w:hAnsi="宋体" w:eastAsia="宋体" w:cs="宋体"/>
          <w:color w:val="auto"/>
        </w:rPr>
        <w:t>有害因素分析</w:t>
      </w:r>
      <w:bookmarkEnd w:id="51"/>
      <w:bookmarkEnd w:id="52"/>
    </w:p>
    <w:bookmarkEnd w:id="53"/>
    <w:p>
      <w:pPr>
        <w:ind w:firstLine="560" w:firstLineChars="200"/>
        <w:rPr>
          <w:color w:val="auto"/>
          <w:szCs w:val="28"/>
        </w:rPr>
      </w:pPr>
      <w:bookmarkStart w:id="54" w:name="_Toc350517383"/>
      <w:bookmarkStart w:id="55" w:name="_Toc17858"/>
      <w:r>
        <w:rPr>
          <w:color w:val="auto"/>
          <w:szCs w:val="28"/>
        </w:rPr>
        <w:t>按导致事故的直接原因进行分析，根据《生产过程危险和有害因素分类与代码》（GB/T13861-2022）的规定，</w:t>
      </w:r>
      <w:r>
        <w:rPr>
          <w:rFonts w:hint="eastAsia"/>
          <w:color w:val="auto"/>
          <w:szCs w:val="28"/>
          <w:lang w:eastAsia="zh-CN"/>
        </w:rPr>
        <w:t>该项目</w:t>
      </w:r>
      <w:r>
        <w:rPr>
          <w:color w:val="auto"/>
          <w:szCs w:val="28"/>
        </w:rPr>
        <w:t>存在以下四类危险、有害因素。</w:t>
      </w:r>
    </w:p>
    <w:p>
      <w:pPr>
        <w:ind w:firstLine="560" w:firstLineChars="200"/>
        <w:rPr>
          <w:color w:val="auto"/>
          <w:szCs w:val="28"/>
        </w:rPr>
      </w:pPr>
      <w:r>
        <w:rPr>
          <w:color w:val="auto"/>
          <w:szCs w:val="28"/>
        </w:rPr>
        <w:t>1、人的因素</w:t>
      </w:r>
    </w:p>
    <w:p>
      <w:pPr>
        <w:ind w:firstLine="560" w:firstLineChars="200"/>
        <w:rPr>
          <w:color w:val="auto"/>
          <w:szCs w:val="28"/>
        </w:rPr>
      </w:pPr>
      <w:r>
        <w:rPr>
          <w:color w:val="auto"/>
          <w:szCs w:val="28"/>
        </w:rPr>
        <w:t>1）心里、生理性危险和有害因素</w:t>
      </w:r>
    </w:p>
    <w:p>
      <w:pPr>
        <w:ind w:firstLine="560" w:firstLineChars="200"/>
        <w:rPr>
          <w:color w:val="auto"/>
          <w:szCs w:val="28"/>
        </w:rPr>
      </w:pPr>
      <w:r>
        <w:rPr>
          <w:rFonts w:hint="eastAsia"/>
          <w:color w:val="auto"/>
          <w:szCs w:val="28"/>
          <w:lang w:eastAsia="zh-CN"/>
        </w:rPr>
        <w:t>该项目</w:t>
      </w:r>
      <w:r>
        <w:rPr>
          <w:rFonts w:hint="eastAsia"/>
          <w:color w:val="auto"/>
          <w:szCs w:val="28"/>
          <w:lang w:val="en-US" w:eastAsia="zh-CN"/>
        </w:rPr>
        <w:t>服务于社会电动汽车</w:t>
      </w:r>
      <w:r>
        <w:rPr>
          <w:color w:val="auto"/>
          <w:szCs w:val="28"/>
        </w:rPr>
        <w:t>，</w:t>
      </w:r>
      <w:r>
        <w:rPr>
          <w:rFonts w:hint="eastAsia"/>
          <w:color w:val="auto"/>
          <w:szCs w:val="28"/>
          <w:lang w:val="en-US" w:eastAsia="zh-CN"/>
        </w:rPr>
        <w:t>汽车司机</w:t>
      </w:r>
      <w:r>
        <w:rPr>
          <w:color w:val="auto"/>
          <w:szCs w:val="28"/>
        </w:rPr>
        <w:t>存在年龄、体质、受教育程度、心理承受能力、对事物的反应速度、休息好坏等差异。在</w:t>
      </w:r>
      <w:r>
        <w:rPr>
          <w:rFonts w:hint="eastAsia"/>
          <w:color w:val="auto"/>
          <w:szCs w:val="28"/>
          <w:lang w:val="en-US" w:eastAsia="zh-CN"/>
        </w:rPr>
        <w:t>充电操作及站内行车</w:t>
      </w:r>
      <w:r>
        <w:rPr>
          <w:color w:val="auto"/>
          <w:szCs w:val="28"/>
        </w:rPr>
        <w:t>过程中，存在健康异常、心理异常（如情绪异常、冒险心里、过度紧张等）、辨识功能缺陷、操作失误，反应迟钝等，从而不能及时判断处理</w:t>
      </w:r>
      <w:r>
        <w:rPr>
          <w:rFonts w:hint="eastAsia"/>
          <w:color w:val="auto"/>
          <w:szCs w:val="28"/>
          <w:lang w:val="en-US" w:eastAsia="zh-CN"/>
        </w:rPr>
        <w:t>问题</w:t>
      </w:r>
      <w:r>
        <w:rPr>
          <w:color w:val="auto"/>
          <w:szCs w:val="28"/>
        </w:rPr>
        <w:t>发生事故或引发事故。</w:t>
      </w:r>
    </w:p>
    <w:p>
      <w:pPr>
        <w:ind w:firstLine="560" w:firstLineChars="200"/>
        <w:rPr>
          <w:color w:val="auto"/>
          <w:szCs w:val="28"/>
        </w:rPr>
      </w:pPr>
      <w:r>
        <w:rPr>
          <w:color w:val="auto"/>
          <w:szCs w:val="28"/>
        </w:rPr>
        <w:t>2）行为性危险、有害因素</w:t>
      </w:r>
    </w:p>
    <w:p>
      <w:pPr>
        <w:ind w:firstLine="560" w:firstLineChars="200"/>
        <w:rPr>
          <w:color w:val="auto"/>
          <w:szCs w:val="28"/>
        </w:rPr>
      </w:pPr>
      <w:r>
        <w:rPr>
          <w:color w:val="auto"/>
          <w:szCs w:val="28"/>
        </w:rPr>
        <w:t>行为性危险、有害因素主要表现为指挥错误（如违章指挥，对故障或危险因素判断指挥错误等）、操作错误（如误操作、违章操作）或监护错误（如监护时未采取有效的监护手段及措施，监护时分心或脱离岗位等）。</w:t>
      </w:r>
    </w:p>
    <w:p>
      <w:pPr>
        <w:ind w:firstLine="560" w:firstLineChars="200"/>
        <w:rPr>
          <w:bCs/>
          <w:color w:val="auto"/>
          <w:szCs w:val="28"/>
        </w:rPr>
      </w:pPr>
      <w:bookmarkStart w:id="56" w:name="_Toc237873172"/>
      <w:bookmarkStart w:id="57" w:name="_Toc231986597"/>
      <w:bookmarkStart w:id="58" w:name="_Toc223145303"/>
      <w:bookmarkStart w:id="59" w:name="_Toc219559438"/>
      <w:bookmarkStart w:id="60" w:name="_Toc226003587"/>
      <w:bookmarkStart w:id="61" w:name="_Toc240195035"/>
      <w:bookmarkStart w:id="62" w:name="_Toc233793122"/>
      <w:bookmarkStart w:id="63" w:name="_Toc238875727"/>
      <w:bookmarkStart w:id="64" w:name="_Toc231608309"/>
      <w:r>
        <w:rPr>
          <w:bCs/>
          <w:color w:val="auto"/>
          <w:szCs w:val="28"/>
        </w:rPr>
        <w:t>2、物的因素</w:t>
      </w:r>
    </w:p>
    <w:p>
      <w:pPr>
        <w:ind w:firstLine="560" w:firstLineChars="200"/>
        <w:rPr>
          <w:bCs/>
          <w:color w:val="auto"/>
          <w:szCs w:val="28"/>
        </w:rPr>
      </w:pPr>
      <w:r>
        <w:rPr>
          <w:bCs/>
          <w:color w:val="auto"/>
          <w:szCs w:val="28"/>
        </w:rPr>
        <w:t>物理性危险和有害因素</w:t>
      </w:r>
      <w:bookmarkEnd w:id="56"/>
      <w:bookmarkEnd w:id="57"/>
      <w:bookmarkEnd w:id="58"/>
      <w:bookmarkEnd w:id="59"/>
      <w:bookmarkEnd w:id="60"/>
      <w:bookmarkEnd w:id="61"/>
      <w:bookmarkEnd w:id="62"/>
      <w:bookmarkEnd w:id="63"/>
      <w:bookmarkEnd w:id="64"/>
    </w:p>
    <w:p>
      <w:pPr>
        <w:ind w:firstLine="560" w:firstLineChars="200"/>
        <w:rPr>
          <w:color w:val="auto"/>
          <w:szCs w:val="28"/>
        </w:rPr>
      </w:pPr>
      <w:r>
        <w:rPr>
          <w:color w:val="auto"/>
          <w:szCs w:val="28"/>
        </w:rPr>
        <w:t>(1)设备、设施缺陷</w:t>
      </w:r>
    </w:p>
    <w:p>
      <w:pPr>
        <w:ind w:firstLine="560" w:firstLineChars="200"/>
        <w:rPr>
          <w:color w:val="auto"/>
          <w:szCs w:val="28"/>
        </w:rPr>
      </w:pPr>
      <w:r>
        <w:rPr>
          <w:color w:val="auto"/>
          <w:szCs w:val="28"/>
        </w:rPr>
        <w:t>该项目中存在</w:t>
      </w:r>
      <w:r>
        <w:rPr>
          <w:rFonts w:hint="eastAsia"/>
          <w:color w:val="auto"/>
          <w:szCs w:val="28"/>
          <w:lang w:val="en-US" w:eastAsia="zh-CN"/>
        </w:rPr>
        <w:t>充电桩、箱式变压器、光伏车棚、储能</w:t>
      </w:r>
      <w:r>
        <w:rPr>
          <w:color w:val="auto"/>
          <w:szCs w:val="28"/>
        </w:rPr>
        <w:t>等设备、设施，如因设备基础、本体腐蚀、强度不够、安装质量低、密封不良等可能引发各类事故。</w:t>
      </w:r>
    </w:p>
    <w:p>
      <w:pPr>
        <w:ind w:firstLine="560" w:firstLineChars="200"/>
        <w:rPr>
          <w:bCs/>
          <w:color w:val="auto"/>
          <w:szCs w:val="28"/>
        </w:rPr>
      </w:pPr>
      <w:r>
        <w:rPr>
          <w:bCs/>
          <w:color w:val="auto"/>
          <w:szCs w:val="28"/>
        </w:rPr>
        <w:t>(2)电危害</w:t>
      </w:r>
    </w:p>
    <w:p>
      <w:pPr>
        <w:ind w:firstLine="560" w:firstLineChars="200"/>
        <w:rPr>
          <w:bCs/>
          <w:color w:val="auto"/>
          <w:szCs w:val="28"/>
        </w:rPr>
      </w:pPr>
      <w:r>
        <w:rPr>
          <w:rFonts w:hint="eastAsia"/>
          <w:bCs/>
          <w:color w:val="auto"/>
          <w:szCs w:val="28"/>
          <w:lang w:eastAsia="zh-CN"/>
        </w:rPr>
        <w:t>该项目</w:t>
      </w:r>
      <w:r>
        <w:rPr>
          <w:bCs/>
          <w:color w:val="auto"/>
          <w:szCs w:val="28"/>
        </w:rPr>
        <w:t>使用的电气设备、设施，可能发生带电部位裸露、漏电、雷电、静电、电火花等电危害。</w:t>
      </w:r>
    </w:p>
    <w:p>
      <w:pPr>
        <w:ind w:firstLine="560" w:firstLineChars="200"/>
        <w:rPr>
          <w:bCs/>
          <w:color w:val="auto"/>
          <w:szCs w:val="28"/>
        </w:rPr>
      </w:pPr>
      <w:r>
        <w:rPr>
          <w:bCs/>
          <w:color w:val="auto"/>
          <w:szCs w:val="28"/>
        </w:rPr>
        <w:t>(3)噪声危害</w:t>
      </w:r>
    </w:p>
    <w:p>
      <w:pPr>
        <w:ind w:firstLine="560" w:firstLineChars="200"/>
        <w:rPr>
          <w:bCs/>
          <w:color w:val="auto"/>
          <w:szCs w:val="28"/>
        </w:rPr>
      </w:pPr>
      <w:r>
        <w:rPr>
          <w:rFonts w:hint="eastAsia"/>
          <w:bCs/>
          <w:color w:val="auto"/>
          <w:szCs w:val="28"/>
          <w:lang w:eastAsia="zh-CN"/>
        </w:rPr>
        <w:t>该项目</w:t>
      </w:r>
      <w:r>
        <w:rPr>
          <w:bCs/>
          <w:color w:val="auto"/>
          <w:szCs w:val="28"/>
        </w:rPr>
        <w:t>主要存在的</w:t>
      </w:r>
      <w:r>
        <w:rPr>
          <w:rFonts w:hint="eastAsia"/>
          <w:bCs/>
          <w:color w:val="auto"/>
          <w:szCs w:val="28"/>
          <w:lang w:val="en-US" w:eastAsia="zh-CN"/>
        </w:rPr>
        <w:t>充电桩充电过程中产生的噪音</w:t>
      </w:r>
      <w:r>
        <w:rPr>
          <w:bCs/>
          <w:color w:val="auto"/>
          <w:szCs w:val="28"/>
        </w:rPr>
        <w:t>。</w:t>
      </w:r>
    </w:p>
    <w:p>
      <w:pPr>
        <w:ind w:firstLine="560" w:firstLineChars="200"/>
        <w:rPr>
          <w:bCs/>
          <w:color w:val="auto"/>
          <w:szCs w:val="28"/>
        </w:rPr>
      </w:pPr>
      <w:r>
        <w:rPr>
          <w:bCs/>
          <w:color w:val="auto"/>
          <w:szCs w:val="28"/>
        </w:rPr>
        <w:t>(4)运动物危害</w:t>
      </w:r>
    </w:p>
    <w:p>
      <w:pPr>
        <w:ind w:firstLine="560" w:firstLineChars="200"/>
        <w:rPr>
          <w:bCs/>
          <w:color w:val="auto"/>
          <w:szCs w:val="28"/>
        </w:rPr>
      </w:pPr>
      <w:r>
        <w:rPr>
          <w:rFonts w:hint="eastAsia"/>
          <w:bCs/>
          <w:color w:val="auto"/>
          <w:szCs w:val="28"/>
          <w:lang w:eastAsia="zh-CN"/>
        </w:rPr>
        <w:t>该项目</w:t>
      </w:r>
      <w:r>
        <w:rPr>
          <w:rFonts w:hint="eastAsia"/>
          <w:bCs/>
          <w:color w:val="auto"/>
          <w:szCs w:val="28"/>
          <w:lang w:val="en-US" w:eastAsia="zh-CN"/>
        </w:rPr>
        <w:t>内的机动车辆，</w:t>
      </w:r>
      <w:r>
        <w:rPr>
          <w:bCs/>
          <w:color w:val="auto"/>
          <w:szCs w:val="28"/>
        </w:rPr>
        <w:t>可能因各种原因发生撞击设备或人员等，另外，高处未固定好的物体或检修工具、器落下、飞出等。</w:t>
      </w:r>
    </w:p>
    <w:p>
      <w:pPr>
        <w:ind w:firstLine="560" w:firstLineChars="200"/>
        <w:rPr>
          <w:bCs/>
          <w:color w:val="auto"/>
          <w:szCs w:val="28"/>
        </w:rPr>
      </w:pPr>
      <w:r>
        <w:rPr>
          <w:bCs/>
          <w:color w:val="auto"/>
          <w:szCs w:val="28"/>
        </w:rPr>
        <w:t>(</w:t>
      </w:r>
      <w:r>
        <w:rPr>
          <w:rFonts w:hint="eastAsia"/>
          <w:bCs/>
          <w:color w:val="auto"/>
          <w:szCs w:val="28"/>
          <w:lang w:val="en-US" w:eastAsia="zh-CN"/>
        </w:rPr>
        <w:t>5</w:t>
      </w:r>
      <w:r>
        <w:rPr>
          <w:bCs/>
          <w:color w:val="auto"/>
          <w:szCs w:val="28"/>
        </w:rPr>
        <w:t>)标志缺陷</w:t>
      </w:r>
    </w:p>
    <w:p>
      <w:pPr>
        <w:ind w:firstLine="560" w:firstLineChars="200"/>
        <w:rPr>
          <w:bCs/>
          <w:color w:val="auto"/>
          <w:szCs w:val="28"/>
        </w:rPr>
      </w:pPr>
      <w:r>
        <w:rPr>
          <w:rFonts w:hint="eastAsia"/>
          <w:bCs/>
          <w:color w:val="auto"/>
          <w:szCs w:val="28"/>
          <w:lang w:eastAsia="zh-CN"/>
        </w:rPr>
        <w:t>该项目</w:t>
      </w:r>
      <w:r>
        <w:rPr>
          <w:bCs/>
          <w:color w:val="auto"/>
          <w:szCs w:val="28"/>
        </w:rPr>
        <w:t>标志缺陷主要可能在于未设置警示标志或标志不规范等。</w:t>
      </w:r>
    </w:p>
    <w:p>
      <w:pPr>
        <w:ind w:firstLine="560" w:firstLineChars="200"/>
        <w:rPr>
          <w:bCs/>
          <w:color w:val="auto"/>
          <w:szCs w:val="28"/>
        </w:rPr>
      </w:pPr>
      <w:r>
        <w:rPr>
          <w:bCs/>
          <w:color w:val="auto"/>
          <w:szCs w:val="28"/>
        </w:rPr>
        <w:t>3、环境因素</w:t>
      </w:r>
    </w:p>
    <w:p>
      <w:pPr>
        <w:ind w:firstLine="560" w:firstLineChars="200"/>
        <w:rPr>
          <w:bCs/>
          <w:color w:val="auto"/>
          <w:szCs w:val="28"/>
        </w:rPr>
      </w:pPr>
      <w:r>
        <w:rPr>
          <w:rFonts w:hint="eastAsia"/>
          <w:bCs/>
          <w:color w:val="auto"/>
          <w:szCs w:val="28"/>
          <w:lang w:val="en-US" w:eastAsia="zh-CN"/>
        </w:rPr>
        <w:t>充电站</w:t>
      </w:r>
      <w:r>
        <w:rPr>
          <w:bCs/>
          <w:color w:val="auto"/>
          <w:szCs w:val="28"/>
        </w:rPr>
        <w:t>场所不良：如</w:t>
      </w:r>
      <w:r>
        <w:rPr>
          <w:rFonts w:hint="eastAsia"/>
          <w:bCs/>
          <w:color w:val="auto"/>
          <w:szCs w:val="28"/>
          <w:lang w:val="en-US" w:eastAsia="zh-CN"/>
        </w:rPr>
        <w:t>排水不良、</w:t>
      </w:r>
      <w:r>
        <w:rPr>
          <w:bCs/>
          <w:color w:val="auto"/>
          <w:szCs w:val="28"/>
        </w:rPr>
        <w:t>地面滑、</w:t>
      </w:r>
      <w:r>
        <w:rPr>
          <w:rFonts w:hint="eastAsia"/>
          <w:bCs/>
          <w:color w:val="auto"/>
          <w:szCs w:val="28"/>
          <w:lang w:val="en-US" w:eastAsia="zh-CN"/>
        </w:rPr>
        <w:t>道路</w:t>
      </w:r>
      <w:r>
        <w:rPr>
          <w:bCs/>
          <w:color w:val="auto"/>
          <w:szCs w:val="28"/>
        </w:rPr>
        <w:t>狭窄、地面不平、采光照明不良；作业过程容易造成滑到、摔伤及其他机械伤害事故的发生。</w:t>
      </w:r>
    </w:p>
    <w:p>
      <w:pPr>
        <w:ind w:firstLine="560" w:firstLineChars="200"/>
        <w:rPr>
          <w:bCs/>
          <w:color w:val="auto"/>
          <w:szCs w:val="28"/>
        </w:rPr>
      </w:pPr>
      <w:r>
        <w:rPr>
          <w:bCs/>
          <w:color w:val="auto"/>
          <w:szCs w:val="28"/>
        </w:rPr>
        <w:t>4、管理因素</w:t>
      </w:r>
    </w:p>
    <w:p>
      <w:pPr>
        <w:ind w:firstLine="560" w:firstLineChars="200"/>
        <w:rPr>
          <w:bCs/>
          <w:color w:val="auto"/>
          <w:szCs w:val="28"/>
        </w:rPr>
      </w:pPr>
      <w:r>
        <w:rPr>
          <w:bCs/>
          <w:color w:val="auto"/>
          <w:szCs w:val="28"/>
        </w:rPr>
        <w:t>因管理因素发生的危险和有害因素主要表现在各项管理及规章制度不完善、不健全，或各项规章、制度未贯彻落实等因素引起的。主要表现在如下方面：公司的职业安全卫生组织机构和职业安全卫生管理规章不健全、不完善，职业安全卫生责任制未落实，操作规程不规范、事故应急预案及响应缺陷、培训制度不完善、职业健康管理制度不完善等。</w:t>
      </w:r>
    </w:p>
    <w:p>
      <w:pPr>
        <w:pStyle w:val="3"/>
        <w:bidi w:val="0"/>
        <w:rPr>
          <w:rFonts w:hint="default"/>
          <w:color w:val="auto"/>
          <w:lang w:val="en-US" w:eastAsia="zh-CN"/>
        </w:rPr>
      </w:pPr>
      <w:bookmarkStart w:id="65" w:name="_Toc9009"/>
      <w:r>
        <w:rPr>
          <w:rFonts w:hint="eastAsia"/>
          <w:color w:val="auto"/>
          <w:lang w:val="en-US" w:eastAsia="zh-CN"/>
        </w:rPr>
        <w:t>3.3经营</w:t>
      </w:r>
      <w:r>
        <w:rPr>
          <w:color w:val="auto"/>
        </w:rPr>
        <w:t>过程中的危险、有害因素分析</w:t>
      </w:r>
      <w:bookmarkEnd w:id="65"/>
    </w:p>
    <w:p>
      <w:pPr>
        <w:bidi w:val="0"/>
        <w:rPr>
          <w:color w:val="auto"/>
        </w:rPr>
      </w:pPr>
      <w:r>
        <w:rPr>
          <w:color w:val="auto"/>
        </w:rPr>
        <w:t>根据物质的危险、有害因素和</w:t>
      </w:r>
      <w:r>
        <w:rPr>
          <w:rFonts w:hint="eastAsia"/>
          <w:color w:val="auto"/>
        </w:rPr>
        <w:t>类比</w:t>
      </w:r>
      <w:r>
        <w:rPr>
          <w:color w:val="auto"/>
        </w:rPr>
        <w:t>现场调查、了解的资料情况分析，按照《企业职工伤亡事故分类》（GB6441-1986）的划分办法，对本项目</w:t>
      </w:r>
      <w:r>
        <w:rPr>
          <w:rFonts w:hint="eastAsia"/>
          <w:color w:val="auto"/>
          <w:lang w:val="en-US" w:eastAsia="zh-CN"/>
        </w:rPr>
        <w:t>经营过程中</w:t>
      </w:r>
      <w:r>
        <w:rPr>
          <w:color w:val="auto"/>
        </w:rPr>
        <w:t>存在危险因素分析如下。</w:t>
      </w:r>
    </w:p>
    <w:p>
      <w:pPr>
        <w:pStyle w:val="45"/>
        <w:ind w:firstLine="562" w:firstLineChars="200"/>
        <w:rPr>
          <w:rFonts w:hint="eastAsia" w:eastAsia="宋体"/>
          <w:b/>
          <w:bCs/>
          <w:color w:val="auto"/>
          <w:sz w:val="28"/>
          <w:szCs w:val="28"/>
          <w:lang w:val="en-US" w:eastAsia="zh-CN"/>
        </w:rPr>
      </w:pPr>
      <w:r>
        <w:rPr>
          <w:rFonts w:hint="eastAsia"/>
          <w:b/>
          <w:bCs/>
          <w:color w:val="auto"/>
          <w:sz w:val="28"/>
          <w:szCs w:val="28"/>
          <w:lang w:val="en-US" w:eastAsia="zh-CN"/>
        </w:rPr>
        <w:t>1、触电</w:t>
      </w:r>
    </w:p>
    <w:p>
      <w:pPr>
        <w:spacing w:line="600" w:lineRule="exact"/>
        <w:ind w:firstLine="560" w:firstLineChars="200"/>
        <w:rPr>
          <w:color w:val="auto"/>
          <w:sz w:val="28"/>
        </w:rPr>
      </w:pPr>
      <w:r>
        <w:rPr>
          <w:rFonts w:hAnsi="宋体"/>
          <w:color w:val="auto"/>
          <w:sz w:val="28"/>
        </w:rPr>
        <w:t>电气伤害主要包括触电和电弧灼伤。</w:t>
      </w:r>
    </w:p>
    <w:p>
      <w:pPr>
        <w:adjustRightInd w:val="0"/>
        <w:spacing w:line="600" w:lineRule="exact"/>
        <w:ind w:firstLine="560" w:firstLineChars="200"/>
        <w:rPr>
          <w:color w:val="auto"/>
          <w:sz w:val="28"/>
        </w:rPr>
      </w:pPr>
      <w:r>
        <w:rPr>
          <w:rFonts w:hAnsi="宋体"/>
          <w:color w:val="auto"/>
          <w:sz w:val="28"/>
          <w:szCs w:val="28"/>
        </w:rPr>
        <w:t>项目中有用电设备，</w:t>
      </w:r>
      <w:r>
        <w:rPr>
          <w:rFonts w:hAnsi="宋体"/>
          <w:color w:val="auto"/>
          <w:sz w:val="28"/>
        </w:rPr>
        <w:t>人体接触低压电源会造成触电伤害，雷击也可能产生类似的后果。如果设备开关本体缺陷、设备保护接地失效或操作失误，个人思想麻痹，防护缺陷，非专业人员违章</w:t>
      </w:r>
      <w:r>
        <w:rPr>
          <w:rFonts w:hint="eastAsia" w:hAnsi="宋体"/>
          <w:color w:val="auto"/>
          <w:sz w:val="28"/>
        </w:rPr>
        <w:t>检修</w:t>
      </w:r>
      <w:r>
        <w:rPr>
          <w:rFonts w:hAnsi="宋体"/>
          <w:color w:val="auto"/>
          <w:sz w:val="28"/>
        </w:rPr>
        <w:t>等，易发生人员触电事故。而</w:t>
      </w:r>
      <w:r>
        <w:rPr>
          <w:rFonts w:hAnsi="宋体"/>
          <w:color w:val="auto"/>
          <w:sz w:val="28"/>
          <w:szCs w:val="28"/>
        </w:rPr>
        <w:t>电气布线及用电设备容易产生绝缘性能降低，甚至外壳带电，特别在多雨、潮湿、高温季节可能造成人身触电事故。</w:t>
      </w:r>
    </w:p>
    <w:p>
      <w:pPr>
        <w:numPr>
          <w:ilvl w:val="0"/>
          <w:numId w:val="1"/>
        </w:numPr>
        <w:spacing w:line="600" w:lineRule="exact"/>
        <w:ind w:firstLine="560" w:firstLineChars="200"/>
        <w:rPr>
          <w:rFonts w:hint="eastAsia" w:ascii="宋体" w:hAnsi="宋体" w:eastAsia="宋体" w:cs="宋体"/>
          <w:i w:val="0"/>
          <w:caps w:val="0"/>
          <w:color w:val="auto"/>
          <w:spacing w:val="0"/>
          <w:sz w:val="28"/>
          <w:szCs w:val="28"/>
          <w:shd w:val="clear" w:color="auto" w:fill="FFFFFF"/>
        </w:rPr>
      </w:pPr>
      <w:r>
        <w:rPr>
          <w:rFonts w:hint="eastAsia" w:ascii="宋体" w:hAnsi="宋体" w:eastAsia="宋体" w:cs="宋体"/>
          <w:i w:val="0"/>
          <w:caps w:val="0"/>
          <w:color w:val="auto"/>
          <w:spacing w:val="0"/>
          <w:sz w:val="28"/>
          <w:szCs w:val="28"/>
          <w:shd w:val="clear" w:color="auto" w:fill="FFFFFF"/>
        </w:rPr>
        <w:t>充电桩输出电压过高，远超出家用电压的220伏，一旦出现问题或操作失误，会有触电致伤或致死风险；</w:t>
      </w:r>
    </w:p>
    <w:p>
      <w:pPr>
        <w:numPr>
          <w:ilvl w:val="0"/>
          <w:numId w:val="1"/>
        </w:numPr>
        <w:spacing w:line="600" w:lineRule="exact"/>
        <w:ind w:firstLine="560" w:firstLineChars="200"/>
        <w:rPr>
          <w:rFonts w:hint="eastAsia" w:ascii="宋体" w:hAnsi="宋体" w:eastAsia="宋体" w:cs="宋体"/>
          <w:color w:val="auto"/>
          <w:spacing w:val="-4"/>
          <w:sz w:val="28"/>
          <w:szCs w:val="28"/>
          <w:lang w:val="en-US" w:eastAsia="zh-CN"/>
        </w:rPr>
      </w:pPr>
      <w:r>
        <w:rPr>
          <w:rFonts w:hint="eastAsia" w:ascii="宋体" w:hAnsi="宋体" w:eastAsia="宋体" w:cs="宋体"/>
          <w:i w:val="0"/>
          <w:caps w:val="0"/>
          <w:color w:val="auto"/>
          <w:spacing w:val="0"/>
          <w:sz w:val="28"/>
          <w:szCs w:val="28"/>
          <w:shd w:val="clear" w:color="auto" w:fill="FFFFFF"/>
        </w:rPr>
        <w:t>充电桩接地不可靠，有些内部金属部件不能够完全接地，存在触电风险；</w:t>
      </w:r>
    </w:p>
    <w:p>
      <w:pPr>
        <w:numPr>
          <w:ilvl w:val="0"/>
          <w:numId w:val="1"/>
        </w:numPr>
        <w:spacing w:line="600" w:lineRule="exact"/>
        <w:ind w:left="0" w:leftChars="0" w:firstLine="560" w:firstLineChars="200"/>
        <w:rPr>
          <w:rFonts w:hint="eastAsia" w:ascii="宋体" w:hAnsi="宋体" w:eastAsia="宋体" w:cs="宋体"/>
          <w:i w:val="0"/>
          <w:caps w:val="0"/>
          <w:color w:val="auto"/>
          <w:spacing w:val="0"/>
          <w:sz w:val="28"/>
          <w:szCs w:val="28"/>
          <w:shd w:val="clear" w:color="auto" w:fill="FFFFFF"/>
        </w:rPr>
      </w:pPr>
      <w:r>
        <w:rPr>
          <w:rFonts w:hint="eastAsia" w:ascii="宋体" w:hAnsi="宋体" w:eastAsia="宋体" w:cs="宋体"/>
          <w:i w:val="0"/>
          <w:caps w:val="0"/>
          <w:color w:val="auto"/>
          <w:spacing w:val="0"/>
          <w:sz w:val="28"/>
          <w:szCs w:val="28"/>
          <w:shd w:val="clear" w:color="auto" w:fill="FFFFFF"/>
        </w:rPr>
        <w:t>充电枪电子锁不能可靠锁紧，充电枪插头带电，在未插入汽车充电口时就已开始供电，电压可达750余伏，当人拿充电枪时，极易发生危险；</w:t>
      </w:r>
    </w:p>
    <w:p>
      <w:pPr>
        <w:numPr>
          <w:ilvl w:val="0"/>
          <w:numId w:val="1"/>
        </w:numPr>
        <w:spacing w:line="600" w:lineRule="exact"/>
        <w:ind w:left="0" w:leftChars="0" w:firstLine="560" w:firstLineChars="200"/>
        <w:rPr>
          <w:rFonts w:hint="eastAsia" w:ascii="宋体" w:hAnsi="宋体" w:eastAsia="宋体" w:cs="宋体"/>
          <w:i w:val="0"/>
          <w:caps w:val="0"/>
          <w:color w:val="auto"/>
          <w:spacing w:val="0"/>
          <w:sz w:val="28"/>
          <w:szCs w:val="28"/>
          <w:shd w:val="clear" w:color="auto" w:fill="FFFFFF"/>
        </w:rPr>
      </w:pPr>
      <w:r>
        <w:rPr>
          <w:rFonts w:hint="eastAsia" w:ascii="宋体" w:hAnsi="宋体" w:eastAsia="宋体" w:cs="宋体"/>
          <w:i w:val="0"/>
          <w:caps w:val="0"/>
          <w:color w:val="auto"/>
          <w:spacing w:val="0"/>
          <w:sz w:val="28"/>
          <w:szCs w:val="28"/>
          <w:shd w:val="clear" w:color="auto" w:fill="FFFFFF"/>
        </w:rPr>
        <w:t>充电桩防水、防锈、密封性能不好，水汽与导电部件接触，会导致腐蚀或外部导电。</w:t>
      </w:r>
    </w:p>
    <w:p>
      <w:pPr>
        <w:bidi w:val="0"/>
        <w:rPr>
          <w:rFonts w:hint="default"/>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电动车辆自身故障引发的漏电。</w:t>
      </w:r>
    </w:p>
    <w:p>
      <w:pPr>
        <w:bidi w:val="0"/>
        <w:rPr>
          <w:color w:val="auto"/>
        </w:rPr>
      </w:pPr>
      <w:r>
        <w:rPr>
          <w:color w:val="auto"/>
        </w:rPr>
        <w:t>电弧灼伤主要表现在违章操作</w:t>
      </w:r>
      <w:r>
        <w:rPr>
          <w:rFonts w:hint="eastAsia"/>
          <w:color w:val="auto"/>
        </w:rPr>
        <w:t>、</w:t>
      </w:r>
      <w:r>
        <w:rPr>
          <w:color w:val="auto"/>
        </w:rPr>
        <w:t>绝缘损坏或人为造成短路，引发电弧可能造成电灼伤事故。</w:t>
      </w:r>
      <w:r>
        <w:rPr>
          <w:rFonts w:hint="eastAsia"/>
          <w:color w:val="auto"/>
        </w:rPr>
        <w:t>检修时的</w:t>
      </w:r>
      <w:r>
        <w:rPr>
          <w:color w:val="auto"/>
        </w:rPr>
        <w:t>电焊作业亦会引起电弧灼伤事故。</w:t>
      </w:r>
    </w:p>
    <w:p>
      <w:pPr>
        <w:bidi w:val="0"/>
        <w:rPr>
          <w:rFonts w:hint="default"/>
          <w:b/>
          <w:bCs/>
          <w:color w:val="auto"/>
          <w:lang w:val="en-US" w:eastAsia="zh-CN"/>
        </w:rPr>
      </w:pPr>
      <w:r>
        <w:rPr>
          <w:rFonts w:hint="eastAsia"/>
          <w:b/>
          <w:bCs/>
          <w:color w:val="auto"/>
          <w:lang w:val="en-US" w:eastAsia="zh-CN"/>
        </w:rPr>
        <w:t>2、车辆伤害</w:t>
      </w:r>
    </w:p>
    <w:p>
      <w:pPr>
        <w:bidi w:val="0"/>
        <w:rPr>
          <w:color w:val="auto"/>
        </w:rPr>
      </w:pPr>
      <w:r>
        <w:rPr>
          <w:color w:val="auto"/>
        </w:rPr>
        <w:t>车辆伤害指机动车辆在行驶中引起的人体坠落和物体倒塌、飞落、挤压伤亡事故</w:t>
      </w:r>
      <w:r>
        <w:rPr>
          <w:rFonts w:hint="eastAsia"/>
          <w:color w:val="auto"/>
        </w:rPr>
        <w:t>。</w:t>
      </w:r>
      <w:r>
        <w:rPr>
          <w:color w:val="auto"/>
        </w:rPr>
        <w:t>场内汽车来往频繁，有可能因道路缺陷、安全标志不明或缺失、车辆故障、车辆违章行驶、驾驶员思想麻痹</w:t>
      </w:r>
      <w:r>
        <w:rPr>
          <w:rFonts w:hint="eastAsia"/>
          <w:color w:val="auto"/>
          <w:lang w:eastAsia="zh-CN"/>
        </w:rPr>
        <w:t>、</w:t>
      </w:r>
      <w:r>
        <w:rPr>
          <w:rFonts w:hint="eastAsia"/>
          <w:color w:val="auto"/>
          <w:lang w:val="en-US" w:eastAsia="zh-CN"/>
        </w:rPr>
        <w:t>驾驶员视线不良</w:t>
      </w:r>
      <w:r>
        <w:rPr>
          <w:color w:val="auto"/>
        </w:rPr>
        <w:t>等原因，引发车辆伤害事故。</w:t>
      </w:r>
    </w:p>
    <w:p>
      <w:pPr>
        <w:bidi w:val="0"/>
        <w:ind w:firstLine="562" w:firstLineChars="200"/>
        <w:rPr>
          <w:b/>
          <w:bCs/>
          <w:color w:val="auto"/>
        </w:rPr>
      </w:pPr>
      <w:r>
        <w:rPr>
          <w:rFonts w:hint="eastAsia"/>
          <w:b/>
          <w:bCs/>
          <w:color w:val="auto"/>
          <w:lang w:val="en-US" w:eastAsia="zh-CN"/>
        </w:rPr>
        <w:t>3、</w:t>
      </w:r>
      <w:r>
        <w:rPr>
          <w:b/>
          <w:bCs/>
          <w:color w:val="auto"/>
        </w:rPr>
        <w:t>物体打击</w:t>
      </w:r>
    </w:p>
    <w:p>
      <w:pPr>
        <w:tabs>
          <w:tab w:val="left" w:pos="5918"/>
        </w:tabs>
        <w:spacing w:line="600" w:lineRule="exact"/>
        <w:ind w:firstLine="560" w:firstLineChars="200"/>
        <w:rPr>
          <w:color w:val="auto"/>
          <w:sz w:val="28"/>
          <w:szCs w:val="28"/>
        </w:rPr>
      </w:pPr>
      <w:r>
        <w:rPr>
          <w:rFonts w:hAnsi="宋体"/>
          <w:color w:val="auto"/>
          <w:sz w:val="28"/>
        </w:rPr>
        <w:t>物体在外力或重力作用下，打击人体会造成人身伤害事故。</w:t>
      </w:r>
      <w:r>
        <w:rPr>
          <w:color w:val="auto"/>
          <w:sz w:val="28"/>
          <w:szCs w:val="28"/>
        </w:rPr>
        <w:t>在检修、巡视检查时被高处未被固定的浮物因被碰或风吹等坠落、高处作业时工具抛掷或高处物体件未固定牢固而坠落、设施倒塌、爆炸碎片抛掷、飞溅而遭到伤害。</w:t>
      </w:r>
    </w:p>
    <w:p>
      <w:pPr>
        <w:spacing w:line="600" w:lineRule="exact"/>
        <w:ind w:firstLine="562" w:firstLineChars="200"/>
        <w:rPr>
          <w:rFonts w:hint="default"/>
          <w:b/>
          <w:bCs/>
          <w:color w:val="auto"/>
          <w:sz w:val="28"/>
          <w:szCs w:val="28"/>
          <w:lang w:val="en-US"/>
        </w:rPr>
      </w:pPr>
      <w:r>
        <w:rPr>
          <w:rFonts w:hint="eastAsia"/>
          <w:b/>
          <w:bCs/>
          <w:color w:val="auto"/>
          <w:sz w:val="28"/>
          <w:szCs w:val="28"/>
          <w:lang w:val="en-US" w:eastAsia="zh-CN"/>
        </w:rPr>
        <w:t>4、高处坠落</w:t>
      </w:r>
    </w:p>
    <w:p>
      <w:pPr>
        <w:spacing w:line="600" w:lineRule="exact"/>
        <w:ind w:firstLine="560" w:firstLineChars="200"/>
        <w:rPr>
          <w:color w:val="auto"/>
          <w:sz w:val="28"/>
          <w:szCs w:val="28"/>
        </w:rPr>
      </w:pPr>
      <w:r>
        <w:rPr>
          <w:color w:val="auto"/>
          <w:sz w:val="28"/>
          <w:szCs w:val="28"/>
        </w:rPr>
        <w:t>高处坠落是指作业人员在高处作业中发生坠落造成的伤亡事故，如从设备上、高处平台坠落下来。对此要求登高作业人员必须系安全带；高处作业平台加装必要的防护栏；高处施工点下面加装安全网；上下梯子应设置扶手及护栏；现场工作人员必须戴安全帽，非工作人员远离现场等。</w:t>
      </w:r>
    </w:p>
    <w:p>
      <w:pPr>
        <w:spacing w:line="600" w:lineRule="exact"/>
        <w:ind w:firstLine="560" w:firstLineChars="200"/>
        <w:rPr>
          <w:color w:val="auto"/>
          <w:sz w:val="28"/>
          <w:szCs w:val="28"/>
        </w:rPr>
      </w:pPr>
      <w:r>
        <w:rPr>
          <w:color w:val="auto"/>
          <w:sz w:val="28"/>
        </w:rPr>
        <w:t>该</w:t>
      </w:r>
      <w:r>
        <w:rPr>
          <w:rFonts w:hint="eastAsia"/>
          <w:color w:val="auto"/>
          <w:sz w:val="28"/>
          <w:lang w:val="en-US" w:eastAsia="zh-CN"/>
        </w:rPr>
        <w:t>充电站存在</w:t>
      </w:r>
      <w:r>
        <w:rPr>
          <w:color w:val="auto"/>
          <w:sz w:val="28"/>
          <w:szCs w:val="28"/>
        </w:rPr>
        <w:t>坠落基准面2m及以上的作业</w:t>
      </w:r>
      <w:r>
        <w:rPr>
          <w:rFonts w:hint="eastAsia"/>
          <w:color w:val="auto"/>
          <w:sz w:val="28"/>
          <w:szCs w:val="28"/>
          <w:lang w:val="en-US" w:eastAsia="zh-CN"/>
        </w:rPr>
        <w:t>面，如：光伏车棚</w:t>
      </w:r>
      <w:r>
        <w:rPr>
          <w:color w:val="auto"/>
          <w:sz w:val="28"/>
          <w:szCs w:val="28"/>
        </w:rPr>
        <w:t>，在施工或检修时需搭设脚手架或采用其它方式进行高处作业，操作人员巡检或检修人员进行作业时，可能由于楼梯护栏缺陷、平台护栏缺陷、临时脚手架缺陷；高处作业未使用防护用品，思想麻痹、身体、精神状态不良等发生高处坠落事故。造成高处坠落的主要因素是：</w:t>
      </w:r>
    </w:p>
    <w:p>
      <w:pPr>
        <w:spacing w:line="600" w:lineRule="exact"/>
        <w:ind w:firstLine="560" w:firstLineChars="200"/>
        <w:rPr>
          <w:color w:val="auto"/>
          <w:sz w:val="28"/>
          <w:szCs w:val="28"/>
        </w:rPr>
      </w:pPr>
      <w:r>
        <w:rPr>
          <w:color w:val="auto"/>
          <w:sz w:val="28"/>
          <w:szCs w:val="28"/>
        </w:rPr>
        <w:t>1）没有按要求使用安全带。</w:t>
      </w:r>
    </w:p>
    <w:p>
      <w:pPr>
        <w:spacing w:line="600" w:lineRule="exact"/>
        <w:ind w:firstLine="560" w:firstLineChars="200"/>
        <w:rPr>
          <w:color w:val="auto"/>
          <w:sz w:val="28"/>
          <w:szCs w:val="28"/>
        </w:rPr>
      </w:pPr>
      <w:r>
        <w:rPr>
          <w:color w:val="auto"/>
          <w:sz w:val="28"/>
          <w:szCs w:val="28"/>
        </w:rPr>
        <w:t>2）高处作业时安全防护设施损坏。</w:t>
      </w:r>
    </w:p>
    <w:p>
      <w:pPr>
        <w:spacing w:line="600" w:lineRule="exact"/>
        <w:ind w:firstLine="560" w:firstLineChars="200"/>
        <w:rPr>
          <w:color w:val="auto"/>
          <w:sz w:val="28"/>
          <w:szCs w:val="28"/>
        </w:rPr>
      </w:pPr>
      <w:r>
        <w:rPr>
          <w:color w:val="auto"/>
          <w:sz w:val="28"/>
          <w:szCs w:val="28"/>
        </w:rPr>
        <w:t>3）使用安全保护装置不完善或在缺乏安全设备、设施上进行作业。</w:t>
      </w:r>
    </w:p>
    <w:p>
      <w:pPr>
        <w:spacing w:line="600" w:lineRule="exact"/>
        <w:ind w:firstLine="560" w:firstLineChars="200"/>
        <w:rPr>
          <w:color w:val="auto"/>
          <w:sz w:val="28"/>
          <w:szCs w:val="28"/>
        </w:rPr>
      </w:pPr>
      <w:r>
        <w:rPr>
          <w:color w:val="auto"/>
          <w:sz w:val="28"/>
          <w:szCs w:val="28"/>
        </w:rPr>
        <w:t>4）工作责任心不强，主观判断失误。</w:t>
      </w:r>
    </w:p>
    <w:p>
      <w:pPr>
        <w:spacing w:line="600" w:lineRule="exact"/>
        <w:ind w:firstLine="560" w:firstLineChars="200"/>
        <w:rPr>
          <w:color w:val="auto"/>
          <w:sz w:val="28"/>
          <w:szCs w:val="28"/>
        </w:rPr>
      </w:pPr>
      <w:r>
        <w:rPr>
          <w:color w:val="auto"/>
          <w:sz w:val="28"/>
          <w:szCs w:val="28"/>
        </w:rPr>
        <w:t>5）作业人员疏忽大意，疲劳过度。</w:t>
      </w:r>
    </w:p>
    <w:p>
      <w:pPr>
        <w:spacing w:line="600" w:lineRule="exact"/>
        <w:ind w:firstLine="560" w:firstLineChars="200"/>
        <w:rPr>
          <w:color w:val="auto"/>
          <w:sz w:val="28"/>
          <w:szCs w:val="28"/>
        </w:rPr>
      </w:pPr>
      <w:r>
        <w:rPr>
          <w:color w:val="auto"/>
          <w:sz w:val="28"/>
          <w:szCs w:val="28"/>
        </w:rPr>
        <w:t>6）高处作业安全管理不到位。</w:t>
      </w:r>
    </w:p>
    <w:p>
      <w:pPr>
        <w:spacing w:line="600" w:lineRule="exact"/>
        <w:ind w:firstLine="560" w:firstLineChars="200"/>
        <w:rPr>
          <w:color w:val="auto"/>
          <w:sz w:val="28"/>
          <w:szCs w:val="28"/>
        </w:rPr>
      </w:pPr>
      <w:r>
        <w:rPr>
          <w:color w:val="auto"/>
          <w:sz w:val="28"/>
          <w:szCs w:val="28"/>
        </w:rPr>
        <w:t>7）没有按要求穿防滑性能良好的软底鞋等。</w:t>
      </w:r>
    </w:p>
    <w:p>
      <w:pPr>
        <w:numPr>
          <w:ilvl w:val="0"/>
          <w:numId w:val="0"/>
        </w:numPr>
        <w:bidi w:val="0"/>
        <w:ind w:left="0" w:leftChars="0" w:firstLine="562" w:firstLineChars="200"/>
        <w:rPr>
          <w:rFonts w:hint="eastAsia"/>
          <w:b/>
          <w:bCs/>
          <w:color w:val="auto"/>
          <w:lang w:val="en-US" w:eastAsia="zh-CN"/>
        </w:rPr>
      </w:pPr>
      <w:r>
        <w:rPr>
          <w:rFonts w:hint="eastAsia" w:ascii="Times New Roman" w:hAnsi="Times New Roman" w:eastAsia="宋体" w:cs="Times New Roman"/>
          <w:b/>
          <w:bCs/>
          <w:color w:val="auto"/>
          <w:kern w:val="2"/>
          <w:sz w:val="28"/>
          <w:szCs w:val="24"/>
          <w:lang w:val="en-US" w:eastAsia="zh-CN" w:bidi="ar-SA"/>
        </w:rPr>
        <w:t>5、</w:t>
      </w:r>
      <w:r>
        <w:rPr>
          <w:rFonts w:hint="eastAsia"/>
          <w:b/>
          <w:bCs/>
          <w:color w:val="auto"/>
          <w:lang w:val="en-US" w:eastAsia="zh-CN"/>
        </w:rPr>
        <w:t>火灾、爆炸</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textAlignment w:val="auto"/>
        <w:rPr>
          <w:rFonts w:hint="eastAsia"/>
          <w:color w:val="auto"/>
          <w:lang w:val="en-US" w:eastAsia="zh-CN"/>
        </w:rPr>
      </w:pPr>
      <w:r>
        <w:rPr>
          <w:rFonts w:hint="eastAsia"/>
          <w:color w:val="auto"/>
          <w:lang w:val="en-US" w:eastAsia="zh-CN"/>
        </w:rPr>
        <w:t>一、各种高低压配电装置、电气设备、照明设施、电缆、电气线路等，如果安装不当、外部火源移近、运行中正常的闭合与分断、不正常运行的过负荷、短路、过电压、接地故障、接触不良等，均可产生电气火花、电弧或者过热，若防护不当，可能发生电气火灾或引燃周围的可燃物质，造成火灾事故；在有过载电流流过时，还可能使导线（含母线、开关）过热，金属迅速气化而引起爆炸；充油电气设备（油浸电力变压器）火灾危险性更大，还有可能引起爆炸。</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Verdana" w:hAnsi="Verdana" w:eastAsia="宋体"/>
          <w:color w:val="auto"/>
          <w:kern w:val="0"/>
          <w:sz w:val="28"/>
          <w:szCs w:val="28"/>
          <w:lang w:val="en-US" w:eastAsia="zh-CN"/>
        </w:rPr>
      </w:pPr>
      <w:r>
        <w:rPr>
          <w:rFonts w:hint="eastAsia" w:ascii="Verdana" w:hAnsi="Verdana"/>
          <w:color w:val="auto"/>
          <w:kern w:val="0"/>
          <w:sz w:val="28"/>
          <w:szCs w:val="28"/>
          <w:lang w:val="en-US" w:eastAsia="zh-CN"/>
        </w:rPr>
        <w:t>二</w:t>
      </w:r>
      <w:r>
        <w:rPr>
          <w:rFonts w:hint="eastAsia" w:ascii="Verdana" w:hAnsi="Verdana"/>
          <w:color w:val="auto"/>
          <w:kern w:val="0"/>
          <w:sz w:val="28"/>
          <w:szCs w:val="28"/>
        </w:rPr>
        <w:t>、</w:t>
      </w:r>
      <w:r>
        <w:rPr>
          <w:rFonts w:hint="eastAsia" w:ascii="Verdana" w:hAnsi="Verdana"/>
          <w:color w:val="auto"/>
          <w:kern w:val="0"/>
          <w:sz w:val="28"/>
          <w:szCs w:val="28"/>
          <w:lang w:val="en-US" w:eastAsia="zh-CN"/>
        </w:rPr>
        <w:t>点火源</w:t>
      </w:r>
    </w:p>
    <w:p>
      <w:pPr>
        <w:keepNext w:val="0"/>
        <w:keepLines w:val="0"/>
        <w:pageBreakBefore w:val="0"/>
        <w:widowControl w:val="0"/>
        <w:kinsoku/>
        <w:wordWrap/>
        <w:overflowPunct/>
        <w:topLinePunct w:val="0"/>
        <w:autoSpaceDE/>
        <w:autoSpaceDN/>
        <w:bidi w:val="0"/>
        <w:adjustRightInd/>
        <w:snapToGrid/>
        <w:spacing w:line="600" w:lineRule="exact"/>
        <w:ind w:firstLine="570"/>
        <w:textAlignment w:val="auto"/>
        <w:rPr>
          <w:color w:val="auto"/>
          <w:sz w:val="28"/>
          <w:szCs w:val="28"/>
        </w:rPr>
      </w:pPr>
      <w:r>
        <w:rPr>
          <w:rFonts w:hAnsi="宋体"/>
          <w:color w:val="auto"/>
          <w:sz w:val="28"/>
          <w:szCs w:val="28"/>
        </w:rPr>
        <w:t>（</w:t>
      </w:r>
      <w:r>
        <w:rPr>
          <w:color w:val="auto"/>
          <w:sz w:val="28"/>
          <w:szCs w:val="28"/>
        </w:rPr>
        <w:t>1</w:t>
      </w:r>
      <w:r>
        <w:rPr>
          <w:rFonts w:hAnsi="宋体"/>
          <w:color w:val="auto"/>
          <w:sz w:val="28"/>
          <w:szCs w:val="28"/>
        </w:rPr>
        <w:t>）</w:t>
      </w:r>
      <w:r>
        <w:rPr>
          <w:rFonts w:hint="eastAsia"/>
          <w:color w:val="auto"/>
          <w:sz w:val="28"/>
          <w:szCs w:val="28"/>
          <w:lang w:val="en-US" w:eastAsia="zh-CN"/>
        </w:rPr>
        <w:t>电动汽车</w:t>
      </w:r>
      <w:r>
        <w:rPr>
          <w:rFonts w:ascii="Helvetica" w:hAnsi="Helvetica" w:eastAsia="Helvetica" w:cs="Helvetica"/>
          <w:i w:val="0"/>
          <w:caps w:val="0"/>
          <w:color w:val="auto"/>
          <w:spacing w:val="0"/>
          <w:sz w:val="28"/>
          <w:szCs w:val="28"/>
          <w:shd w:val="clear" w:color="auto" w:fill="FFFFFF"/>
        </w:rPr>
        <w:t>电器内部线路老化</w:t>
      </w:r>
      <w:r>
        <w:rPr>
          <w:rFonts w:hint="eastAsia" w:ascii="Helvetica" w:hAnsi="Helvetica" w:cs="Helvetica"/>
          <w:i w:val="0"/>
          <w:caps w:val="0"/>
          <w:color w:val="auto"/>
          <w:spacing w:val="0"/>
          <w:sz w:val="28"/>
          <w:szCs w:val="28"/>
          <w:shd w:val="clear" w:color="auto" w:fill="FFFFFF"/>
          <w:lang w:eastAsia="zh-CN"/>
        </w:rPr>
        <w:t>；</w:t>
      </w:r>
      <w:r>
        <w:rPr>
          <w:rFonts w:hAnsi="宋体"/>
          <w:color w:val="auto"/>
          <w:sz w:val="28"/>
          <w:szCs w:val="28"/>
        </w:rPr>
        <w:t>电气绝缘失效，接触不良，过载、超压、短路引起电火花。</w:t>
      </w:r>
    </w:p>
    <w:p>
      <w:pPr>
        <w:keepNext w:val="0"/>
        <w:keepLines w:val="0"/>
        <w:pageBreakBefore w:val="0"/>
        <w:widowControl w:val="0"/>
        <w:kinsoku/>
        <w:wordWrap/>
        <w:overflowPunct/>
        <w:topLinePunct w:val="0"/>
        <w:autoSpaceDE/>
        <w:autoSpaceDN/>
        <w:bidi w:val="0"/>
        <w:adjustRightInd/>
        <w:snapToGrid/>
        <w:spacing w:line="600" w:lineRule="exact"/>
        <w:ind w:firstLine="570"/>
        <w:textAlignment w:val="auto"/>
        <w:rPr>
          <w:rFonts w:ascii="Helvetica" w:hAnsi="Helvetica" w:eastAsia="Helvetica" w:cs="Helvetica"/>
          <w:i w:val="0"/>
          <w:caps w:val="0"/>
          <w:color w:val="auto"/>
          <w:spacing w:val="0"/>
          <w:sz w:val="28"/>
          <w:szCs w:val="28"/>
          <w:shd w:val="clear" w:color="auto" w:fill="FFFFFF"/>
        </w:rPr>
      </w:pPr>
      <w:r>
        <w:rPr>
          <w:rFonts w:hAnsi="宋体"/>
          <w:color w:val="auto"/>
          <w:sz w:val="28"/>
          <w:szCs w:val="28"/>
        </w:rPr>
        <w:t>（</w:t>
      </w:r>
      <w:r>
        <w:rPr>
          <w:color w:val="auto"/>
          <w:sz w:val="28"/>
          <w:szCs w:val="28"/>
        </w:rPr>
        <w:t>2</w:t>
      </w:r>
      <w:r>
        <w:rPr>
          <w:rFonts w:hAnsi="宋体"/>
          <w:color w:val="auto"/>
          <w:sz w:val="28"/>
          <w:szCs w:val="28"/>
        </w:rPr>
        <w:t>）</w:t>
      </w:r>
      <w:r>
        <w:rPr>
          <w:rFonts w:hint="eastAsia"/>
          <w:color w:val="auto"/>
          <w:sz w:val="28"/>
          <w:szCs w:val="28"/>
          <w:lang w:val="en-US" w:eastAsia="zh-CN"/>
        </w:rPr>
        <w:t>电动汽车雨天充电导致</w:t>
      </w:r>
      <w:r>
        <w:rPr>
          <w:rFonts w:ascii="Helvetica" w:hAnsi="Helvetica" w:eastAsia="Helvetica" w:cs="Helvetica"/>
          <w:i w:val="0"/>
          <w:caps w:val="0"/>
          <w:color w:val="auto"/>
          <w:spacing w:val="0"/>
          <w:sz w:val="28"/>
          <w:szCs w:val="28"/>
          <w:shd w:val="clear" w:color="auto" w:fill="FFFFFF"/>
        </w:rPr>
        <w:t>电器内部进水。</w:t>
      </w:r>
    </w:p>
    <w:p>
      <w:pPr>
        <w:keepNext w:val="0"/>
        <w:keepLines w:val="0"/>
        <w:pageBreakBefore w:val="0"/>
        <w:widowControl w:val="0"/>
        <w:kinsoku/>
        <w:wordWrap/>
        <w:overflowPunct/>
        <w:topLinePunct w:val="0"/>
        <w:autoSpaceDE/>
        <w:autoSpaceDN/>
        <w:bidi w:val="0"/>
        <w:adjustRightInd/>
        <w:snapToGrid/>
        <w:spacing w:line="600" w:lineRule="exact"/>
        <w:ind w:firstLine="570"/>
        <w:textAlignment w:val="auto"/>
        <w:rPr>
          <w:rFonts w:hint="eastAsia" w:ascii="宋体" w:hAnsi="宋体" w:eastAsia="宋体" w:cs="宋体"/>
          <w:i w:val="0"/>
          <w:caps w:val="0"/>
          <w:color w:val="auto"/>
          <w:spacing w:val="0"/>
          <w:sz w:val="28"/>
          <w:szCs w:val="28"/>
          <w:shd w:val="clear" w:color="auto" w:fill="FFFFFF"/>
        </w:rPr>
      </w:pPr>
      <w:r>
        <w:rPr>
          <w:rFonts w:hint="eastAsia" w:ascii="Helvetica" w:hAnsi="Helvetica" w:cs="Helvetica"/>
          <w:i w:val="0"/>
          <w:caps w:val="0"/>
          <w:color w:val="auto"/>
          <w:spacing w:val="0"/>
          <w:sz w:val="28"/>
          <w:szCs w:val="28"/>
          <w:shd w:val="clear" w:color="auto" w:fill="FFFFFF"/>
          <w:lang w:eastAsia="zh-CN"/>
        </w:rPr>
        <w:t>（</w:t>
      </w:r>
      <w:r>
        <w:rPr>
          <w:rFonts w:hint="eastAsia" w:ascii="宋体" w:hAnsi="宋体" w:eastAsia="宋体" w:cs="宋体"/>
          <w:i w:val="0"/>
          <w:caps w:val="0"/>
          <w:color w:val="auto"/>
          <w:spacing w:val="0"/>
          <w:sz w:val="28"/>
          <w:szCs w:val="28"/>
          <w:shd w:val="clear" w:color="auto" w:fill="FFFFFF"/>
          <w:lang w:val="en-US" w:eastAsia="zh-CN"/>
        </w:rPr>
        <w:t>3</w:t>
      </w:r>
      <w:r>
        <w:rPr>
          <w:rFonts w:hint="eastAsia" w:ascii="宋体" w:hAnsi="宋体" w:eastAsia="宋体" w:cs="宋体"/>
          <w:i w:val="0"/>
          <w:caps w:val="0"/>
          <w:color w:val="auto"/>
          <w:spacing w:val="0"/>
          <w:sz w:val="28"/>
          <w:szCs w:val="28"/>
          <w:shd w:val="clear" w:color="auto" w:fill="FFFFFF"/>
          <w:lang w:eastAsia="zh-CN"/>
        </w:rPr>
        <w:t>）</w:t>
      </w:r>
      <w:r>
        <w:rPr>
          <w:rFonts w:hint="eastAsia" w:ascii="宋体" w:hAnsi="宋体" w:eastAsia="宋体" w:cs="宋体"/>
          <w:i w:val="0"/>
          <w:caps w:val="0"/>
          <w:color w:val="auto"/>
          <w:spacing w:val="0"/>
          <w:sz w:val="28"/>
          <w:szCs w:val="28"/>
          <w:shd w:val="clear" w:color="auto" w:fill="FFFFFF"/>
        </w:rPr>
        <w:t>充电器、电动车保护板失效</w:t>
      </w:r>
      <w:r>
        <w:rPr>
          <w:rFonts w:hint="eastAsia" w:ascii="宋体" w:hAnsi="宋体" w:eastAsia="宋体" w:cs="宋体"/>
          <w:i w:val="0"/>
          <w:caps w:val="0"/>
          <w:color w:val="auto"/>
          <w:spacing w:val="0"/>
          <w:sz w:val="28"/>
          <w:szCs w:val="28"/>
          <w:shd w:val="clear" w:color="auto" w:fill="FFFFFF"/>
          <w:lang w:eastAsia="zh-CN"/>
        </w:rPr>
        <w:t>，</w:t>
      </w:r>
      <w:r>
        <w:rPr>
          <w:rFonts w:hint="eastAsia" w:ascii="宋体" w:hAnsi="宋体" w:eastAsia="宋体" w:cs="宋体"/>
          <w:i w:val="0"/>
          <w:caps w:val="0"/>
          <w:color w:val="auto"/>
          <w:spacing w:val="0"/>
          <w:sz w:val="28"/>
          <w:szCs w:val="28"/>
          <w:shd w:val="clear" w:color="auto" w:fill="FFFFFF"/>
        </w:rPr>
        <w:t>做成过充、过流、温度超标等。</w:t>
      </w:r>
    </w:p>
    <w:p>
      <w:pPr>
        <w:keepNext w:val="0"/>
        <w:keepLines w:val="0"/>
        <w:pageBreakBefore w:val="0"/>
        <w:widowControl w:val="0"/>
        <w:kinsoku/>
        <w:wordWrap/>
        <w:overflowPunct/>
        <w:topLinePunct w:val="0"/>
        <w:autoSpaceDE/>
        <w:autoSpaceDN/>
        <w:bidi w:val="0"/>
        <w:adjustRightInd/>
        <w:snapToGrid/>
        <w:spacing w:line="600" w:lineRule="exact"/>
        <w:ind w:firstLine="570"/>
        <w:textAlignment w:val="auto"/>
        <w:rPr>
          <w:rFonts w:ascii="Helvetica" w:hAnsi="Helvetica" w:eastAsia="Helvetica" w:cs="Helvetica"/>
          <w:i w:val="0"/>
          <w:caps w:val="0"/>
          <w:color w:val="auto"/>
          <w:spacing w:val="0"/>
          <w:sz w:val="28"/>
          <w:szCs w:val="28"/>
          <w:shd w:val="clear" w:color="auto" w:fill="FFFFFF"/>
        </w:rPr>
      </w:pPr>
      <w:r>
        <w:rPr>
          <w:rFonts w:hint="eastAsia" w:ascii="宋体" w:hAnsi="宋体" w:eastAsia="宋体" w:cs="宋体"/>
          <w:i w:val="0"/>
          <w:caps w:val="0"/>
          <w:color w:val="auto"/>
          <w:spacing w:val="0"/>
          <w:sz w:val="28"/>
          <w:szCs w:val="28"/>
          <w:shd w:val="clear" w:color="auto" w:fill="FFFFFF"/>
          <w:lang w:eastAsia="zh-CN"/>
        </w:rPr>
        <w:t>（</w:t>
      </w:r>
      <w:r>
        <w:rPr>
          <w:rFonts w:hint="eastAsia" w:ascii="宋体" w:hAnsi="宋体" w:eastAsia="宋体" w:cs="宋体"/>
          <w:i w:val="0"/>
          <w:caps w:val="0"/>
          <w:color w:val="auto"/>
          <w:spacing w:val="0"/>
          <w:sz w:val="28"/>
          <w:szCs w:val="28"/>
          <w:shd w:val="clear" w:color="auto" w:fill="FFFFFF"/>
          <w:lang w:val="en-US" w:eastAsia="zh-CN"/>
        </w:rPr>
        <w:t>4</w:t>
      </w:r>
      <w:r>
        <w:rPr>
          <w:rFonts w:hint="eastAsia" w:ascii="Helvetica" w:hAnsi="Helvetica" w:cs="Helvetica"/>
          <w:i w:val="0"/>
          <w:caps w:val="0"/>
          <w:color w:val="auto"/>
          <w:spacing w:val="0"/>
          <w:sz w:val="28"/>
          <w:szCs w:val="28"/>
          <w:shd w:val="clear" w:color="auto" w:fill="FFFFFF"/>
          <w:lang w:eastAsia="zh-CN"/>
        </w:rPr>
        <w:t>）</w:t>
      </w:r>
      <w:r>
        <w:rPr>
          <w:rFonts w:ascii="Helvetica" w:hAnsi="Helvetica" w:eastAsia="Helvetica" w:cs="Helvetica"/>
          <w:i w:val="0"/>
          <w:caps w:val="0"/>
          <w:color w:val="auto"/>
          <w:spacing w:val="0"/>
          <w:sz w:val="28"/>
          <w:szCs w:val="28"/>
          <w:shd w:val="clear" w:color="auto" w:fill="FFFFFF"/>
        </w:rPr>
        <w:t>电池收到剧烈撞击、挤压</w:t>
      </w:r>
    </w:p>
    <w:p>
      <w:pPr>
        <w:keepNext w:val="0"/>
        <w:keepLines w:val="0"/>
        <w:pageBreakBefore w:val="0"/>
        <w:widowControl w:val="0"/>
        <w:kinsoku/>
        <w:wordWrap/>
        <w:overflowPunct/>
        <w:topLinePunct w:val="0"/>
        <w:autoSpaceDE/>
        <w:autoSpaceDN/>
        <w:bidi w:val="0"/>
        <w:adjustRightInd/>
        <w:snapToGrid/>
        <w:spacing w:line="600" w:lineRule="exact"/>
        <w:ind w:firstLine="570"/>
        <w:textAlignment w:val="auto"/>
        <w:rPr>
          <w:rFonts w:hAnsi="宋体"/>
          <w:color w:val="auto"/>
          <w:sz w:val="28"/>
          <w:szCs w:val="28"/>
        </w:rPr>
      </w:pPr>
      <w:r>
        <w:rPr>
          <w:rFonts w:hint="eastAsia"/>
          <w:color w:val="auto"/>
          <w:sz w:val="28"/>
          <w:szCs w:val="28"/>
          <w:lang w:eastAsia="zh-CN"/>
        </w:rPr>
        <w:t>（</w:t>
      </w:r>
      <w:r>
        <w:rPr>
          <w:rFonts w:hint="eastAsia"/>
          <w:color w:val="auto"/>
          <w:sz w:val="28"/>
          <w:szCs w:val="28"/>
          <w:lang w:val="en-US" w:eastAsia="zh-CN"/>
        </w:rPr>
        <w:t>5</w:t>
      </w:r>
      <w:r>
        <w:rPr>
          <w:rFonts w:hint="eastAsia"/>
          <w:color w:val="auto"/>
          <w:sz w:val="28"/>
          <w:szCs w:val="28"/>
          <w:lang w:eastAsia="zh-CN"/>
        </w:rPr>
        <w:t>）</w:t>
      </w:r>
      <w:r>
        <w:rPr>
          <w:rFonts w:hint="eastAsia"/>
          <w:color w:val="auto"/>
          <w:sz w:val="28"/>
          <w:szCs w:val="28"/>
          <w:lang w:val="en-US" w:eastAsia="zh-CN"/>
        </w:rPr>
        <w:t>充电棚、变压器等的</w:t>
      </w:r>
      <w:r>
        <w:rPr>
          <w:rFonts w:hAnsi="宋体"/>
          <w:color w:val="auto"/>
          <w:sz w:val="28"/>
          <w:szCs w:val="28"/>
        </w:rPr>
        <w:t>防雷系统失效，出现雷电火花。</w:t>
      </w:r>
    </w:p>
    <w:p>
      <w:pPr>
        <w:pStyle w:val="3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color w:val="auto"/>
          <w:lang w:val="en-US" w:eastAsia="zh-CN"/>
        </w:rPr>
      </w:pPr>
      <w:r>
        <w:rPr>
          <w:rFonts w:hint="eastAsia" w:hAnsi="宋体"/>
          <w:color w:val="auto"/>
          <w:sz w:val="28"/>
          <w:szCs w:val="28"/>
          <w:lang w:val="en-US" w:eastAsia="zh-CN"/>
        </w:rPr>
        <w:t>三、混动汽车充电过程中可能因自身电气火灾导致自燃，进而引燃油</w:t>
      </w:r>
      <w:r>
        <w:rPr>
          <w:rFonts w:hint="eastAsia"/>
          <w:color w:val="auto"/>
          <w:lang w:val="en-US" w:eastAsia="zh-CN"/>
        </w:rPr>
        <w:t>箱内的汽油，造成爆炸事故。</w:t>
      </w:r>
    </w:p>
    <w:p>
      <w:pPr>
        <w:bidi w:val="0"/>
        <w:rPr>
          <w:rFonts w:hint="eastAsia"/>
          <w:b/>
          <w:bCs/>
          <w:color w:val="auto"/>
          <w:lang w:val="en-US" w:eastAsia="zh-CN"/>
        </w:rPr>
      </w:pPr>
      <w:r>
        <w:rPr>
          <w:rFonts w:hint="eastAsia"/>
          <w:b/>
          <w:bCs/>
          <w:color w:val="auto"/>
          <w:lang w:val="en-US" w:eastAsia="zh-CN"/>
        </w:rPr>
        <w:t>6、雷击</w:t>
      </w:r>
    </w:p>
    <w:p>
      <w:pPr>
        <w:keepNext w:val="0"/>
        <w:keepLines w:val="0"/>
        <w:pageBreakBefore w:val="0"/>
        <w:widowControl w:val="0"/>
        <w:numPr>
          <w:ilvl w:val="0"/>
          <w:numId w:val="0"/>
        </w:numPr>
        <w:kinsoku/>
        <w:wordWrap/>
        <w:overflowPunct/>
        <w:topLinePunct w:val="0"/>
        <w:autoSpaceDE/>
        <w:autoSpaceDN/>
        <w:bidi w:val="0"/>
        <w:adjustRightInd/>
        <w:snapToGrid/>
        <w:ind w:leftChars="0" w:firstLine="560" w:firstLineChars="200"/>
        <w:textAlignment w:val="auto"/>
        <w:rPr>
          <w:rFonts w:hint="eastAsia"/>
          <w:color w:val="auto"/>
          <w:lang w:val="en-US" w:eastAsia="zh-CN"/>
        </w:rPr>
      </w:pPr>
      <w:r>
        <w:rPr>
          <w:rFonts w:hint="eastAsia"/>
          <w:color w:val="auto"/>
          <w:lang w:val="en-US" w:eastAsia="zh-CN"/>
        </w:rPr>
        <w:t>室外箱式变压器有遭受雷击的可能。若防雷设计不合理、施工不规范、接地电阻值不符合规范要求，则雷电过程电压在雷电波及范围内严重破坏建筑物及设备设施，并可能危及人身安全乃至有致命的危险。巨大的雷电流流入地下，会在雷击点及其连接的金属部分产生极高的对地电压，可能导致接触电压或跨步电压的触电事故；雷电流的热效应还能引起电气火灾及爆炸。</w:t>
      </w:r>
    </w:p>
    <w:p>
      <w:pPr>
        <w:pStyle w:val="3"/>
        <w:bidi w:val="0"/>
        <w:rPr>
          <w:color w:val="auto"/>
        </w:rPr>
      </w:pPr>
      <w:bookmarkStart w:id="66" w:name="_Toc9366"/>
      <w:bookmarkStart w:id="67" w:name="_Toc31733"/>
      <w:r>
        <w:rPr>
          <w:color w:val="auto"/>
        </w:rPr>
        <w:t>3.</w:t>
      </w:r>
      <w:r>
        <w:rPr>
          <w:rFonts w:hint="eastAsia"/>
          <w:color w:val="auto"/>
          <w:lang w:val="en-US" w:eastAsia="zh-CN"/>
        </w:rPr>
        <w:t>4</w:t>
      </w:r>
      <w:r>
        <w:rPr>
          <w:rFonts w:hint="eastAsia"/>
          <w:color w:val="auto"/>
        </w:rPr>
        <w:t>自然环境条件影响分析</w:t>
      </w:r>
      <w:bookmarkEnd w:id="66"/>
      <w:bookmarkEnd w:id="67"/>
    </w:p>
    <w:p>
      <w:pPr>
        <w:spacing w:line="600" w:lineRule="exact"/>
        <w:ind w:firstLine="560" w:firstLineChars="200"/>
        <w:rPr>
          <w:color w:val="auto"/>
          <w:sz w:val="28"/>
          <w:szCs w:val="28"/>
        </w:rPr>
      </w:pPr>
      <w:r>
        <w:rPr>
          <w:color w:val="auto"/>
          <w:sz w:val="28"/>
          <w:szCs w:val="28"/>
        </w:rPr>
        <w:t>环境对本工程的影响主要有两个方面，一方面是指作业环境中的温度、湿度、照明、通风、噪声、色彩等因素可能导致的危险危害；另一方面是指自然现象，如大风、暴雨、雷电、地震、不良地质条件等</w:t>
      </w:r>
    </w:p>
    <w:p>
      <w:pPr>
        <w:spacing w:line="600" w:lineRule="exact"/>
        <w:ind w:firstLine="560" w:firstLineChars="200"/>
        <w:rPr>
          <w:color w:val="auto"/>
          <w:sz w:val="28"/>
          <w:szCs w:val="28"/>
        </w:rPr>
      </w:pPr>
      <w:r>
        <w:rPr>
          <w:color w:val="auto"/>
          <w:sz w:val="28"/>
        </w:rPr>
        <w:t>1、大风</w:t>
      </w:r>
    </w:p>
    <w:p>
      <w:pPr>
        <w:spacing w:line="600" w:lineRule="exact"/>
        <w:ind w:firstLine="560" w:firstLineChars="200"/>
        <w:rPr>
          <w:color w:val="auto"/>
          <w:sz w:val="28"/>
          <w:szCs w:val="28"/>
        </w:rPr>
      </w:pPr>
      <w:r>
        <w:rPr>
          <w:color w:val="auto"/>
          <w:sz w:val="28"/>
        </w:rPr>
        <w:t>本</w:t>
      </w:r>
      <w:r>
        <w:rPr>
          <w:rFonts w:hint="eastAsia"/>
          <w:color w:val="auto"/>
          <w:sz w:val="28"/>
        </w:rPr>
        <w:t>站</w:t>
      </w:r>
      <w:r>
        <w:rPr>
          <w:color w:val="auto"/>
          <w:sz w:val="28"/>
        </w:rPr>
        <w:t>在运行过程中</w:t>
      </w:r>
      <w:r>
        <w:rPr>
          <w:color w:val="auto"/>
          <w:sz w:val="28"/>
          <w:szCs w:val="28"/>
        </w:rPr>
        <w:t>台风可能会造成建筑物、装置设备等毁坏，电杆倾倒、电力线拉断，可导致触电、火灾事故发生。</w:t>
      </w:r>
    </w:p>
    <w:p>
      <w:pPr>
        <w:spacing w:line="600" w:lineRule="exact"/>
        <w:ind w:firstLine="560" w:firstLineChars="200"/>
        <w:rPr>
          <w:color w:val="auto"/>
          <w:sz w:val="28"/>
          <w:szCs w:val="28"/>
        </w:rPr>
      </w:pPr>
      <w:r>
        <w:rPr>
          <w:rFonts w:hint="eastAsia" w:ascii="宋体" w:hAnsi="宋体" w:eastAsia="宋体" w:cs="宋体"/>
          <w:color w:val="auto"/>
          <w:kern w:val="0"/>
          <w:sz w:val="28"/>
          <w:szCs w:val="28"/>
          <w:lang w:val="en-US" w:eastAsia="zh-CN"/>
        </w:rPr>
        <w:t>本项目拟建于站区北侧，处于冬季主导风向的上风侧和夏季主导风向的下风侧。充电站设施采用露天布置，但</w:t>
      </w:r>
      <w:r>
        <w:rPr>
          <w:rFonts w:hint="eastAsia" w:cs="宋体"/>
          <w:color w:val="auto"/>
          <w:kern w:val="0"/>
          <w:sz w:val="28"/>
          <w:szCs w:val="28"/>
          <w:lang w:val="en-US" w:eastAsia="zh-CN"/>
        </w:rPr>
        <w:t>站区北侧有2.2m高实体围墙</w:t>
      </w:r>
      <w:r>
        <w:rPr>
          <w:rFonts w:hint="eastAsia" w:ascii="宋体" w:hAnsi="宋体" w:eastAsia="宋体" w:cs="宋体"/>
          <w:color w:val="auto"/>
          <w:kern w:val="0"/>
          <w:sz w:val="28"/>
          <w:szCs w:val="28"/>
          <w:lang w:val="en-US" w:eastAsia="zh-CN"/>
        </w:rPr>
        <w:t>，大风天气对本项目产生的影响较小。</w:t>
      </w:r>
    </w:p>
    <w:p>
      <w:pPr>
        <w:keepNext w:val="0"/>
        <w:keepLines w:val="0"/>
        <w:pageBreakBefore w:val="0"/>
        <w:kinsoku/>
        <w:wordWrap/>
        <w:overflowPunct/>
        <w:topLinePunct w:val="0"/>
        <w:autoSpaceDE/>
        <w:autoSpaceDN/>
        <w:bidi w:val="0"/>
        <w:adjustRightInd/>
        <w:snapToGrid/>
        <w:spacing w:beforeAutospacing="0" w:afterAutospacing="0" w:line="600" w:lineRule="exact"/>
        <w:ind w:firstLine="560" w:firstLineChars="200"/>
        <w:textAlignment w:val="auto"/>
        <w:rPr>
          <w:color w:val="auto"/>
          <w:sz w:val="28"/>
          <w:szCs w:val="28"/>
        </w:rPr>
      </w:pPr>
      <w:r>
        <w:rPr>
          <w:color w:val="auto"/>
          <w:sz w:val="28"/>
          <w:szCs w:val="28"/>
        </w:rPr>
        <w:t>2、暴雨</w:t>
      </w:r>
    </w:p>
    <w:p>
      <w:pPr>
        <w:pStyle w:val="10"/>
        <w:keepNext w:val="0"/>
        <w:keepLines w:val="0"/>
        <w:pageBreakBefore w:val="0"/>
        <w:kinsoku/>
        <w:wordWrap/>
        <w:overflowPunct/>
        <w:topLinePunct w:val="0"/>
        <w:autoSpaceDE/>
        <w:autoSpaceDN/>
        <w:bidi w:val="0"/>
        <w:adjustRightInd/>
        <w:snapToGrid/>
        <w:spacing w:before="0" w:beforeLines="0" w:beforeAutospacing="0" w:after="0" w:afterLines="0" w:afterAutospacing="0" w:line="600" w:lineRule="exact"/>
        <w:ind w:firstLine="560" w:firstLineChars="200"/>
        <w:textAlignment w:val="auto"/>
        <w:rPr>
          <w:color w:val="auto"/>
          <w:spacing w:val="-6"/>
          <w:sz w:val="28"/>
          <w:szCs w:val="28"/>
        </w:rPr>
      </w:pPr>
      <w:r>
        <w:rPr>
          <w:color w:val="auto"/>
          <w:sz w:val="28"/>
          <w:szCs w:val="28"/>
        </w:rPr>
        <w:t>暴雨可能威胁</w:t>
      </w:r>
      <w:r>
        <w:rPr>
          <w:bCs/>
          <w:color w:val="auto"/>
          <w:sz w:val="28"/>
          <w:szCs w:val="28"/>
        </w:rPr>
        <w:t>项目场地</w:t>
      </w:r>
      <w:r>
        <w:rPr>
          <w:color w:val="auto"/>
          <w:sz w:val="28"/>
          <w:szCs w:val="28"/>
        </w:rPr>
        <w:t>的安全，遇到暴雨时排水不畅，</w:t>
      </w:r>
      <w:r>
        <w:rPr>
          <w:rFonts w:hint="eastAsia"/>
          <w:color w:val="auto"/>
          <w:sz w:val="28"/>
          <w:szCs w:val="28"/>
          <w:lang w:val="en-US" w:eastAsia="zh-CN"/>
        </w:rPr>
        <w:t>充电站</w:t>
      </w:r>
      <w:r>
        <w:rPr>
          <w:color w:val="auto"/>
          <w:sz w:val="28"/>
          <w:szCs w:val="28"/>
        </w:rPr>
        <w:t>将受到</w:t>
      </w:r>
      <w:r>
        <w:rPr>
          <w:rFonts w:hint="eastAsia"/>
          <w:color w:val="auto"/>
          <w:sz w:val="28"/>
          <w:szCs w:val="28"/>
          <w:lang w:val="en-US" w:eastAsia="zh-CN"/>
        </w:rPr>
        <w:t>水淹事故</w:t>
      </w:r>
      <w:r>
        <w:rPr>
          <w:color w:val="auto"/>
          <w:sz w:val="28"/>
          <w:szCs w:val="28"/>
        </w:rPr>
        <w:t>。</w:t>
      </w:r>
    </w:p>
    <w:p>
      <w:pPr>
        <w:spacing w:line="600" w:lineRule="exact"/>
        <w:ind w:firstLine="560" w:firstLineChars="200"/>
        <w:rPr>
          <w:color w:val="auto"/>
          <w:sz w:val="28"/>
        </w:rPr>
      </w:pPr>
      <w:r>
        <w:rPr>
          <w:color w:val="auto"/>
          <w:sz w:val="28"/>
        </w:rPr>
        <w:t>3、冰冻</w:t>
      </w:r>
    </w:p>
    <w:p>
      <w:pPr>
        <w:bidi w:val="0"/>
        <w:ind w:firstLine="560" w:firstLineChars="200"/>
        <w:rPr>
          <w:color w:val="auto"/>
        </w:rPr>
      </w:pPr>
      <w:r>
        <w:rPr>
          <w:color w:val="auto"/>
        </w:rPr>
        <w:t>冰冻</w:t>
      </w:r>
      <w:r>
        <w:rPr>
          <w:rFonts w:hint="eastAsia"/>
          <w:color w:val="auto"/>
          <w:lang w:val="en-US" w:eastAsia="zh-CN"/>
        </w:rPr>
        <w:t>时</w:t>
      </w:r>
      <w:r>
        <w:rPr>
          <w:color w:val="auto"/>
        </w:rPr>
        <w:t>地面打滑造成人员摔跌等。</w:t>
      </w:r>
    </w:p>
    <w:p>
      <w:pPr>
        <w:numPr>
          <w:ilvl w:val="0"/>
          <w:numId w:val="0"/>
        </w:numPr>
        <w:spacing w:line="600" w:lineRule="exact"/>
        <w:ind w:firstLine="560" w:firstLineChars="200"/>
        <w:rPr>
          <w:rFonts w:hint="eastAsia"/>
          <w:color w:val="auto"/>
          <w:sz w:val="28"/>
          <w:szCs w:val="28"/>
          <w:lang w:val="en-US" w:eastAsia="zh-CN"/>
        </w:rPr>
      </w:pPr>
      <w:r>
        <w:rPr>
          <w:rFonts w:hint="eastAsia" w:ascii="Times New Roman" w:hAnsi="Times New Roman" w:eastAsia="宋体" w:cs="Times New Roman"/>
          <w:color w:val="auto"/>
          <w:kern w:val="2"/>
          <w:sz w:val="28"/>
          <w:szCs w:val="28"/>
          <w:lang w:val="en-US" w:eastAsia="zh-CN" w:bidi="ar-SA"/>
        </w:rPr>
        <w:t>3、</w:t>
      </w:r>
      <w:r>
        <w:rPr>
          <w:rFonts w:hint="eastAsia"/>
          <w:color w:val="auto"/>
          <w:sz w:val="28"/>
          <w:szCs w:val="28"/>
          <w:lang w:val="en-US" w:eastAsia="zh-CN"/>
        </w:rPr>
        <w:t>高温</w:t>
      </w:r>
    </w:p>
    <w:p>
      <w:pPr>
        <w:bidi w:val="0"/>
        <w:ind w:firstLine="560"/>
        <w:rPr>
          <w:rFonts w:hint="eastAsia"/>
          <w:color w:val="auto"/>
          <w:lang w:val="en-US" w:eastAsia="zh-CN"/>
        </w:rPr>
      </w:pPr>
      <w:r>
        <w:rPr>
          <w:rFonts w:hint="eastAsia"/>
          <w:color w:val="auto"/>
          <w:lang w:val="en-US" w:eastAsia="zh-CN"/>
        </w:rPr>
        <w:t>高温天气可能会影响充电桩的散热效果，导致充电桩电子元器件的损坏，短路等问题。</w:t>
      </w:r>
    </w:p>
    <w:p>
      <w:pPr>
        <w:bidi w:val="0"/>
        <w:ind w:firstLine="560"/>
        <w:rPr>
          <w:rFonts w:hint="default"/>
          <w:color w:val="auto"/>
          <w:lang w:val="en-US" w:eastAsia="zh-CN"/>
        </w:rPr>
      </w:pPr>
      <w:r>
        <w:rPr>
          <w:rFonts w:hint="eastAsia"/>
          <w:color w:val="auto"/>
          <w:lang w:val="en-US" w:eastAsia="zh-CN"/>
        </w:rPr>
        <w:t>高温天气电动汽车行驶后动力电池的温度甚至可以达到70℃以上，这时候如果直接充电会导致电池的温度持续升高，甚至会超过临界点，最终自然。</w:t>
      </w:r>
    </w:p>
    <w:p>
      <w:pPr>
        <w:spacing w:line="600" w:lineRule="exact"/>
        <w:ind w:firstLine="560" w:firstLineChars="200"/>
        <w:rPr>
          <w:rFonts w:eastAsia="黑体"/>
          <w:color w:val="auto"/>
          <w:sz w:val="28"/>
          <w:szCs w:val="28"/>
        </w:rPr>
      </w:pPr>
      <w:r>
        <w:rPr>
          <w:rFonts w:hint="eastAsia"/>
          <w:color w:val="auto"/>
          <w:sz w:val="28"/>
          <w:szCs w:val="28"/>
          <w:lang w:val="en-US" w:eastAsia="zh-CN"/>
        </w:rPr>
        <w:t>5</w:t>
      </w:r>
      <w:r>
        <w:rPr>
          <w:color w:val="auto"/>
          <w:sz w:val="28"/>
          <w:szCs w:val="28"/>
        </w:rPr>
        <w:t>、雷击</w:t>
      </w:r>
    </w:p>
    <w:p>
      <w:pPr>
        <w:spacing w:line="600" w:lineRule="exact"/>
        <w:ind w:firstLine="560" w:firstLineChars="200"/>
        <w:rPr>
          <w:color w:val="auto"/>
          <w:sz w:val="28"/>
          <w:szCs w:val="28"/>
        </w:rPr>
      </w:pPr>
      <w:r>
        <w:rPr>
          <w:color w:val="auto"/>
          <w:sz w:val="28"/>
          <w:szCs w:val="28"/>
        </w:rPr>
        <w:t>该公司地处南方多雷地带，易受雷电袭击，雷击可能造成设备损坏和人员伤亡，也能引发可燃物质发生火灾、爆炸事故，同时雷击可使电气出现故障或损坏电气设备，造成全</w:t>
      </w:r>
      <w:r>
        <w:rPr>
          <w:rFonts w:hint="eastAsia"/>
          <w:color w:val="auto"/>
          <w:sz w:val="28"/>
          <w:szCs w:val="28"/>
        </w:rPr>
        <w:t>站</w:t>
      </w:r>
      <w:r>
        <w:rPr>
          <w:color w:val="auto"/>
          <w:sz w:val="28"/>
          <w:szCs w:val="28"/>
        </w:rPr>
        <w:t>或局部停电，引发事故。</w:t>
      </w:r>
    </w:p>
    <w:p>
      <w:pPr>
        <w:spacing w:line="600" w:lineRule="exact"/>
        <w:ind w:firstLine="560" w:firstLineChars="200"/>
        <w:rPr>
          <w:color w:val="auto"/>
          <w:sz w:val="28"/>
          <w:szCs w:val="28"/>
        </w:rPr>
      </w:pPr>
      <w:r>
        <w:rPr>
          <w:rFonts w:hint="eastAsia"/>
          <w:color w:val="auto"/>
          <w:sz w:val="28"/>
          <w:szCs w:val="28"/>
          <w:lang w:val="en-US" w:eastAsia="zh-CN"/>
        </w:rPr>
        <w:t>6</w:t>
      </w:r>
      <w:r>
        <w:rPr>
          <w:color w:val="auto"/>
          <w:sz w:val="28"/>
          <w:szCs w:val="28"/>
        </w:rPr>
        <w:t>、地质灾害</w:t>
      </w:r>
    </w:p>
    <w:p>
      <w:pPr>
        <w:spacing w:line="600" w:lineRule="exact"/>
        <w:ind w:firstLine="560" w:firstLineChars="200"/>
        <w:rPr>
          <w:color w:val="auto"/>
          <w:sz w:val="28"/>
          <w:szCs w:val="28"/>
        </w:rPr>
      </w:pPr>
      <w:r>
        <w:rPr>
          <w:color w:val="auto"/>
          <w:sz w:val="28"/>
          <w:szCs w:val="28"/>
        </w:rPr>
        <w:t>地质灾害主要包括不良地质结构，造成建筑、基础下沉等，影响安全运行。如发生地震灾害，则可能损坏设备，造成人员伤亡，甚至引发火灾、爆炸严重事故。根据《中国地震</w:t>
      </w:r>
      <w:r>
        <w:rPr>
          <w:rFonts w:hint="eastAsia"/>
          <w:color w:val="auto"/>
          <w:sz w:val="28"/>
          <w:szCs w:val="28"/>
        </w:rPr>
        <w:t>烈</w:t>
      </w:r>
      <w:r>
        <w:rPr>
          <w:color w:val="auto"/>
          <w:sz w:val="28"/>
          <w:szCs w:val="28"/>
        </w:rPr>
        <w:t>度区划图》，</w:t>
      </w:r>
      <w:r>
        <w:rPr>
          <w:rFonts w:hint="eastAsia"/>
          <w:color w:val="auto"/>
          <w:sz w:val="28"/>
          <w:szCs w:val="28"/>
        </w:rPr>
        <w:t>该项目</w:t>
      </w:r>
      <w:r>
        <w:rPr>
          <w:color w:val="auto"/>
          <w:sz w:val="28"/>
          <w:szCs w:val="28"/>
        </w:rPr>
        <w:t>所在地区地震烈度为Ⅵ度地区，属于地震危险较小的地区。</w:t>
      </w:r>
    </w:p>
    <w:p>
      <w:pPr>
        <w:bidi w:val="0"/>
        <w:ind w:firstLine="560" w:firstLineChars="200"/>
        <w:rPr>
          <w:color w:val="auto"/>
        </w:rPr>
      </w:pPr>
      <w:r>
        <w:rPr>
          <w:rFonts w:hint="eastAsia"/>
          <w:color w:val="auto"/>
          <w:lang w:val="en-US" w:eastAsia="zh-CN"/>
        </w:rPr>
        <w:t>7</w:t>
      </w:r>
      <w:r>
        <w:rPr>
          <w:color w:val="auto"/>
        </w:rPr>
        <w:t>、采光、照明</w:t>
      </w:r>
    </w:p>
    <w:p>
      <w:pPr>
        <w:bidi w:val="0"/>
        <w:ind w:firstLine="560" w:firstLineChars="200"/>
        <w:rPr>
          <w:color w:val="auto"/>
        </w:rPr>
      </w:pPr>
      <w:r>
        <w:rPr>
          <w:color w:val="auto"/>
        </w:rPr>
        <w:t>采光照明不良可能造成操作、检修作业出现失误，作业场所照度不足也可能造成人员发生摔跌发生事故</w:t>
      </w:r>
      <w:r>
        <w:rPr>
          <w:rFonts w:hint="eastAsia"/>
          <w:color w:val="auto"/>
        </w:rPr>
        <w:t>。</w:t>
      </w:r>
    </w:p>
    <w:p>
      <w:pPr>
        <w:pStyle w:val="3"/>
        <w:bidi w:val="0"/>
        <w:rPr>
          <w:rFonts w:hint="eastAsia"/>
          <w:color w:val="auto"/>
          <w:lang w:val="en-US" w:eastAsia="zh-CN"/>
        </w:rPr>
      </w:pPr>
      <w:bookmarkStart w:id="68" w:name="_Toc16566"/>
      <w:r>
        <w:rPr>
          <w:rFonts w:hint="eastAsia"/>
          <w:color w:val="auto"/>
          <w:lang w:val="en-US" w:eastAsia="zh-CN"/>
        </w:rPr>
        <w:t>3.5重大危险源辨识</w:t>
      </w:r>
      <w:bookmarkEnd w:id="68"/>
    </w:p>
    <w:p>
      <w:pPr>
        <w:bidi w:val="0"/>
        <w:rPr>
          <w:rFonts w:hint="default"/>
          <w:color w:val="auto"/>
          <w:lang w:val="en-US" w:eastAsia="zh-CN"/>
        </w:rPr>
      </w:pPr>
      <w:r>
        <w:rPr>
          <w:rFonts w:hint="eastAsia"/>
          <w:color w:val="auto"/>
          <w:lang w:val="en-US" w:eastAsia="zh-CN"/>
        </w:rPr>
        <w:t xml:space="preserve">    根据《危险化学品重大危险源辨识》（GB18218-2018）进行辨识，本项目不涉及危险化学品，因此，</w:t>
      </w:r>
      <w:r>
        <w:rPr>
          <w:rFonts w:hint="eastAsia"/>
          <w:b/>
          <w:bCs/>
          <w:color w:val="auto"/>
          <w:lang w:val="en-US" w:eastAsia="zh-CN"/>
        </w:rPr>
        <w:t>本项目不涉及危险化学品重大危险源。</w:t>
      </w:r>
    </w:p>
    <w:p>
      <w:pPr>
        <w:pStyle w:val="3"/>
        <w:bidi w:val="0"/>
        <w:rPr>
          <w:rFonts w:hint="default"/>
          <w:color w:val="auto"/>
          <w:lang w:val="en-US" w:eastAsia="zh-CN"/>
        </w:rPr>
      </w:pPr>
      <w:bookmarkStart w:id="69" w:name="_Toc19933"/>
      <w:r>
        <w:rPr>
          <w:rFonts w:hint="default"/>
          <w:color w:val="auto"/>
          <w:lang w:val="en-US" w:eastAsia="zh-CN"/>
        </w:rPr>
        <w:t>3</w:t>
      </w:r>
      <w:r>
        <w:rPr>
          <w:rFonts w:hint="eastAsia"/>
          <w:color w:val="auto"/>
          <w:lang w:val="en-US" w:eastAsia="zh-CN"/>
        </w:rPr>
        <w:t>.6</w:t>
      </w:r>
      <w:r>
        <w:rPr>
          <w:rFonts w:hint="default"/>
          <w:color w:val="auto"/>
          <w:lang w:val="en-US" w:eastAsia="zh-CN"/>
        </w:rPr>
        <w:t>典型</w:t>
      </w:r>
      <w:r>
        <w:rPr>
          <w:rFonts w:hint="eastAsia"/>
          <w:color w:val="auto"/>
          <w:lang w:val="en-US" w:eastAsia="zh-CN"/>
        </w:rPr>
        <w:t>事</w:t>
      </w:r>
      <w:r>
        <w:rPr>
          <w:rFonts w:hint="default"/>
          <w:color w:val="auto"/>
          <w:lang w:val="en-US" w:eastAsia="zh-CN"/>
        </w:rPr>
        <w:t>故案例分析</w:t>
      </w:r>
      <w:bookmarkEnd w:id="69"/>
    </w:p>
    <w:p>
      <w:pPr>
        <w:bidi w:val="0"/>
        <w:ind w:firstLine="562" w:firstLineChars="200"/>
        <w:rPr>
          <w:rFonts w:hint="default"/>
          <w:b/>
          <w:bCs/>
          <w:color w:val="auto"/>
          <w:lang w:val="en-US" w:eastAsia="zh-CN"/>
        </w:rPr>
      </w:pPr>
      <w:r>
        <w:rPr>
          <w:rFonts w:hint="default"/>
          <w:b/>
          <w:bCs/>
          <w:color w:val="auto"/>
          <w:lang w:val="en-US" w:eastAsia="zh-CN"/>
        </w:rPr>
        <w:t>1、充电站火灾事故</w:t>
      </w:r>
    </w:p>
    <w:p>
      <w:pPr>
        <w:bidi w:val="0"/>
        <w:ind w:firstLine="560" w:firstLineChars="200"/>
        <w:jc w:val="both"/>
        <w:rPr>
          <w:rFonts w:hint="default"/>
          <w:color w:val="auto"/>
          <w:lang w:val="en-US" w:eastAsia="zh-CN"/>
        </w:rPr>
      </w:pPr>
      <w:r>
        <w:rPr>
          <w:rFonts w:hint="default"/>
          <w:color w:val="auto"/>
          <w:lang w:val="en-US" w:eastAsia="zh-CN"/>
        </w:rPr>
        <w:t xml:space="preserve"> 2020 年 5 月 8 日，东莞市塘厦镇的小桔华融充电站内一辆纯电动物流车在充电过程中发生自燃，现场过火面积约 30 平方米，造成 5 台车辆损毁，由于灭火及时未造成人员伤亡，其48 家充电站因此被停业毅顿</w:t>
      </w:r>
      <w:r>
        <w:rPr>
          <w:rFonts w:hint="eastAsia"/>
          <w:color w:val="auto"/>
          <w:lang w:val="en-US" w:eastAsia="zh-CN"/>
        </w:rPr>
        <w:t>。</w:t>
      </w:r>
      <w:r>
        <w:rPr>
          <w:rFonts w:hint="default"/>
          <w:color w:val="auto"/>
          <w:lang w:val="en-US" w:eastAsia="zh-CN"/>
        </w:rPr>
        <w:t>该充电站存在充电桩总功率超出上级变压器容最、安全生产职责不清等一系列问题。</w:t>
      </w:r>
    </w:p>
    <w:p>
      <w:pPr>
        <w:bidi w:val="0"/>
        <w:ind w:firstLine="562" w:firstLineChars="200"/>
        <w:rPr>
          <w:rFonts w:hint="default"/>
          <w:color w:val="auto"/>
          <w:lang w:val="en-US" w:eastAsia="zh-CN"/>
        </w:rPr>
      </w:pPr>
      <w:r>
        <w:rPr>
          <w:rFonts w:hint="default"/>
          <w:b/>
          <w:bCs/>
          <w:color w:val="auto"/>
          <w:lang w:val="en-US" w:eastAsia="zh-CN"/>
        </w:rPr>
        <w:t xml:space="preserve"> 2、触电事故</w:t>
      </w:r>
      <w:r>
        <w:rPr>
          <w:rFonts w:hint="default"/>
          <w:color w:val="auto"/>
          <w:lang w:val="en-US" w:eastAsia="zh-CN"/>
        </w:rPr>
        <w:t xml:space="preserve"> </w:t>
      </w:r>
    </w:p>
    <w:p>
      <w:pPr>
        <w:bidi w:val="0"/>
        <w:ind w:firstLine="560" w:firstLineChars="200"/>
        <w:rPr>
          <w:rFonts w:hint="default"/>
          <w:color w:val="auto"/>
          <w:lang w:val="en-US" w:eastAsia="zh-CN"/>
        </w:rPr>
      </w:pPr>
      <w:r>
        <w:rPr>
          <w:rFonts w:hint="default"/>
          <w:color w:val="auto"/>
          <w:lang w:val="en-US" w:eastAsia="zh-CN"/>
        </w:rPr>
        <w:t>20</w:t>
      </w:r>
      <w:r>
        <w:rPr>
          <w:rFonts w:hint="eastAsia"/>
          <w:color w:val="auto"/>
          <w:lang w:val="en-US" w:eastAsia="zh-CN"/>
        </w:rPr>
        <w:t>15</w:t>
      </w:r>
      <w:r>
        <w:rPr>
          <w:rFonts w:hint="default"/>
          <w:color w:val="auto"/>
          <w:lang w:val="en-US" w:eastAsia="zh-CN"/>
        </w:rPr>
        <w:t>年8月8日，位于湖南省长沙市高新区麓谷街道的某污水处理改造工程施工工地发生一起触电事故，造成1人死亡，直接经济损失73</w:t>
      </w:r>
      <w:r>
        <w:rPr>
          <w:rFonts w:hint="eastAsia"/>
          <w:color w:val="auto"/>
          <w:lang w:val="en-US" w:eastAsia="zh-CN"/>
        </w:rPr>
        <w:t>.</w:t>
      </w:r>
      <w:r>
        <w:rPr>
          <w:rFonts w:hint="default"/>
          <w:color w:val="auto"/>
          <w:lang w:val="en-US" w:eastAsia="zh-CN"/>
        </w:rPr>
        <w:t>7万元。</w:t>
      </w:r>
    </w:p>
    <w:p>
      <w:pPr>
        <w:bidi w:val="0"/>
        <w:ind w:firstLine="560" w:firstLineChars="200"/>
        <w:rPr>
          <w:rFonts w:hint="default"/>
          <w:color w:val="auto"/>
          <w:lang w:val="en-US" w:eastAsia="zh-CN"/>
        </w:rPr>
      </w:pPr>
      <w:r>
        <w:rPr>
          <w:rFonts w:hint="default"/>
          <w:color w:val="auto"/>
          <w:lang w:val="en-US" w:eastAsia="zh-CN"/>
        </w:rPr>
        <w:t>8月8日16 时20分左右，施工队正在浇筑混凝土。作业期间，杂工唐某发现两台潜水泵都未正常抽水，怀疑是潜水泵滤网被泥沙堵塞导致潜水泵不能正常工作，于是在未关闭电源的情况下下到基坑底部积水处处理潜水泵故障。唐某先将l</w:t>
      </w:r>
      <w:r>
        <w:rPr>
          <w:rFonts w:hint="eastAsia"/>
          <w:color w:val="auto"/>
          <w:lang w:val="en-US" w:eastAsia="zh-CN"/>
        </w:rPr>
        <w:t>.</w:t>
      </w:r>
      <w:r>
        <w:rPr>
          <w:rFonts w:hint="default"/>
          <w:color w:val="auto"/>
          <w:lang w:val="en-US" w:eastAsia="zh-CN"/>
        </w:rPr>
        <w:t>lkw潜水泵进水口滤网上的泥沙抖落，使该潜水泵恢复了正常运转。他继续前行几步，当双手伸入水中接触到 0</w:t>
      </w:r>
      <w:r>
        <w:rPr>
          <w:rFonts w:hint="eastAsia"/>
          <w:color w:val="auto"/>
          <w:lang w:val="en-US" w:eastAsia="zh-CN"/>
        </w:rPr>
        <w:t>.</w:t>
      </w:r>
      <w:r>
        <w:rPr>
          <w:rFonts w:hint="default"/>
          <w:color w:val="auto"/>
          <w:lang w:val="en-US" w:eastAsia="zh-CN"/>
        </w:rPr>
        <w:t>7kw 潜水泵时发生了触电，后经抢救无效死亡。</w:t>
      </w:r>
    </w:p>
    <w:p>
      <w:pPr>
        <w:bidi w:val="0"/>
        <w:ind w:firstLine="560" w:firstLineChars="200"/>
        <w:rPr>
          <w:rFonts w:hint="default"/>
          <w:color w:val="auto"/>
          <w:lang w:val="en-US" w:eastAsia="zh-CN"/>
        </w:rPr>
      </w:pPr>
      <w:r>
        <w:rPr>
          <w:rFonts w:hint="default"/>
          <w:color w:val="auto"/>
          <w:lang w:val="en-US" w:eastAsia="zh-CN"/>
        </w:rPr>
        <w:t>事故原</w:t>
      </w:r>
      <w:r>
        <w:rPr>
          <w:rFonts w:hint="eastAsia"/>
          <w:color w:val="auto"/>
          <w:lang w:val="en-US" w:eastAsia="zh-CN"/>
        </w:rPr>
        <w:t>因</w:t>
      </w:r>
      <w:r>
        <w:rPr>
          <w:rFonts w:hint="default"/>
          <w:color w:val="auto"/>
          <w:lang w:val="en-US" w:eastAsia="zh-CN"/>
        </w:rPr>
        <w:t>包括：事故潜水泵主绕组绝缘损坏，线圈与外壳短接，导致潜水泵漏电。电源配电系统未按规定采用 TN</w:t>
      </w:r>
      <w:r>
        <w:rPr>
          <w:rFonts w:hint="eastAsia"/>
          <w:color w:val="auto"/>
          <w:lang w:val="en-US" w:eastAsia="zh-CN"/>
        </w:rPr>
        <w:t>-</w:t>
      </w:r>
      <w:r>
        <w:rPr>
          <w:rFonts w:hint="default"/>
          <w:color w:val="auto"/>
          <w:lang w:val="en-US" w:eastAsia="zh-CN"/>
        </w:rPr>
        <w:t xml:space="preserve"> S 接零保护，总配电箱漏电断路器不起作用，开关箱未按照要求安装漏电保护装置当用电设备发生漏电时，系统没有自动保护功能。作业人员唐某违反《施工现场临时用电安全技术规范》相关规定，在未采取安全防护措施和没有断开电源的情况下接触带电设施引发事故。</w:t>
      </w:r>
    </w:p>
    <w:p>
      <w:pPr>
        <w:bidi w:val="0"/>
        <w:ind w:firstLine="560" w:firstLineChars="200"/>
        <w:rPr>
          <w:rFonts w:hint="eastAsia"/>
          <w:color w:val="auto"/>
          <w:lang w:val="en-US" w:eastAsia="zh-CN"/>
        </w:rPr>
      </w:pPr>
      <w:r>
        <w:rPr>
          <w:rFonts w:hint="eastAsia"/>
          <w:color w:val="auto"/>
          <w:lang w:val="en-US" w:eastAsia="zh-CN"/>
        </w:rPr>
        <w:t>事故案例分析：</w:t>
      </w:r>
    </w:p>
    <w:p>
      <w:pPr>
        <w:bidi w:val="0"/>
        <w:ind w:firstLine="560" w:firstLineChars="200"/>
        <w:rPr>
          <w:rFonts w:hint="eastAsia"/>
          <w:color w:val="auto"/>
          <w:lang w:val="en-US" w:eastAsia="zh-CN"/>
        </w:rPr>
      </w:pPr>
      <w:r>
        <w:rPr>
          <w:rFonts w:hint="eastAsia"/>
          <w:color w:val="auto"/>
          <w:lang w:val="en-US" w:eastAsia="zh-CN"/>
        </w:rPr>
        <w:t>从以上事故案例可以看出，造成事故的主要因素有：</w:t>
      </w:r>
    </w:p>
    <w:p>
      <w:pPr>
        <w:numPr>
          <w:ilvl w:val="0"/>
          <w:numId w:val="2"/>
        </w:numPr>
        <w:bidi w:val="0"/>
        <w:ind w:firstLine="560" w:firstLineChars="200"/>
        <w:rPr>
          <w:rFonts w:hint="eastAsia"/>
          <w:color w:val="auto"/>
          <w:lang w:val="en-US" w:eastAsia="zh-CN"/>
        </w:rPr>
      </w:pPr>
      <w:r>
        <w:rPr>
          <w:rFonts w:hint="eastAsia"/>
          <w:color w:val="auto"/>
          <w:lang w:val="en-US" w:eastAsia="zh-CN"/>
        </w:rPr>
        <w:t>违章操作，违反劳动纪律。</w:t>
      </w:r>
    </w:p>
    <w:p>
      <w:pPr>
        <w:numPr>
          <w:ilvl w:val="0"/>
          <w:numId w:val="2"/>
        </w:numPr>
        <w:bidi w:val="0"/>
        <w:ind w:firstLine="560" w:firstLineChars="200"/>
        <w:rPr>
          <w:rFonts w:hint="default"/>
          <w:color w:val="auto"/>
          <w:lang w:val="en-US" w:eastAsia="zh-CN"/>
        </w:rPr>
      </w:pPr>
      <w:r>
        <w:rPr>
          <w:rFonts w:hint="eastAsia"/>
          <w:color w:val="auto"/>
          <w:lang w:val="en-US" w:eastAsia="zh-CN"/>
        </w:rPr>
        <w:t>未经正规设计或未按标准要求施工。</w:t>
      </w:r>
    </w:p>
    <w:p>
      <w:pPr>
        <w:numPr>
          <w:ilvl w:val="0"/>
          <w:numId w:val="2"/>
        </w:numPr>
        <w:bidi w:val="0"/>
        <w:ind w:firstLine="560" w:firstLineChars="200"/>
        <w:rPr>
          <w:rFonts w:hint="default"/>
          <w:color w:val="auto"/>
          <w:lang w:val="en-US" w:eastAsia="zh-CN"/>
        </w:rPr>
      </w:pPr>
      <w:r>
        <w:rPr>
          <w:rFonts w:hint="eastAsia"/>
          <w:color w:val="auto"/>
          <w:lang w:val="en-US" w:eastAsia="zh-CN"/>
        </w:rPr>
        <w:t>安全投入不足，安全防护措施未设置或设置不当。</w:t>
      </w:r>
    </w:p>
    <w:p>
      <w:pPr>
        <w:numPr>
          <w:ilvl w:val="0"/>
          <w:numId w:val="2"/>
        </w:numPr>
        <w:bidi w:val="0"/>
        <w:ind w:firstLine="560" w:firstLineChars="200"/>
        <w:rPr>
          <w:rFonts w:hint="default"/>
          <w:color w:val="auto"/>
          <w:lang w:val="en-US" w:eastAsia="zh-CN"/>
        </w:rPr>
      </w:pPr>
      <w:r>
        <w:rPr>
          <w:rFonts w:hint="eastAsia"/>
          <w:color w:val="auto"/>
          <w:lang w:val="en-US" w:eastAsia="zh-CN"/>
        </w:rPr>
        <w:t>操作人员的安全意识淡薄。</w:t>
      </w:r>
    </w:p>
    <w:p>
      <w:pPr>
        <w:numPr>
          <w:ilvl w:val="0"/>
          <w:numId w:val="2"/>
        </w:numPr>
        <w:bidi w:val="0"/>
        <w:ind w:firstLine="560" w:firstLineChars="200"/>
        <w:rPr>
          <w:rFonts w:hint="default"/>
          <w:color w:val="auto"/>
          <w:lang w:val="en-US" w:eastAsia="zh-CN"/>
        </w:rPr>
      </w:pPr>
      <w:r>
        <w:rPr>
          <w:rFonts w:hint="eastAsia"/>
          <w:color w:val="auto"/>
          <w:lang w:val="en-US" w:eastAsia="zh-CN"/>
        </w:rPr>
        <w:t>设备及安全设施存在安全隐患，造成事故发生。</w:t>
      </w:r>
    </w:p>
    <w:p>
      <w:pPr>
        <w:rPr>
          <w:rFonts w:hint="default"/>
          <w:color w:val="auto"/>
          <w:lang w:val="en-US" w:eastAsia="zh-CN"/>
        </w:rPr>
      </w:pPr>
      <w:r>
        <w:rPr>
          <w:rFonts w:hint="default"/>
          <w:color w:val="auto"/>
          <w:lang w:val="en-US" w:eastAsia="zh-CN"/>
        </w:rPr>
        <w:br w:type="page"/>
      </w:r>
    </w:p>
    <w:bookmarkEnd w:id="54"/>
    <w:bookmarkEnd w:id="55"/>
    <w:p>
      <w:pPr>
        <w:pStyle w:val="2"/>
        <w:bidi w:val="0"/>
        <w:rPr>
          <w:color w:val="auto"/>
        </w:rPr>
      </w:pPr>
      <w:bookmarkStart w:id="70" w:name="_Toc31366"/>
      <w:bookmarkStart w:id="71" w:name="_Toc35241869"/>
      <w:bookmarkStart w:id="72" w:name="_Toc500924241"/>
      <w:bookmarkStart w:id="73" w:name="_Toc350517384"/>
      <w:r>
        <w:rPr>
          <w:color w:val="auto"/>
          <w:sz w:val="32"/>
          <w:szCs w:val="32"/>
        </w:rPr>
        <w:t>4</w:t>
      </w:r>
      <w:r>
        <w:rPr>
          <w:rFonts w:hint="eastAsia" w:ascii="宋体" w:hAnsi="宋体" w:eastAsia="宋体" w:cs="宋体"/>
          <w:color w:val="auto"/>
          <w:sz w:val="32"/>
          <w:szCs w:val="32"/>
        </w:rPr>
        <w:t>评价单元的确定及评价方法选择</w:t>
      </w:r>
      <w:bookmarkEnd w:id="70"/>
    </w:p>
    <w:p>
      <w:pPr>
        <w:pStyle w:val="3"/>
        <w:bidi w:val="0"/>
        <w:rPr>
          <w:rFonts w:eastAsia="宋体"/>
          <w:color w:val="auto"/>
          <w:szCs w:val="30"/>
        </w:rPr>
      </w:pPr>
      <w:bookmarkStart w:id="74" w:name="_Toc20004"/>
      <w:r>
        <w:rPr>
          <w:color w:val="auto"/>
        </w:rPr>
        <w:t>4.1</w:t>
      </w:r>
      <w:r>
        <w:rPr>
          <w:rFonts w:hint="eastAsia" w:ascii="宋体" w:hAnsi="宋体" w:eastAsia="宋体" w:cs="宋体"/>
          <w:color w:val="auto"/>
        </w:rPr>
        <w:t>评价单元的确定</w:t>
      </w:r>
      <w:bookmarkEnd w:id="71"/>
      <w:bookmarkEnd w:id="72"/>
      <w:bookmarkEnd w:id="74"/>
    </w:p>
    <w:p>
      <w:pPr>
        <w:pStyle w:val="4"/>
        <w:bidi w:val="0"/>
        <w:rPr>
          <w:b w:val="0"/>
          <w:color w:val="auto"/>
        </w:rPr>
      </w:pPr>
      <w:bookmarkStart w:id="75" w:name="_Toc1196"/>
      <w:r>
        <w:rPr>
          <w:color w:val="auto"/>
        </w:rPr>
        <w:t>4.1.1</w:t>
      </w:r>
      <w:r>
        <w:rPr>
          <w:rFonts w:hint="eastAsia" w:ascii="宋体" w:hAnsi="宋体" w:eastAsia="宋体" w:cs="宋体"/>
          <w:color w:val="auto"/>
        </w:rPr>
        <w:t>评价单元划分原则</w:t>
      </w:r>
      <w:bookmarkEnd w:id="75"/>
    </w:p>
    <w:p>
      <w:pPr>
        <w:keepNext w:val="0"/>
        <w:keepLines w:val="0"/>
        <w:pageBreakBefore w:val="0"/>
        <w:widowControl w:val="0"/>
        <w:kinsoku/>
        <w:wordWrap w:val="0"/>
        <w:overflowPunct/>
        <w:topLinePunct w:val="0"/>
        <w:autoSpaceDE/>
        <w:autoSpaceDN/>
        <w:bidi w:val="0"/>
        <w:adjustRightInd w:val="0"/>
        <w:snapToGrid w:val="0"/>
        <w:spacing w:line="600" w:lineRule="exact"/>
        <w:ind w:firstLine="560" w:firstLineChars="200"/>
        <w:jc w:val="left"/>
        <w:textAlignment w:val="center"/>
        <w:rPr>
          <w:color w:val="auto"/>
          <w:sz w:val="28"/>
          <w:szCs w:val="28"/>
        </w:rPr>
      </w:pPr>
      <w:r>
        <w:rPr>
          <w:color w:val="auto"/>
          <w:sz w:val="28"/>
          <w:szCs w:val="28"/>
        </w:rPr>
        <w:t>具体按以下原则进行单元划分：</w:t>
      </w:r>
    </w:p>
    <w:p>
      <w:pPr>
        <w:keepNext w:val="0"/>
        <w:keepLines w:val="0"/>
        <w:pageBreakBefore w:val="0"/>
        <w:widowControl w:val="0"/>
        <w:kinsoku/>
        <w:wordWrap w:val="0"/>
        <w:overflowPunct/>
        <w:topLinePunct w:val="0"/>
        <w:autoSpaceDE/>
        <w:autoSpaceDN/>
        <w:bidi w:val="0"/>
        <w:adjustRightInd w:val="0"/>
        <w:snapToGrid w:val="0"/>
        <w:spacing w:line="600" w:lineRule="exact"/>
        <w:ind w:firstLine="560" w:firstLineChars="200"/>
        <w:jc w:val="left"/>
        <w:textAlignment w:val="center"/>
        <w:rPr>
          <w:color w:val="auto"/>
          <w:sz w:val="28"/>
          <w:szCs w:val="28"/>
        </w:rPr>
      </w:pPr>
      <w:r>
        <w:rPr>
          <w:color w:val="auto"/>
          <w:sz w:val="28"/>
          <w:szCs w:val="28"/>
        </w:rPr>
        <w:t>1）以危险、有害因素类别为主划分评价单元；</w:t>
      </w:r>
    </w:p>
    <w:p>
      <w:pPr>
        <w:keepNext w:val="0"/>
        <w:keepLines w:val="0"/>
        <w:pageBreakBefore w:val="0"/>
        <w:widowControl w:val="0"/>
        <w:kinsoku/>
        <w:wordWrap w:val="0"/>
        <w:overflowPunct/>
        <w:topLinePunct w:val="0"/>
        <w:autoSpaceDE/>
        <w:autoSpaceDN/>
        <w:bidi w:val="0"/>
        <w:adjustRightInd w:val="0"/>
        <w:snapToGrid w:val="0"/>
        <w:spacing w:line="600" w:lineRule="exact"/>
        <w:ind w:firstLine="560" w:firstLineChars="200"/>
        <w:jc w:val="left"/>
        <w:textAlignment w:val="center"/>
        <w:rPr>
          <w:color w:val="auto"/>
          <w:sz w:val="28"/>
          <w:szCs w:val="28"/>
        </w:rPr>
      </w:pPr>
      <w:r>
        <w:rPr>
          <w:color w:val="auto"/>
          <w:sz w:val="28"/>
          <w:szCs w:val="28"/>
        </w:rPr>
        <w:t>2）以装置、设施和工艺流程的特征划分评价单元；</w:t>
      </w:r>
    </w:p>
    <w:p>
      <w:pPr>
        <w:keepNext w:val="0"/>
        <w:keepLines w:val="0"/>
        <w:pageBreakBefore w:val="0"/>
        <w:widowControl w:val="0"/>
        <w:kinsoku/>
        <w:wordWrap w:val="0"/>
        <w:overflowPunct/>
        <w:topLinePunct w:val="0"/>
        <w:autoSpaceDE/>
        <w:autoSpaceDN/>
        <w:bidi w:val="0"/>
        <w:adjustRightInd w:val="0"/>
        <w:snapToGrid w:val="0"/>
        <w:spacing w:line="600" w:lineRule="exact"/>
        <w:ind w:firstLine="560" w:firstLineChars="200"/>
        <w:jc w:val="left"/>
        <w:textAlignment w:val="center"/>
        <w:rPr>
          <w:color w:val="auto"/>
          <w:sz w:val="28"/>
          <w:szCs w:val="28"/>
        </w:rPr>
      </w:pPr>
      <w:r>
        <w:rPr>
          <w:color w:val="auto"/>
          <w:sz w:val="28"/>
          <w:szCs w:val="28"/>
        </w:rPr>
        <w:t>3）将安全管理、外部周边环境单独划分评价单元</w:t>
      </w:r>
      <w:r>
        <w:rPr>
          <w:color w:val="auto"/>
          <w:sz w:val="28"/>
          <w:szCs w:val="28"/>
          <w:lang w:val="zh-CN"/>
        </w:rPr>
        <w:t>。</w:t>
      </w:r>
    </w:p>
    <w:p>
      <w:pPr>
        <w:pStyle w:val="4"/>
        <w:bidi w:val="0"/>
        <w:rPr>
          <w:color w:val="auto"/>
        </w:rPr>
      </w:pPr>
      <w:bookmarkStart w:id="76" w:name="_Toc21085"/>
      <w:r>
        <w:rPr>
          <w:color w:val="auto"/>
        </w:rPr>
        <w:t>4.1.2</w:t>
      </w:r>
      <w:r>
        <w:rPr>
          <w:rFonts w:hint="eastAsia" w:ascii="宋体" w:hAnsi="宋体" w:eastAsia="宋体" w:cs="宋体"/>
          <w:color w:val="auto"/>
        </w:rPr>
        <w:t>确定评价单元</w:t>
      </w:r>
      <w:bookmarkEnd w:id="76"/>
    </w:p>
    <w:p>
      <w:pPr>
        <w:bidi w:val="0"/>
        <w:rPr>
          <w:color w:val="auto"/>
        </w:rPr>
      </w:pPr>
      <w:r>
        <w:rPr>
          <w:color w:val="auto"/>
        </w:rPr>
        <w:t>根据评价单元划分的原则，结合本项目装置自身的工艺特点，本报告以装置功能为主划分评价单元，总体上划分为以</w:t>
      </w:r>
      <w:r>
        <w:rPr>
          <w:rFonts w:hint="eastAsia"/>
          <w:color w:val="auto"/>
          <w:lang w:val="en-US" w:eastAsia="zh-CN"/>
        </w:rPr>
        <w:t>下</w:t>
      </w:r>
      <w:r>
        <w:rPr>
          <w:color w:val="auto"/>
        </w:rPr>
        <w:t>单元，见表4</w:t>
      </w:r>
      <w:r>
        <w:rPr>
          <w:rFonts w:hint="eastAsia"/>
          <w:color w:val="auto"/>
        </w:rPr>
        <w:t>.1</w:t>
      </w:r>
      <w:r>
        <w:rPr>
          <w:color w:val="auto"/>
        </w:rPr>
        <w:t>-1。评价中再根据实际需要进一步细化成下一级评价单元。</w:t>
      </w:r>
    </w:p>
    <w:p>
      <w:pPr>
        <w:pStyle w:val="43"/>
        <w:bidi w:val="0"/>
        <w:rPr>
          <w:color w:val="auto"/>
        </w:rPr>
      </w:pPr>
      <w:r>
        <w:rPr>
          <w:color w:val="auto"/>
        </w:rPr>
        <w:t>表4</w:t>
      </w:r>
      <w:r>
        <w:rPr>
          <w:rFonts w:hint="eastAsia"/>
          <w:color w:val="auto"/>
        </w:rPr>
        <w:t>.1</w:t>
      </w:r>
      <w:r>
        <w:rPr>
          <w:color w:val="auto"/>
        </w:rPr>
        <w:t>-1评价单元划分一览表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173"/>
        <w:gridCol w:w="2890"/>
        <w:gridCol w:w="3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16" w:type="dxa"/>
            <w:noWrap w:val="0"/>
            <w:vAlign w:val="center"/>
          </w:tcPr>
          <w:p>
            <w:pPr>
              <w:pStyle w:val="38"/>
              <w:bidi w:val="0"/>
              <w:rPr>
                <w:color w:val="auto"/>
              </w:rPr>
            </w:pPr>
            <w:r>
              <w:rPr>
                <w:color w:val="auto"/>
              </w:rPr>
              <w:t>序号</w:t>
            </w:r>
          </w:p>
        </w:tc>
        <w:tc>
          <w:tcPr>
            <w:tcW w:w="2173" w:type="dxa"/>
            <w:noWrap w:val="0"/>
            <w:vAlign w:val="center"/>
          </w:tcPr>
          <w:p>
            <w:pPr>
              <w:pStyle w:val="38"/>
              <w:bidi w:val="0"/>
              <w:rPr>
                <w:color w:val="auto"/>
              </w:rPr>
            </w:pPr>
            <w:r>
              <w:rPr>
                <w:color w:val="auto"/>
              </w:rPr>
              <w:t>评价单元</w:t>
            </w:r>
          </w:p>
        </w:tc>
        <w:tc>
          <w:tcPr>
            <w:tcW w:w="2890" w:type="dxa"/>
            <w:noWrap w:val="0"/>
            <w:vAlign w:val="center"/>
          </w:tcPr>
          <w:p>
            <w:pPr>
              <w:pStyle w:val="38"/>
              <w:bidi w:val="0"/>
              <w:rPr>
                <w:color w:val="auto"/>
              </w:rPr>
            </w:pPr>
            <w:r>
              <w:rPr>
                <w:color w:val="auto"/>
              </w:rPr>
              <w:t>评价的主要对象</w:t>
            </w:r>
          </w:p>
        </w:tc>
        <w:tc>
          <w:tcPr>
            <w:tcW w:w="3107" w:type="dxa"/>
            <w:noWrap w:val="0"/>
            <w:vAlign w:val="center"/>
          </w:tcPr>
          <w:p>
            <w:pPr>
              <w:pStyle w:val="38"/>
              <w:bidi w:val="0"/>
              <w:rPr>
                <w:color w:val="auto"/>
              </w:rPr>
            </w:pPr>
            <w:r>
              <w:rPr>
                <w:color w:val="auto"/>
              </w:rPr>
              <w:t>采用的评价方法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116" w:type="dxa"/>
            <w:vMerge w:val="restart"/>
            <w:tcBorders>
              <w:bottom w:val="single" w:color="auto" w:sz="4" w:space="0"/>
            </w:tcBorders>
            <w:noWrap w:val="0"/>
            <w:vAlign w:val="center"/>
          </w:tcPr>
          <w:p>
            <w:pPr>
              <w:pStyle w:val="38"/>
              <w:bidi w:val="0"/>
              <w:rPr>
                <w:color w:val="auto"/>
              </w:rPr>
            </w:pPr>
            <w:r>
              <w:rPr>
                <w:color w:val="auto"/>
              </w:rPr>
              <w:t>1</w:t>
            </w:r>
          </w:p>
        </w:tc>
        <w:tc>
          <w:tcPr>
            <w:tcW w:w="2173" w:type="dxa"/>
            <w:vMerge w:val="restart"/>
            <w:tcBorders>
              <w:bottom w:val="single" w:color="auto" w:sz="4" w:space="0"/>
            </w:tcBorders>
            <w:noWrap w:val="0"/>
            <w:vAlign w:val="center"/>
          </w:tcPr>
          <w:p>
            <w:pPr>
              <w:pStyle w:val="38"/>
              <w:bidi w:val="0"/>
              <w:rPr>
                <w:color w:val="auto"/>
              </w:rPr>
            </w:pPr>
            <w:r>
              <w:rPr>
                <w:rFonts w:hint="eastAsia"/>
                <w:color w:val="auto"/>
              </w:rPr>
              <w:t>充电区</w:t>
            </w:r>
            <w:r>
              <w:rPr>
                <w:color w:val="auto"/>
              </w:rPr>
              <w:t>单元</w:t>
            </w:r>
          </w:p>
        </w:tc>
        <w:tc>
          <w:tcPr>
            <w:tcW w:w="2890" w:type="dxa"/>
            <w:tcBorders>
              <w:bottom w:val="single" w:color="auto" w:sz="4" w:space="0"/>
            </w:tcBorders>
            <w:noWrap w:val="0"/>
            <w:vAlign w:val="center"/>
          </w:tcPr>
          <w:p>
            <w:pPr>
              <w:pStyle w:val="38"/>
              <w:bidi w:val="0"/>
              <w:rPr>
                <w:color w:val="auto"/>
              </w:rPr>
            </w:pPr>
            <w:r>
              <w:rPr>
                <w:rFonts w:hint="eastAsia"/>
                <w:color w:val="auto"/>
              </w:rPr>
              <w:t>充电</w:t>
            </w:r>
            <w:r>
              <w:rPr>
                <w:color w:val="auto"/>
              </w:rPr>
              <w:t>设备设施</w:t>
            </w:r>
          </w:p>
        </w:tc>
        <w:tc>
          <w:tcPr>
            <w:tcW w:w="3107" w:type="dxa"/>
            <w:tcBorders>
              <w:bottom w:val="single" w:color="auto" w:sz="4" w:space="0"/>
            </w:tcBorders>
            <w:noWrap w:val="0"/>
            <w:vAlign w:val="center"/>
          </w:tcPr>
          <w:p>
            <w:pPr>
              <w:pStyle w:val="38"/>
              <w:bidi w:val="0"/>
              <w:rPr>
                <w:color w:val="auto"/>
              </w:rPr>
            </w:pPr>
            <w:r>
              <w:rPr>
                <w:rFonts w:hint="eastAsia"/>
                <w:color w:val="auto"/>
              </w:rPr>
              <w:t>安全检查表</w:t>
            </w:r>
          </w:p>
          <w:p>
            <w:pPr>
              <w:pStyle w:val="38"/>
              <w:bidi w:val="0"/>
              <w:rPr>
                <w:color w:val="auto"/>
              </w:rPr>
            </w:pPr>
            <w:r>
              <w:rPr>
                <w:color w:val="auto"/>
              </w:rPr>
              <w:t>预先危险性分析</w:t>
            </w:r>
          </w:p>
          <w:p>
            <w:pPr>
              <w:pStyle w:val="38"/>
              <w:bidi w:val="0"/>
              <w:rPr>
                <w:color w:val="auto"/>
              </w:rPr>
            </w:pPr>
            <w:r>
              <w:rPr>
                <w:color w:val="auto"/>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vMerge w:val="continue"/>
            <w:tcBorders>
              <w:bottom w:val="single" w:color="auto" w:sz="4" w:space="0"/>
            </w:tcBorders>
            <w:noWrap w:val="0"/>
            <w:vAlign w:val="center"/>
          </w:tcPr>
          <w:p>
            <w:pPr>
              <w:pStyle w:val="38"/>
              <w:bidi w:val="0"/>
              <w:rPr>
                <w:color w:val="auto"/>
              </w:rPr>
            </w:pPr>
          </w:p>
        </w:tc>
        <w:tc>
          <w:tcPr>
            <w:tcW w:w="2173" w:type="dxa"/>
            <w:vMerge w:val="continue"/>
            <w:tcBorders>
              <w:bottom w:val="single" w:color="auto" w:sz="4" w:space="0"/>
            </w:tcBorders>
            <w:noWrap w:val="0"/>
            <w:vAlign w:val="center"/>
          </w:tcPr>
          <w:p>
            <w:pPr>
              <w:pStyle w:val="38"/>
              <w:bidi w:val="0"/>
              <w:rPr>
                <w:color w:val="auto"/>
              </w:rPr>
            </w:pPr>
          </w:p>
        </w:tc>
        <w:tc>
          <w:tcPr>
            <w:tcW w:w="2890" w:type="dxa"/>
            <w:tcBorders>
              <w:bottom w:val="single" w:color="auto" w:sz="4" w:space="0"/>
            </w:tcBorders>
            <w:noWrap w:val="0"/>
            <w:vAlign w:val="center"/>
          </w:tcPr>
          <w:p>
            <w:pPr>
              <w:pStyle w:val="38"/>
              <w:bidi w:val="0"/>
              <w:rPr>
                <w:rFonts w:hint="eastAsia"/>
                <w:color w:val="auto"/>
                <w:lang w:val="en-US" w:eastAsia="zh-CN"/>
              </w:rPr>
            </w:pPr>
            <w:r>
              <w:rPr>
                <w:rFonts w:hint="eastAsia"/>
                <w:color w:val="auto"/>
              </w:rPr>
              <w:t>充电</w:t>
            </w:r>
            <w:r>
              <w:rPr>
                <w:rFonts w:hint="eastAsia"/>
                <w:color w:val="auto"/>
                <w:lang w:val="en-US" w:eastAsia="zh-CN"/>
              </w:rPr>
              <w:t>作业</w:t>
            </w:r>
          </w:p>
        </w:tc>
        <w:tc>
          <w:tcPr>
            <w:tcW w:w="3107" w:type="dxa"/>
            <w:tcBorders>
              <w:bottom w:val="single" w:color="auto" w:sz="4" w:space="0"/>
            </w:tcBorders>
            <w:noWrap w:val="0"/>
            <w:vAlign w:val="center"/>
          </w:tcPr>
          <w:p>
            <w:pPr>
              <w:pStyle w:val="38"/>
              <w:bidi w:val="0"/>
              <w:rPr>
                <w:color w:val="auto"/>
              </w:rPr>
            </w:pPr>
            <w:r>
              <w:rPr>
                <w:color w:val="auto"/>
              </w:rPr>
              <w:t>预先危险性分析</w:t>
            </w:r>
          </w:p>
          <w:p>
            <w:pPr>
              <w:pStyle w:val="38"/>
              <w:bidi w:val="0"/>
              <w:rPr>
                <w:color w:val="auto"/>
              </w:rPr>
            </w:pPr>
            <w:r>
              <w:rPr>
                <w:color w:val="auto"/>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116" w:type="dxa"/>
            <w:vMerge w:val="restart"/>
            <w:noWrap w:val="0"/>
            <w:vAlign w:val="center"/>
          </w:tcPr>
          <w:p>
            <w:pPr>
              <w:pStyle w:val="38"/>
              <w:bidi w:val="0"/>
              <w:rPr>
                <w:rFonts w:hint="eastAsia"/>
                <w:color w:val="auto"/>
                <w:lang w:eastAsia="zh-CN"/>
              </w:rPr>
            </w:pPr>
            <w:r>
              <w:rPr>
                <w:rFonts w:hint="eastAsia"/>
                <w:color w:val="auto"/>
                <w:lang w:val="en-US" w:eastAsia="zh-CN"/>
              </w:rPr>
              <w:t>2</w:t>
            </w:r>
          </w:p>
        </w:tc>
        <w:tc>
          <w:tcPr>
            <w:tcW w:w="2173" w:type="dxa"/>
            <w:vMerge w:val="restart"/>
            <w:noWrap w:val="0"/>
            <w:vAlign w:val="center"/>
          </w:tcPr>
          <w:p>
            <w:pPr>
              <w:pStyle w:val="38"/>
              <w:bidi w:val="0"/>
              <w:rPr>
                <w:color w:val="auto"/>
              </w:rPr>
            </w:pPr>
            <w:r>
              <w:rPr>
                <w:color w:val="auto"/>
              </w:rPr>
              <w:t>辅助单元</w:t>
            </w:r>
          </w:p>
        </w:tc>
        <w:tc>
          <w:tcPr>
            <w:tcW w:w="2890" w:type="dxa"/>
            <w:noWrap w:val="0"/>
            <w:vAlign w:val="center"/>
          </w:tcPr>
          <w:p>
            <w:pPr>
              <w:pStyle w:val="38"/>
              <w:bidi w:val="0"/>
              <w:rPr>
                <w:rFonts w:hint="eastAsia"/>
                <w:color w:val="auto"/>
                <w:lang w:val="en-US" w:eastAsia="zh-CN"/>
              </w:rPr>
            </w:pPr>
            <w:r>
              <w:rPr>
                <w:color w:val="auto"/>
              </w:rPr>
              <w:t>配电</w:t>
            </w:r>
            <w:r>
              <w:rPr>
                <w:rFonts w:hint="eastAsia"/>
                <w:color w:val="auto"/>
                <w:lang w:val="en-US" w:eastAsia="zh-CN"/>
              </w:rPr>
              <w:t>间</w:t>
            </w:r>
          </w:p>
        </w:tc>
        <w:tc>
          <w:tcPr>
            <w:tcW w:w="3107" w:type="dxa"/>
            <w:vMerge w:val="restart"/>
            <w:noWrap w:val="0"/>
            <w:vAlign w:val="center"/>
          </w:tcPr>
          <w:p>
            <w:pPr>
              <w:pStyle w:val="38"/>
              <w:bidi w:val="0"/>
              <w:rPr>
                <w:color w:val="auto"/>
              </w:rPr>
            </w:pPr>
            <w:r>
              <w:rPr>
                <w:color w:val="auto"/>
              </w:rPr>
              <w:t>预先危险性分析</w:t>
            </w:r>
          </w:p>
          <w:p>
            <w:pPr>
              <w:pStyle w:val="38"/>
              <w:bidi w:val="0"/>
              <w:rPr>
                <w:color w:val="auto"/>
              </w:rPr>
            </w:pPr>
            <w:r>
              <w:rPr>
                <w:color w:val="auto"/>
              </w:rPr>
              <w:t>作业条件危险性评价</w:t>
            </w:r>
          </w:p>
          <w:p>
            <w:pPr>
              <w:pStyle w:val="38"/>
              <w:bidi w:val="0"/>
              <w:rPr>
                <w:color w:val="auto"/>
              </w:rPr>
            </w:pPr>
            <w:r>
              <w:rPr>
                <w:rFonts w:hint="eastAsia"/>
                <w:color w:val="auto"/>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16" w:type="dxa"/>
            <w:vMerge w:val="continue"/>
            <w:tcBorders>
              <w:bottom w:val="single" w:color="auto" w:sz="4" w:space="0"/>
            </w:tcBorders>
            <w:noWrap w:val="0"/>
            <w:vAlign w:val="center"/>
          </w:tcPr>
          <w:p>
            <w:pPr>
              <w:pStyle w:val="38"/>
              <w:bidi w:val="0"/>
              <w:rPr>
                <w:color w:val="auto"/>
              </w:rPr>
            </w:pPr>
          </w:p>
        </w:tc>
        <w:tc>
          <w:tcPr>
            <w:tcW w:w="2173" w:type="dxa"/>
            <w:vMerge w:val="continue"/>
            <w:tcBorders>
              <w:bottom w:val="single" w:color="auto" w:sz="4" w:space="0"/>
            </w:tcBorders>
            <w:noWrap w:val="0"/>
            <w:vAlign w:val="center"/>
          </w:tcPr>
          <w:p>
            <w:pPr>
              <w:pStyle w:val="38"/>
              <w:bidi w:val="0"/>
              <w:rPr>
                <w:color w:val="auto"/>
              </w:rPr>
            </w:pPr>
          </w:p>
        </w:tc>
        <w:tc>
          <w:tcPr>
            <w:tcW w:w="2890" w:type="dxa"/>
            <w:tcBorders>
              <w:bottom w:val="single" w:color="auto" w:sz="4" w:space="0"/>
            </w:tcBorders>
            <w:noWrap w:val="0"/>
            <w:vAlign w:val="center"/>
          </w:tcPr>
          <w:p>
            <w:pPr>
              <w:pStyle w:val="38"/>
              <w:bidi w:val="0"/>
              <w:rPr>
                <w:color w:val="auto"/>
              </w:rPr>
            </w:pPr>
            <w:r>
              <w:rPr>
                <w:rFonts w:hint="eastAsia"/>
                <w:color w:val="auto"/>
                <w:lang w:val="en-US" w:eastAsia="zh-CN"/>
              </w:rPr>
              <w:t>站内</w:t>
            </w:r>
            <w:r>
              <w:rPr>
                <w:color w:val="auto"/>
              </w:rPr>
              <w:t>道路</w:t>
            </w:r>
          </w:p>
        </w:tc>
        <w:tc>
          <w:tcPr>
            <w:tcW w:w="3107" w:type="dxa"/>
            <w:vMerge w:val="continue"/>
            <w:tcBorders>
              <w:bottom w:val="single" w:color="auto" w:sz="4" w:space="0"/>
            </w:tcBorders>
            <w:noWrap w:val="0"/>
            <w:vAlign w:val="center"/>
          </w:tcPr>
          <w:p>
            <w:pPr>
              <w:pStyle w:val="38"/>
              <w:bidi w:val="0"/>
              <w:rPr>
                <w:color w:val="auto"/>
              </w:rPr>
            </w:pPr>
          </w:p>
        </w:tc>
      </w:tr>
    </w:tbl>
    <w:p>
      <w:pPr>
        <w:pStyle w:val="3"/>
        <w:bidi w:val="0"/>
        <w:rPr>
          <w:color w:val="auto"/>
        </w:rPr>
      </w:pPr>
      <w:bookmarkStart w:id="77" w:name="_Toc11246138"/>
      <w:bookmarkStart w:id="78" w:name="_Toc17696"/>
      <w:bookmarkStart w:id="79" w:name="_Toc343692260"/>
      <w:r>
        <w:rPr>
          <w:color w:val="auto"/>
          <w:szCs w:val="30"/>
        </w:rPr>
        <w:t>4.2</w:t>
      </w:r>
      <w:r>
        <w:rPr>
          <w:rFonts w:hint="eastAsia" w:ascii="宋体" w:hAnsi="宋体" w:eastAsia="宋体" w:cs="宋体"/>
          <w:color w:val="auto"/>
          <w:szCs w:val="30"/>
        </w:rPr>
        <w:t>评价方法简介</w:t>
      </w:r>
      <w:bookmarkEnd w:id="77"/>
      <w:bookmarkEnd w:id="78"/>
      <w:bookmarkEnd w:id="79"/>
    </w:p>
    <w:p>
      <w:pPr>
        <w:pStyle w:val="4"/>
        <w:bidi w:val="0"/>
        <w:rPr>
          <w:color w:val="auto"/>
        </w:rPr>
      </w:pPr>
      <w:bookmarkStart w:id="80" w:name="_Toc2626"/>
      <w:r>
        <w:rPr>
          <w:color w:val="auto"/>
        </w:rPr>
        <w:t>4.2.1</w:t>
      </w:r>
      <w:r>
        <w:rPr>
          <w:rFonts w:hint="eastAsia" w:ascii="宋体" w:hAnsi="宋体" w:eastAsia="宋体" w:cs="宋体"/>
          <w:color w:val="auto"/>
        </w:rPr>
        <w:t>安全检查表分析法</w:t>
      </w:r>
      <w:bookmarkEnd w:id="80"/>
    </w:p>
    <w:p>
      <w:pPr>
        <w:wordWrap w:val="0"/>
        <w:adjustRightInd w:val="0"/>
        <w:snapToGrid w:val="0"/>
        <w:spacing w:line="600" w:lineRule="exact"/>
        <w:ind w:firstLine="560" w:firstLineChars="200"/>
        <w:jc w:val="left"/>
        <w:textAlignment w:val="center"/>
        <w:rPr>
          <w:color w:val="auto"/>
          <w:sz w:val="28"/>
          <w:szCs w:val="28"/>
        </w:rPr>
      </w:pPr>
      <w:r>
        <w:rPr>
          <w:color w:val="auto"/>
          <w:sz w:val="28"/>
          <w:szCs w:val="28"/>
        </w:rPr>
        <w:t>安全检查表分析（Safety Checklist Analysis）简称为SCLA，是将一系列分析项目列出检查表进行检查、分析，以确定系统的状态，这些项目可包括设备、设施、工艺、操作、管理等各个方面。安全检查表分析法既可以用于简单的快速分析，也可以用于深层次的细致地分析，是识别已知危险的较为有效的分析方法之一。</w:t>
      </w:r>
    </w:p>
    <w:bookmarkEnd w:id="73"/>
    <w:p>
      <w:pPr>
        <w:pStyle w:val="4"/>
        <w:bidi w:val="0"/>
        <w:rPr>
          <w:rFonts w:hint="default"/>
          <w:color w:val="auto"/>
        </w:rPr>
      </w:pPr>
      <w:bookmarkStart w:id="81" w:name="_Toc4046"/>
      <w:bookmarkStart w:id="82" w:name="_Toc22238"/>
      <w:bookmarkStart w:id="83" w:name="_Toc10862"/>
      <w:bookmarkStart w:id="84" w:name="_Toc14397"/>
      <w:bookmarkStart w:id="85" w:name="_Toc6126"/>
      <w:bookmarkStart w:id="86" w:name="_Toc350517386"/>
      <w:r>
        <w:rPr>
          <w:rFonts w:hint="default"/>
          <w:color w:val="auto"/>
        </w:rPr>
        <w:t>4.2.</w:t>
      </w:r>
      <w:r>
        <w:rPr>
          <w:rFonts w:hint="eastAsia"/>
          <w:color w:val="auto"/>
          <w:lang w:val="en-US" w:eastAsia="zh-CN"/>
        </w:rPr>
        <w:t>2</w:t>
      </w:r>
      <w:r>
        <w:rPr>
          <w:rFonts w:hint="default"/>
          <w:color w:val="auto"/>
        </w:rPr>
        <w:t>预先危险性分析评价（PHA）</w:t>
      </w:r>
      <w:bookmarkEnd w:id="81"/>
      <w:bookmarkEnd w:id="82"/>
      <w:bookmarkEnd w:id="83"/>
      <w:bookmarkEnd w:id="84"/>
    </w:p>
    <w:p>
      <w:pPr>
        <w:pStyle w:val="5"/>
        <w:bidi w:val="0"/>
        <w:rPr>
          <w:rFonts w:hint="default"/>
          <w:color w:val="auto"/>
        </w:rPr>
      </w:pPr>
      <w:r>
        <w:rPr>
          <w:rFonts w:hint="default"/>
          <w:color w:val="auto"/>
        </w:rPr>
        <w:t>4.2.</w:t>
      </w:r>
      <w:r>
        <w:rPr>
          <w:rFonts w:hint="eastAsia"/>
          <w:color w:val="auto"/>
          <w:lang w:val="en-US" w:eastAsia="zh-CN"/>
        </w:rPr>
        <w:t>2</w:t>
      </w:r>
      <w:r>
        <w:rPr>
          <w:rFonts w:hint="default"/>
          <w:color w:val="auto"/>
        </w:rPr>
        <w:t>.1评价方法简介</w:t>
      </w:r>
    </w:p>
    <w:p>
      <w:pPr>
        <w:spacing w:line="58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预先危险性分析（PHA）又称初步危险分析，主要用于对危险物质和装置的主要工艺区域等进行分析，用于分析物料、装置、工艺过程及能量失控时可能出现的危险性类别、条件及可能造成的后果，作宏观的概略分析，其目的是辨识系统中存在的潜在危险，确定其危险等级，防止危险发展成事故。</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其功能主要有：</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1、大体识别与系统有关的主要危险；</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2、鉴别产生危险的原因；</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3、估计事故出现对人体及系统产生的影响；</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4、判定已识别的危险等级，并提出消除或控制危险性的措施。</w:t>
      </w:r>
    </w:p>
    <w:p>
      <w:pPr>
        <w:pStyle w:val="5"/>
        <w:bidi w:val="0"/>
        <w:rPr>
          <w:rFonts w:hint="default"/>
          <w:color w:val="auto"/>
        </w:rPr>
      </w:pPr>
      <w:r>
        <w:rPr>
          <w:rFonts w:hint="default"/>
          <w:color w:val="auto"/>
        </w:rPr>
        <w:t>4.2.</w:t>
      </w:r>
      <w:r>
        <w:rPr>
          <w:rFonts w:hint="eastAsia"/>
          <w:color w:val="auto"/>
          <w:lang w:val="en-US" w:eastAsia="zh-CN"/>
        </w:rPr>
        <w:t>2</w:t>
      </w:r>
      <w:r>
        <w:rPr>
          <w:rFonts w:hint="default"/>
          <w:color w:val="auto"/>
        </w:rPr>
        <w:t>.2分析步骤</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预先危险性分步骤为：</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1、通过经验判断、技术诊断或其他方法调查确定危险源；</w:t>
      </w:r>
    </w:p>
    <w:p>
      <w:pPr>
        <w:spacing w:line="580" w:lineRule="exact"/>
        <w:ind w:firstLine="560" w:firstLineChars="200"/>
        <w:rPr>
          <w:rFonts w:hint="eastAsia" w:ascii="Times New Roman" w:hAnsi="Times New Roman" w:eastAsia="宋体" w:cs="Times New Roman"/>
          <w:color w:val="auto"/>
          <w:sz w:val="28"/>
          <w:lang w:eastAsia="zh-CN"/>
        </w:rPr>
      </w:pPr>
      <w:r>
        <w:rPr>
          <w:rFonts w:hint="default" w:ascii="Times New Roman" w:hAnsi="Times New Roman" w:cs="Times New Roman"/>
          <w:color w:val="auto"/>
          <w:sz w:val="28"/>
        </w:rPr>
        <w:t>2、根据过去的经验教训及同类行业中发生的事故情况，判断能够造成系统故障、物质损失和人员伤害的危险性，分析事故的可能类型</w:t>
      </w:r>
      <w:r>
        <w:rPr>
          <w:rFonts w:hint="eastAsia" w:ascii="Times New Roman" w:hAnsi="Times New Roman" w:cs="Times New Roman"/>
          <w:color w:val="auto"/>
          <w:sz w:val="28"/>
          <w:lang w:eastAsia="zh-CN"/>
        </w:rPr>
        <w:t>；</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3、对确定的危险源，制定预先危险性分析表；</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4、进行危险性分级；</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5、制定对策措施。</w:t>
      </w:r>
    </w:p>
    <w:p>
      <w:pPr>
        <w:pStyle w:val="5"/>
        <w:bidi w:val="0"/>
        <w:rPr>
          <w:rFonts w:hint="default"/>
          <w:color w:val="auto"/>
        </w:rPr>
      </w:pPr>
      <w:r>
        <w:rPr>
          <w:rFonts w:hint="default"/>
          <w:color w:val="auto"/>
        </w:rPr>
        <w:t>4.2.</w:t>
      </w:r>
      <w:r>
        <w:rPr>
          <w:rFonts w:hint="eastAsia"/>
          <w:color w:val="auto"/>
          <w:lang w:val="en-US" w:eastAsia="zh-CN"/>
        </w:rPr>
        <w:t>2</w:t>
      </w:r>
      <w:r>
        <w:rPr>
          <w:rFonts w:hint="default"/>
          <w:color w:val="auto"/>
        </w:rPr>
        <w:t>.3 预先危险性等级划分：</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在分析系统危险性时，为了衡量危险性大小及其对系统破坏性的影响程度，将各类危险性划分为4个等级。等级表见表4</w:t>
      </w:r>
      <w:r>
        <w:rPr>
          <w:rFonts w:hint="eastAsia" w:cs="Times New Roman"/>
          <w:color w:val="auto"/>
          <w:sz w:val="28"/>
          <w:lang w:val="en-US" w:eastAsia="zh-CN"/>
        </w:rPr>
        <w:t>.2</w:t>
      </w:r>
      <w:r>
        <w:rPr>
          <w:rFonts w:hint="default" w:ascii="Times New Roman" w:hAnsi="Times New Roman" w:cs="Times New Roman"/>
          <w:color w:val="auto"/>
          <w:sz w:val="28"/>
        </w:rPr>
        <w:t>-</w:t>
      </w:r>
      <w:r>
        <w:rPr>
          <w:rFonts w:hint="eastAsia" w:cs="Times New Roman"/>
          <w:color w:val="auto"/>
          <w:sz w:val="28"/>
          <w:lang w:val="en-US" w:eastAsia="zh-CN"/>
        </w:rPr>
        <w:t>1</w:t>
      </w:r>
      <w:r>
        <w:rPr>
          <w:rFonts w:hint="default" w:ascii="Times New Roman" w:hAnsi="Times New Roman" w:cs="Times New Roman"/>
          <w:color w:val="auto"/>
          <w:sz w:val="28"/>
        </w:rPr>
        <w:t>。</w:t>
      </w:r>
    </w:p>
    <w:p>
      <w:pPr>
        <w:pStyle w:val="43"/>
        <w:bidi w:val="0"/>
        <w:rPr>
          <w:rFonts w:hint="default"/>
          <w:color w:val="auto"/>
        </w:rPr>
      </w:pPr>
      <w:r>
        <w:rPr>
          <w:rFonts w:hint="default"/>
          <w:color w:val="auto"/>
        </w:rPr>
        <w:t>表4</w:t>
      </w:r>
      <w:r>
        <w:rPr>
          <w:rFonts w:hint="eastAsia"/>
          <w:color w:val="auto"/>
          <w:lang w:val="en-US" w:eastAsia="zh-CN"/>
        </w:rPr>
        <w:t>.2</w:t>
      </w:r>
      <w:r>
        <w:rPr>
          <w:rFonts w:hint="default"/>
          <w:color w:val="auto"/>
        </w:rPr>
        <w:t>-</w:t>
      </w:r>
      <w:r>
        <w:rPr>
          <w:rFonts w:hint="eastAsia"/>
          <w:color w:val="auto"/>
          <w:lang w:val="en-US" w:eastAsia="zh-CN"/>
        </w:rPr>
        <w:t>1</w:t>
      </w:r>
      <w:r>
        <w:rPr>
          <w:rFonts w:hint="default"/>
          <w:color w:val="auto"/>
        </w:rPr>
        <w:t xml:space="preserve"> 危险等级划分表</w:t>
      </w:r>
    </w:p>
    <w:tbl>
      <w:tblPr>
        <w:tblStyle w:val="29"/>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2"/>
        <w:gridCol w:w="1267"/>
        <w:gridCol w:w="7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52" w:type="dxa"/>
            <w:noWrap w:val="0"/>
            <w:vAlign w:val="center"/>
          </w:tcPr>
          <w:p>
            <w:pPr>
              <w:pStyle w:val="38"/>
              <w:bidi w:val="0"/>
              <w:rPr>
                <w:rFonts w:hint="default"/>
                <w:color w:val="auto"/>
              </w:rPr>
            </w:pPr>
            <w:r>
              <w:rPr>
                <w:rFonts w:hint="default"/>
                <w:color w:val="auto"/>
              </w:rPr>
              <w:t>级别</w:t>
            </w:r>
          </w:p>
        </w:tc>
        <w:tc>
          <w:tcPr>
            <w:tcW w:w="1267" w:type="dxa"/>
            <w:noWrap w:val="0"/>
            <w:vAlign w:val="center"/>
          </w:tcPr>
          <w:p>
            <w:pPr>
              <w:pStyle w:val="38"/>
              <w:bidi w:val="0"/>
              <w:rPr>
                <w:rFonts w:hint="default"/>
                <w:color w:val="auto"/>
              </w:rPr>
            </w:pPr>
            <w:r>
              <w:rPr>
                <w:rFonts w:hint="default"/>
                <w:color w:val="auto"/>
              </w:rPr>
              <w:t>危险程度</w:t>
            </w:r>
          </w:p>
        </w:tc>
        <w:tc>
          <w:tcPr>
            <w:tcW w:w="7439" w:type="dxa"/>
            <w:noWrap w:val="0"/>
            <w:vAlign w:val="center"/>
          </w:tcPr>
          <w:p>
            <w:pPr>
              <w:pStyle w:val="38"/>
              <w:bidi w:val="0"/>
              <w:rPr>
                <w:rFonts w:hint="default"/>
                <w:color w:val="auto"/>
              </w:rPr>
            </w:pPr>
            <w:r>
              <w:rPr>
                <w:rFonts w:hint="default"/>
                <w:color w:val="auto"/>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52" w:type="dxa"/>
            <w:noWrap w:val="0"/>
            <w:vAlign w:val="center"/>
          </w:tcPr>
          <w:p>
            <w:pPr>
              <w:pStyle w:val="38"/>
              <w:bidi w:val="0"/>
              <w:rPr>
                <w:rFonts w:hint="default"/>
                <w:color w:val="auto"/>
              </w:rPr>
            </w:pPr>
            <w:r>
              <w:rPr>
                <w:rFonts w:hint="default"/>
                <w:color w:val="auto"/>
              </w:rPr>
              <w:t>Ⅰ</w:t>
            </w:r>
          </w:p>
        </w:tc>
        <w:tc>
          <w:tcPr>
            <w:tcW w:w="1267" w:type="dxa"/>
            <w:noWrap w:val="0"/>
            <w:vAlign w:val="center"/>
          </w:tcPr>
          <w:p>
            <w:pPr>
              <w:pStyle w:val="38"/>
              <w:bidi w:val="0"/>
              <w:rPr>
                <w:rFonts w:hint="default"/>
                <w:color w:val="auto"/>
              </w:rPr>
            </w:pPr>
            <w:r>
              <w:rPr>
                <w:rFonts w:hint="default"/>
                <w:color w:val="auto"/>
              </w:rPr>
              <w:t>安全的</w:t>
            </w:r>
          </w:p>
        </w:tc>
        <w:tc>
          <w:tcPr>
            <w:tcW w:w="7439" w:type="dxa"/>
            <w:noWrap w:val="0"/>
            <w:vAlign w:val="center"/>
          </w:tcPr>
          <w:p>
            <w:pPr>
              <w:pStyle w:val="38"/>
              <w:bidi w:val="0"/>
              <w:rPr>
                <w:rFonts w:hint="default"/>
                <w:color w:val="auto"/>
              </w:rPr>
            </w:pPr>
            <w:r>
              <w:rPr>
                <w:rFonts w:hint="default"/>
                <w:color w:val="auto"/>
              </w:rPr>
              <w:t>不会造成人员伤亡及系统损坏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52" w:type="dxa"/>
            <w:noWrap w:val="0"/>
            <w:vAlign w:val="center"/>
          </w:tcPr>
          <w:p>
            <w:pPr>
              <w:pStyle w:val="38"/>
              <w:bidi w:val="0"/>
              <w:rPr>
                <w:rFonts w:hint="default"/>
                <w:color w:val="auto"/>
              </w:rPr>
            </w:pPr>
            <w:r>
              <w:rPr>
                <w:rFonts w:hint="default"/>
                <w:color w:val="auto"/>
              </w:rPr>
              <w:t>Ⅱ</w:t>
            </w:r>
          </w:p>
        </w:tc>
        <w:tc>
          <w:tcPr>
            <w:tcW w:w="1267" w:type="dxa"/>
            <w:noWrap w:val="0"/>
            <w:vAlign w:val="center"/>
          </w:tcPr>
          <w:p>
            <w:pPr>
              <w:pStyle w:val="38"/>
              <w:bidi w:val="0"/>
              <w:rPr>
                <w:rFonts w:hint="default"/>
                <w:color w:val="auto"/>
              </w:rPr>
            </w:pPr>
            <w:r>
              <w:rPr>
                <w:rFonts w:hint="default"/>
                <w:color w:val="auto"/>
              </w:rPr>
              <w:t>临界的</w:t>
            </w:r>
          </w:p>
        </w:tc>
        <w:tc>
          <w:tcPr>
            <w:tcW w:w="7439" w:type="dxa"/>
            <w:noWrap w:val="0"/>
            <w:vAlign w:val="center"/>
          </w:tcPr>
          <w:p>
            <w:pPr>
              <w:pStyle w:val="38"/>
              <w:bidi w:val="0"/>
              <w:rPr>
                <w:rFonts w:hint="default"/>
                <w:color w:val="auto"/>
              </w:rPr>
            </w:pPr>
            <w:r>
              <w:rPr>
                <w:rFonts w:hint="default"/>
                <w:color w:val="auto"/>
              </w:rPr>
              <w:t>处于事故的边缘状态，暂时还不致于造成人员伤亡、系统损坏或降低系统性能，但应予以排除或采取控制措施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52" w:type="dxa"/>
            <w:noWrap w:val="0"/>
            <w:vAlign w:val="center"/>
          </w:tcPr>
          <w:p>
            <w:pPr>
              <w:pStyle w:val="38"/>
              <w:bidi w:val="0"/>
              <w:rPr>
                <w:rFonts w:hint="default"/>
                <w:color w:val="auto"/>
              </w:rPr>
            </w:pPr>
            <w:r>
              <w:rPr>
                <w:rFonts w:hint="default"/>
                <w:color w:val="auto"/>
              </w:rPr>
              <w:t>Ⅲ</w:t>
            </w:r>
          </w:p>
        </w:tc>
        <w:tc>
          <w:tcPr>
            <w:tcW w:w="1267" w:type="dxa"/>
            <w:noWrap w:val="0"/>
            <w:vAlign w:val="center"/>
          </w:tcPr>
          <w:p>
            <w:pPr>
              <w:pStyle w:val="38"/>
              <w:bidi w:val="0"/>
              <w:rPr>
                <w:rFonts w:hint="default"/>
                <w:color w:val="auto"/>
              </w:rPr>
            </w:pPr>
            <w:r>
              <w:rPr>
                <w:rFonts w:hint="default"/>
                <w:color w:val="auto"/>
              </w:rPr>
              <w:t>危险的</w:t>
            </w:r>
          </w:p>
        </w:tc>
        <w:tc>
          <w:tcPr>
            <w:tcW w:w="7439" w:type="dxa"/>
            <w:noWrap w:val="0"/>
            <w:vAlign w:val="center"/>
          </w:tcPr>
          <w:p>
            <w:pPr>
              <w:pStyle w:val="38"/>
              <w:bidi w:val="0"/>
              <w:rPr>
                <w:rFonts w:hint="default"/>
                <w:color w:val="auto"/>
              </w:rPr>
            </w:pPr>
            <w:r>
              <w:rPr>
                <w:rFonts w:hint="default"/>
                <w:color w:val="auto"/>
              </w:rPr>
              <w:t>会造成人员伤亡及系统损坏，要立即采取防范对策措施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652" w:type="dxa"/>
            <w:noWrap w:val="0"/>
            <w:vAlign w:val="center"/>
          </w:tcPr>
          <w:p>
            <w:pPr>
              <w:pStyle w:val="38"/>
              <w:bidi w:val="0"/>
              <w:rPr>
                <w:rFonts w:hint="default"/>
                <w:color w:val="auto"/>
              </w:rPr>
            </w:pPr>
            <w:r>
              <w:rPr>
                <w:rFonts w:hint="default"/>
                <w:color w:val="auto"/>
              </w:rPr>
              <w:t>Ⅳ</w:t>
            </w:r>
          </w:p>
        </w:tc>
        <w:tc>
          <w:tcPr>
            <w:tcW w:w="1267" w:type="dxa"/>
            <w:noWrap w:val="0"/>
            <w:vAlign w:val="center"/>
          </w:tcPr>
          <w:p>
            <w:pPr>
              <w:pStyle w:val="38"/>
              <w:bidi w:val="0"/>
              <w:rPr>
                <w:rFonts w:hint="default"/>
                <w:color w:val="auto"/>
              </w:rPr>
            </w:pPr>
            <w:r>
              <w:rPr>
                <w:rFonts w:hint="default"/>
                <w:color w:val="auto"/>
              </w:rPr>
              <w:t>灾难性的</w:t>
            </w:r>
          </w:p>
        </w:tc>
        <w:tc>
          <w:tcPr>
            <w:tcW w:w="7439" w:type="dxa"/>
            <w:noWrap w:val="0"/>
            <w:vAlign w:val="center"/>
          </w:tcPr>
          <w:p>
            <w:pPr>
              <w:pStyle w:val="38"/>
              <w:bidi w:val="0"/>
              <w:rPr>
                <w:rFonts w:hint="default"/>
                <w:color w:val="auto"/>
              </w:rPr>
            </w:pPr>
            <w:r>
              <w:rPr>
                <w:rFonts w:hint="default"/>
                <w:color w:val="auto"/>
              </w:rPr>
              <w:t>造成人员重大伤亡及系统严重破坏的灾难性事故，必须予以果断排除并进行重点防范</w:t>
            </w:r>
          </w:p>
        </w:tc>
      </w:tr>
    </w:tbl>
    <w:p>
      <w:pPr>
        <w:pStyle w:val="4"/>
        <w:rPr>
          <w:color w:val="auto"/>
        </w:rPr>
      </w:pPr>
      <w:bookmarkStart w:id="87" w:name="_Toc6972"/>
      <w:bookmarkStart w:id="88" w:name="_Toc14529"/>
      <w:bookmarkStart w:id="89" w:name="_Toc17552"/>
      <w:r>
        <w:rPr>
          <w:color w:val="auto"/>
        </w:rPr>
        <w:t>4.</w:t>
      </w:r>
      <w:r>
        <w:rPr>
          <w:rFonts w:hint="eastAsia"/>
          <w:color w:val="auto"/>
          <w:lang w:val="en-US" w:eastAsia="zh-CN"/>
        </w:rPr>
        <w:t>2</w:t>
      </w:r>
      <w:r>
        <w:rPr>
          <w:color w:val="auto"/>
        </w:rPr>
        <w:t>.</w:t>
      </w:r>
      <w:r>
        <w:rPr>
          <w:rFonts w:hint="eastAsia"/>
          <w:color w:val="auto"/>
        </w:rPr>
        <w:t>3</w:t>
      </w:r>
      <w:bookmarkStart w:id="90" w:name="_Toc20773"/>
      <w:r>
        <w:rPr>
          <w:color w:val="auto"/>
        </w:rPr>
        <w:t>作业条件危险性评价法</w:t>
      </w:r>
      <w:bookmarkEnd w:id="87"/>
      <w:bookmarkEnd w:id="88"/>
      <w:bookmarkEnd w:id="89"/>
      <w:bookmarkEnd w:id="90"/>
    </w:p>
    <w:p>
      <w:pPr>
        <w:spacing w:line="600" w:lineRule="exact"/>
        <w:rPr>
          <w:b/>
          <w:color w:val="auto"/>
          <w:sz w:val="28"/>
        </w:rPr>
      </w:pPr>
      <w:r>
        <w:rPr>
          <w:rFonts w:hint="eastAsia"/>
          <w:b/>
          <w:color w:val="auto"/>
          <w:sz w:val="28"/>
        </w:rPr>
        <w:t xml:space="preserve">    </w:t>
      </w:r>
      <w:r>
        <w:rPr>
          <w:b/>
          <w:color w:val="auto"/>
          <w:sz w:val="28"/>
        </w:rPr>
        <w:t>1</w:t>
      </w:r>
      <w:r>
        <w:rPr>
          <w:rFonts w:hint="eastAsia"/>
          <w:b/>
          <w:color w:val="auto"/>
          <w:sz w:val="28"/>
        </w:rPr>
        <w:t>、</w:t>
      </w:r>
      <w:r>
        <w:rPr>
          <w:b/>
          <w:color w:val="auto"/>
          <w:sz w:val="28"/>
        </w:rPr>
        <w:t>评价方法简介</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color w:val="auto"/>
          <w:sz w:val="28"/>
        </w:rPr>
      </w:pPr>
      <w:r>
        <w:rPr>
          <w:color w:val="auto"/>
          <w:sz w:val="28"/>
        </w:rPr>
        <w:t>作业条件危险性评价法是一种简单易行的评价操作人员在具有潜在危险性环境中作业时的危险性的半定量评价方法。</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color w:val="auto"/>
          <w:sz w:val="28"/>
        </w:rPr>
      </w:pPr>
      <w:r>
        <w:rPr>
          <w:color w:val="auto"/>
          <w:sz w:val="28"/>
        </w:rPr>
        <w:t>作业条件危险性评价法用与系统风险有关的三种因素指标值之积来评价操作人员伤亡风险大小，这三种因素是L：事故发生的可能性；E：人员暴露于危险环境中的频繁程度；C：一旦发生事故可能造成的后果。给三种因素的不同等级分别确定不同的分值，再以三个分值的乘积D来评价作业条件危险性的大小。即：D＝L×E×C。</w:t>
      </w:r>
    </w:p>
    <w:p>
      <w:pPr>
        <w:spacing w:line="600" w:lineRule="exact"/>
        <w:rPr>
          <w:b/>
          <w:bCs/>
          <w:color w:val="auto"/>
          <w:sz w:val="28"/>
        </w:rPr>
      </w:pPr>
      <w:r>
        <w:rPr>
          <w:rFonts w:hint="eastAsia"/>
          <w:b/>
          <w:bCs/>
          <w:color w:val="auto"/>
          <w:sz w:val="28"/>
        </w:rPr>
        <w:t xml:space="preserve">    </w:t>
      </w:r>
      <w:r>
        <w:rPr>
          <w:b/>
          <w:bCs/>
          <w:color w:val="auto"/>
          <w:sz w:val="28"/>
        </w:rPr>
        <w:t>2</w:t>
      </w:r>
      <w:r>
        <w:rPr>
          <w:rFonts w:hint="eastAsia"/>
          <w:b/>
          <w:bCs/>
          <w:color w:val="auto"/>
          <w:sz w:val="28"/>
        </w:rPr>
        <w:t>、</w:t>
      </w:r>
      <w:r>
        <w:rPr>
          <w:b/>
          <w:bCs/>
          <w:color w:val="auto"/>
          <w:sz w:val="28"/>
        </w:rPr>
        <w:t>评价步骤</w:t>
      </w:r>
    </w:p>
    <w:p>
      <w:pPr>
        <w:spacing w:line="600" w:lineRule="exact"/>
        <w:ind w:firstLine="560" w:firstLineChars="200"/>
        <w:rPr>
          <w:color w:val="auto"/>
          <w:sz w:val="28"/>
        </w:rPr>
      </w:pPr>
      <w:r>
        <w:rPr>
          <w:rFonts w:hint="eastAsia"/>
          <w:color w:val="auto"/>
          <w:sz w:val="28"/>
        </w:rPr>
        <w:t>（1）</w:t>
      </w:r>
      <w:r>
        <w:rPr>
          <w:color w:val="auto"/>
          <w:sz w:val="28"/>
        </w:rPr>
        <w:t>以类比作业条件比较为基础，由熟悉作业条件的人员组成评价小组；</w:t>
      </w:r>
    </w:p>
    <w:p>
      <w:pPr>
        <w:spacing w:line="600" w:lineRule="exact"/>
        <w:ind w:firstLine="560" w:firstLineChars="200"/>
        <w:rPr>
          <w:color w:val="auto"/>
          <w:spacing w:val="-10"/>
          <w:sz w:val="28"/>
        </w:rPr>
      </w:pPr>
      <w:r>
        <w:rPr>
          <w:rFonts w:hint="eastAsia"/>
          <w:color w:val="auto"/>
          <w:sz w:val="28"/>
        </w:rPr>
        <w:t>（2）</w:t>
      </w:r>
      <w:r>
        <w:rPr>
          <w:color w:val="auto"/>
          <w:spacing w:val="-10"/>
          <w:sz w:val="28"/>
        </w:rPr>
        <w:t>由评价小组成员按照标准给L、E、C分别打分，取各组的平均值作为L、E、C的计算分值，用计算的危险性分值D来评价作业条件的危险性等级。</w:t>
      </w:r>
    </w:p>
    <w:p>
      <w:pPr>
        <w:spacing w:line="600" w:lineRule="exact"/>
        <w:rPr>
          <w:b/>
          <w:color w:val="auto"/>
          <w:sz w:val="28"/>
        </w:rPr>
      </w:pPr>
      <w:r>
        <w:rPr>
          <w:rFonts w:hint="eastAsia"/>
          <w:b/>
          <w:color w:val="auto"/>
          <w:sz w:val="28"/>
        </w:rPr>
        <w:t xml:space="preserve">    </w:t>
      </w:r>
      <w:r>
        <w:rPr>
          <w:b/>
          <w:color w:val="auto"/>
          <w:sz w:val="28"/>
        </w:rPr>
        <w:t>3</w:t>
      </w:r>
      <w:r>
        <w:rPr>
          <w:rFonts w:hint="eastAsia"/>
          <w:b/>
          <w:color w:val="auto"/>
          <w:sz w:val="28"/>
        </w:rPr>
        <w:t>、</w:t>
      </w:r>
      <w:r>
        <w:rPr>
          <w:b/>
          <w:color w:val="auto"/>
          <w:sz w:val="28"/>
        </w:rPr>
        <w:t>赋分标准</w:t>
      </w:r>
    </w:p>
    <w:p>
      <w:pPr>
        <w:spacing w:line="600" w:lineRule="exact"/>
        <w:ind w:firstLine="560" w:firstLineChars="200"/>
        <w:rPr>
          <w:color w:val="auto"/>
          <w:sz w:val="28"/>
        </w:rPr>
      </w:pPr>
      <w:r>
        <w:rPr>
          <w:rFonts w:hint="eastAsia"/>
          <w:color w:val="auto"/>
          <w:sz w:val="28"/>
        </w:rPr>
        <w:t>（1）</w:t>
      </w:r>
      <w:r>
        <w:rPr>
          <w:color w:val="auto"/>
          <w:sz w:val="28"/>
        </w:rPr>
        <w:t>事故发生的可能性（L）</w:t>
      </w:r>
    </w:p>
    <w:p>
      <w:pPr>
        <w:spacing w:line="600" w:lineRule="exact"/>
        <w:ind w:firstLine="560" w:firstLineChars="200"/>
        <w:rPr>
          <w:b/>
          <w:bCs/>
          <w:color w:val="auto"/>
          <w:sz w:val="28"/>
        </w:rPr>
      </w:pPr>
      <w:r>
        <w:rPr>
          <w:color w:val="auto"/>
          <w:sz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w:t>
      </w:r>
      <w:r>
        <w:rPr>
          <w:rFonts w:hint="eastAsia"/>
          <w:color w:val="auto"/>
          <w:sz w:val="28"/>
          <w:lang w:val="en-US" w:eastAsia="zh-CN"/>
        </w:rPr>
        <w:t>.2</w:t>
      </w:r>
      <w:r>
        <w:rPr>
          <w:color w:val="auto"/>
          <w:sz w:val="28"/>
        </w:rPr>
        <w:t>-</w:t>
      </w:r>
      <w:r>
        <w:rPr>
          <w:rFonts w:hint="eastAsia"/>
          <w:color w:val="auto"/>
          <w:sz w:val="28"/>
          <w:lang w:val="en-US" w:eastAsia="zh-CN"/>
        </w:rPr>
        <w:t>2</w:t>
      </w:r>
      <w:r>
        <w:rPr>
          <w:color w:val="auto"/>
          <w:sz w:val="28"/>
        </w:rPr>
        <w:t>。</w:t>
      </w:r>
    </w:p>
    <w:p>
      <w:pPr>
        <w:pStyle w:val="43"/>
        <w:bidi w:val="0"/>
        <w:rPr>
          <w:color w:val="auto"/>
        </w:rPr>
      </w:pPr>
      <w:r>
        <w:rPr>
          <w:color w:val="auto"/>
        </w:rPr>
        <w:t>表4</w:t>
      </w:r>
      <w:r>
        <w:rPr>
          <w:rFonts w:hint="eastAsia"/>
          <w:color w:val="auto"/>
          <w:lang w:val="en-US" w:eastAsia="zh-CN"/>
        </w:rPr>
        <w:t>.2</w:t>
      </w:r>
      <w:r>
        <w:rPr>
          <w:color w:val="auto"/>
        </w:rPr>
        <w:t>-</w:t>
      </w:r>
      <w:r>
        <w:rPr>
          <w:rFonts w:hint="eastAsia"/>
          <w:color w:val="auto"/>
          <w:lang w:val="en-US" w:eastAsia="zh-CN"/>
        </w:rPr>
        <w:t>2</w:t>
      </w:r>
      <w:r>
        <w:rPr>
          <w:color w:val="auto"/>
        </w:rPr>
        <w:t xml:space="preserve">  事故发生的可能性（L）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3395"/>
        <w:gridCol w:w="1131"/>
        <w:gridCol w:w="3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exact"/>
        </w:trPr>
        <w:tc>
          <w:tcPr>
            <w:tcW w:w="1235" w:type="dxa"/>
            <w:noWrap w:val="0"/>
            <w:vAlign w:val="center"/>
          </w:tcPr>
          <w:p>
            <w:pPr>
              <w:pStyle w:val="38"/>
              <w:bidi w:val="0"/>
              <w:rPr>
                <w:color w:val="auto"/>
              </w:rPr>
            </w:pPr>
            <w:r>
              <w:rPr>
                <w:color w:val="auto"/>
              </w:rPr>
              <w:t>分数值</w:t>
            </w:r>
          </w:p>
        </w:tc>
        <w:tc>
          <w:tcPr>
            <w:tcW w:w="3395" w:type="dxa"/>
            <w:noWrap w:val="0"/>
            <w:vAlign w:val="center"/>
          </w:tcPr>
          <w:p>
            <w:pPr>
              <w:pStyle w:val="38"/>
              <w:bidi w:val="0"/>
              <w:rPr>
                <w:color w:val="auto"/>
              </w:rPr>
            </w:pPr>
            <w:r>
              <w:rPr>
                <w:color w:val="auto"/>
              </w:rPr>
              <w:t>事故发生的可能性</w:t>
            </w:r>
          </w:p>
        </w:tc>
        <w:tc>
          <w:tcPr>
            <w:tcW w:w="1131" w:type="dxa"/>
            <w:noWrap w:val="0"/>
            <w:vAlign w:val="center"/>
          </w:tcPr>
          <w:p>
            <w:pPr>
              <w:pStyle w:val="38"/>
              <w:bidi w:val="0"/>
              <w:rPr>
                <w:color w:val="auto"/>
              </w:rPr>
            </w:pPr>
            <w:r>
              <w:rPr>
                <w:color w:val="auto"/>
              </w:rPr>
              <w:t>分数值</w:t>
            </w:r>
          </w:p>
        </w:tc>
        <w:tc>
          <w:tcPr>
            <w:tcW w:w="3499" w:type="dxa"/>
            <w:noWrap w:val="0"/>
            <w:vAlign w:val="center"/>
          </w:tcPr>
          <w:p>
            <w:pPr>
              <w:pStyle w:val="38"/>
              <w:bidi w:val="0"/>
              <w:rPr>
                <w:color w:val="auto"/>
              </w:rPr>
            </w:pPr>
            <w:r>
              <w:rPr>
                <w:color w:val="auto"/>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trPr>
        <w:tc>
          <w:tcPr>
            <w:tcW w:w="1235" w:type="dxa"/>
            <w:noWrap w:val="0"/>
            <w:vAlign w:val="center"/>
          </w:tcPr>
          <w:p>
            <w:pPr>
              <w:pStyle w:val="38"/>
              <w:bidi w:val="0"/>
              <w:rPr>
                <w:color w:val="auto"/>
              </w:rPr>
            </w:pPr>
            <w:r>
              <w:rPr>
                <w:color w:val="auto"/>
              </w:rPr>
              <w:t>10</w:t>
            </w:r>
          </w:p>
        </w:tc>
        <w:tc>
          <w:tcPr>
            <w:tcW w:w="3395" w:type="dxa"/>
            <w:noWrap w:val="0"/>
            <w:vAlign w:val="center"/>
          </w:tcPr>
          <w:p>
            <w:pPr>
              <w:pStyle w:val="38"/>
              <w:bidi w:val="0"/>
              <w:rPr>
                <w:color w:val="auto"/>
              </w:rPr>
            </w:pPr>
            <w:r>
              <w:rPr>
                <w:color w:val="auto"/>
              </w:rPr>
              <w:t>完全可以预料到</w:t>
            </w:r>
          </w:p>
        </w:tc>
        <w:tc>
          <w:tcPr>
            <w:tcW w:w="1131" w:type="dxa"/>
            <w:noWrap w:val="0"/>
            <w:vAlign w:val="center"/>
          </w:tcPr>
          <w:p>
            <w:pPr>
              <w:pStyle w:val="38"/>
              <w:bidi w:val="0"/>
              <w:rPr>
                <w:color w:val="auto"/>
              </w:rPr>
            </w:pPr>
            <w:r>
              <w:rPr>
                <w:color w:val="auto"/>
              </w:rPr>
              <w:t>0.5</w:t>
            </w:r>
          </w:p>
        </w:tc>
        <w:tc>
          <w:tcPr>
            <w:tcW w:w="3499" w:type="dxa"/>
            <w:noWrap w:val="0"/>
            <w:vAlign w:val="center"/>
          </w:tcPr>
          <w:p>
            <w:pPr>
              <w:pStyle w:val="38"/>
              <w:bidi w:val="0"/>
              <w:rPr>
                <w:color w:val="auto"/>
              </w:rPr>
            </w:pPr>
            <w:r>
              <w:rPr>
                <w:color w:val="auto"/>
              </w:rPr>
              <w:t>极不可能，可以设想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trPr>
        <w:tc>
          <w:tcPr>
            <w:tcW w:w="1235" w:type="dxa"/>
            <w:noWrap w:val="0"/>
            <w:vAlign w:val="center"/>
          </w:tcPr>
          <w:p>
            <w:pPr>
              <w:pStyle w:val="38"/>
              <w:bidi w:val="0"/>
              <w:rPr>
                <w:color w:val="auto"/>
              </w:rPr>
            </w:pPr>
            <w:r>
              <w:rPr>
                <w:color w:val="auto"/>
              </w:rPr>
              <w:t>5</w:t>
            </w:r>
          </w:p>
        </w:tc>
        <w:tc>
          <w:tcPr>
            <w:tcW w:w="3395" w:type="dxa"/>
            <w:noWrap w:val="0"/>
            <w:vAlign w:val="center"/>
          </w:tcPr>
          <w:p>
            <w:pPr>
              <w:pStyle w:val="38"/>
              <w:bidi w:val="0"/>
              <w:rPr>
                <w:color w:val="auto"/>
              </w:rPr>
            </w:pPr>
            <w:r>
              <w:rPr>
                <w:color w:val="auto"/>
              </w:rPr>
              <w:t>相当可能</w:t>
            </w:r>
          </w:p>
        </w:tc>
        <w:tc>
          <w:tcPr>
            <w:tcW w:w="1131" w:type="dxa"/>
            <w:noWrap w:val="0"/>
            <w:vAlign w:val="center"/>
          </w:tcPr>
          <w:p>
            <w:pPr>
              <w:pStyle w:val="38"/>
              <w:bidi w:val="0"/>
              <w:rPr>
                <w:color w:val="auto"/>
              </w:rPr>
            </w:pPr>
            <w:r>
              <w:rPr>
                <w:color w:val="auto"/>
              </w:rPr>
              <w:t>0.2</w:t>
            </w:r>
          </w:p>
        </w:tc>
        <w:tc>
          <w:tcPr>
            <w:tcW w:w="3499" w:type="dxa"/>
            <w:noWrap w:val="0"/>
            <w:vAlign w:val="center"/>
          </w:tcPr>
          <w:p>
            <w:pPr>
              <w:pStyle w:val="38"/>
              <w:bidi w:val="0"/>
              <w:rPr>
                <w:color w:val="auto"/>
              </w:rPr>
            </w:pPr>
            <w:r>
              <w:rPr>
                <w:color w:val="auto"/>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exact"/>
        </w:trPr>
        <w:tc>
          <w:tcPr>
            <w:tcW w:w="1235" w:type="dxa"/>
            <w:noWrap w:val="0"/>
            <w:vAlign w:val="center"/>
          </w:tcPr>
          <w:p>
            <w:pPr>
              <w:pStyle w:val="38"/>
              <w:bidi w:val="0"/>
              <w:rPr>
                <w:color w:val="auto"/>
              </w:rPr>
            </w:pPr>
            <w:r>
              <w:rPr>
                <w:color w:val="auto"/>
              </w:rPr>
              <w:t>3</w:t>
            </w:r>
          </w:p>
        </w:tc>
        <w:tc>
          <w:tcPr>
            <w:tcW w:w="3395" w:type="dxa"/>
            <w:noWrap w:val="0"/>
            <w:vAlign w:val="center"/>
          </w:tcPr>
          <w:p>
            <w:pPr>
              <w:pStyle w:val="38"/>
              <w:bidi w:val="0"/>
              <w:rPr>
                <w:color w:val="auto"/>
              </w:rPr>
            </w:pPr>
            <w:r>
              <w:rPr>
                <w:color w:val="auto"/>
              </w:rPr>
              <w:t>可能，但不经常</w:t>
            </w:r>
          </w:p>
        </w:tc>
        <w:tc>
          <w:tcPr>
            <w:tcW w:w="1131" w:type="dxa"/>
            <w:noWrap w:val="0"/>
            <w:vAlign w:val="center"/>
          </w:tcPr>
          <w:p>
            <w:pPr>
              <w:pStyle w:val="38"/>
              <w:bidi w:val="0"/>
              <w:rPr>
                <w:color w:val="auto"/>
              </w:rPr>
            </w:pPr>
            <w:r>
              <w:rPr>
                <w:color w:val="auto"/>
              </w:rPr>
              <w:t>0.1</w:t>
            </w:r>
          </w:p>
        </w:tc>
        <w:tc>
          <w:tcPr>
            <w:tcW w:w="3499" w:type="dxa"/>
            <w:noWrap w:val="0"/>
            <w:vAlign w:val="center"/>
          </w:tcPr>
          <w:p>
            <w:pPr>
              <w:pStyle w:val="38"/>
              <w:bidi w:val="0"/>
              <w:rPr>
                <w:color w:val="auto"/>
              </w:rPr>
            </w:pPr>
            <w:r>
              <w:rPr>
                <w:color w:val="auto"/>
              </w:rPr>
              <w:t>实际不可能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exact"/>
        </w:trPr>
        <w:tc>
          <w:tcPr>
            <w:tcW w:w="1235" w:type="dxa"/>
            <w:noWrap w:val="0"/>
            <w:vAlign w:val="center"/>
          </w:tcPr>
          <w:p>
            <w:pPr>
              <w:pStyle w:val="38"/>
              <w:bidi w:val="0"/>
              <w:rPr>
                <w:color w:val="auto"/>
              </w:rPr>
            </w:pPr>
            <w:r>
              <w:rPr>
                <w:color w:val="auto"/>
              </w:rPr>
              <w:t>1</w:t>
            </w:r>
          </w:p>
        </w:tc>
        <w:tc>
          <w:tcPr>
            <w:tcW w:w="3395" w:type="dxa"/>
            <w:noWrap w:val="0"/>
            <w:vAlign w:val="center"/>
          </w:tcPr>
          <w:p>
            <w:pPr>
              <w:pStyle w:val="38"/>
              <w:bidi w:val="0"/>
              <w:rPr>
                <w:color w:val="auto"/>
              </w:rPr>
            </w:pPr>
            <w:r>
              <w:rPr>
                <w:color w:val="auto"/>
              </w:rPr>
              <w:t>可能性小，完全意外</w:t>
            </w:r>
          </w:p>
        </w:tc>
        <w:tc>
          <w:tcPr>
            <w:tcW w:w="1131" w:type="dxa"/>
            <w:noWrap w:val="0"/>
            <w:vAlign w:val="center"/>
          </w:tcPr>
          <w:p>
            <w:pPr>
              <w:pStyle w:val="38"/>
              <w:bidi w:val="0"/>
              <w:rPr>
                <w:color w:val="auto"/>
              </w:rPr>
            </w:pPr>
          </w:p>
        </w:tc>
        <w:tc>
          <w:tcPr>
            <w:tcW w:w="3499" w:type="dxa"/>
            <w:noWrap w:val="0"/>
            <w:vAlign w:val="center"/>
          </w:tcPr>
          <w:p>
            <w:pPr>
              <w:pStyle w:val="38"/>
              <w:bidi w:val="0"/>
              <w:rPr>
                <w:color w:val="auto"/>
              </w:rPr>
            </w:pPr>
          </w:p>
        </w:tc>
      </w:tr>
    </w:tbl>
    <w:p>
      <w:pPr>
        <w:spacing w:line="600" w:lineRule="exact"/>
        <w:rPr>
          <w:color w:val="auto"/>
          <w:sz w:val="28"/>
        </w:rPr>
      </w:pPr>
      <w:r>
        <w:rPr>
          <w:rFonts w:hint="eastAsia"/>
          <w:color w:val="auto"/>
          <w:sz w:val="28"/>
        </w:rPr>
        <w:t xml:space="preserve">    （2）</w:t>
      </w:r>
      <w:r>
        <w:rPr>
          <w:color w:val="auto"/>
          <w:sz w:val="28"/>
        </w:rPr>
        <w:t>人员暴露于危险环境的频繁程度（E）</w:t>
      </w:r>
    </w:p>
    <w:p>
      <w:pPr>
        <w:spacing w:line="600" w:lineRule="exact"/>
        <w:ind w:firstLine="560" w:firstLineChars="200"/>
        <w:jc w:val="left"/>
        <w:rPr>
          <w:color w:val="auto"/>
          <w:sz w:val="28"/>
        </w:rPr>
      </w:pPr>
      <w:r>
        <w:rPr>
          <w:color w:val="auto"/>
          <w:sz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w:t>
      </w:r>
      <w:r>
        <w:rPr>
          <w:rFonts w:hint="eastAsia"/>
          <w:color w:val="auto"/>
          <w:sz w:val="28"/>
          <w:lang w:val="en-US" w:eastAsia="zh-CN"/>
        </w:rPr>
        <w:t>.2</w:t>
      </w:r>
      <w:r>
        <w:rPr>
          <w:color w:val="auto"/>
          <w:sz w:val="28"/>
        </w:rPr>
        <w:t>-</w:t>
      </w:r>
      <w:r>
        <w:rPr>
          <w:rFonts w:hint="eastAsia"/>
          <w:color w:val="auto"/>
          <w:sz w:val="28"/>
          <w:lang w:val="en-US" w:eastAsia="zh-CN"/>
        </w:rPr>
        <w:t>3</w:t>
      </w:r>
      <w:r>
        <w:rPr>
          <w:color w:val="auto"/>
          <w:sz w:val="28"/>
        </w:rPr>
        <w:t>。</w:t>
      </w:r>
    </w:p>
    <w:p>
      <w:pPr>
        <w:pStyle w:val="43"/>
        <w:bidi w:val="0"/>
        <w:rPr>
          <w:color w:val="auto"/>
        </w:rPr>
      </w:pPr>
      <w:r>
        <w:rPr>
          <w:color w:val="auto"/>
        </w:rPr>
        <w:t>表4</w:t>
      </w:r>
      <w:r>
        <w:rPr>
          <w:rFonts w:hint="eastAsia"/>
          <w:color w:val="auto"/>
          <w:lang w:val="en-US" w:eastAsia="zh-CN"/>
        </w:rPr>
        <w:t>.2</w:t>
      </w:r>
      <w:r>
        <w:rPr>
          <w:color w:val="auto"/>
        </w:rPr>
        <w:t>-</w:t>
      </w:r>
      <w:r>
        <w:rPr>
          <w:rFonts w:hint="eastAsia"/>
          <w:color w:val="auto"/>
          <w:lang w:val="en-US" w:eastAsia="zh-CN"/>
        </w:rPr>
        <w:t>3</w:t>
      </w:r>
      <w:r>
        <w:rPr>
          <w:color w:val="auto"/>
        </w:rPr>
        <w:t xml:space="preserve">  人员暴露于危险环境的频繁程度（E）</w:t>
      </w:r>
    </w:p>
    <w:tbl>
      <w:tblPr>
        <w:tblStyle w:val="29"/>
        <w:tblW w:w="9192"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3594"/>
        <w:gridCol w:w="993"/>
        <w:gridCol w:w="3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1019" w:type="dxa"/>
            <w:noWrap w:val="0"/>
            <w:vAlign w:val="center"/>
          </w:tcPr>
          <w:p>
            <w:pPr>
              <w:pStyle w:val="38"/>
              <w:bidi w:val="0"/>
              <w:rPr>
                <w:color w:val="auto"/>
              </w:rPr>
            </w:pPr>
            <w:r>
              <w:rPr>
                <w:color w:val="auto"/>
              </w:rPr>
              <w:t>分数值</w:t>
            </w:r>
          </w:p>
        </w:tc>
        <w:tc>
          <w:tcPr>
            <w:tcW w:w="3594" w:type="dxa"/>
            <w:noWrap w:val="0"/>
            <w:vAlign w:val="center"/>
          </w:tcPr>
          <w:p>
            <w:pPr>
              <w:pStyle w:val="38"/>
              <w:bidi w:val="0"/>
              <w:rPr>
                <w:color w:val="auto"/>
              </w:rPr>
            </w:pPr>
            <w:r>
              <w:rPr>
                <w:color w:val="auto"/>
              </w:rPr>
              <w:t>人员暴露于危险环境的频繁程度</w:t>
            </w:r>
          </w:p>
        </w:tc>
        <w:tc>
          <w:tcPr>
            <w:tcW w:w="993" w:type="dxa"/>
            <w:noWrap w:val="0"/>
            <w:vAlign w:val="center"/>
          </w:tcPr>
          <w:p>
            <w:pPr>
              <w:pStyle w:val="38"/>
              <w:bidi w:val="0"/>
              <w:rPr>
                <w:color w:val="auto"/>
              </w:rPr>
            </w:pPr>
            <w:r>
              <w:rPr>
                <w:color w:val="auto"/>
              </w:rPr>
              <w:t>分数值</w:t>
            </w:r>
          </w:p>
        </w:tc>
        <w:tc>
          <w:tcPr>
            <w:tcW w:w="3586" w:type="dxa"/>
            <w:noWrap w:val="0"/>
            <w:vAlign w:val="center"/>
          </w:tcPr>
          <w:p>
            <w:pPr>
              <w:pStyle w:val="38"/>
              <w:bidi w:val="0"/>
              <w:rPr>
                <w:color w:val="auto"/>
              </w:rPr>
            </w:pPr>
            <w:r>
              <w:rPr>
                <w:color w:val="auto"/>
              </w:rPr>
              <w:t>人员暴露于危险环境的频繁程度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trPr>
        <w:tc>
          <w:tcPr>
            <w:tcW w:w="1019" w:type="dxa"/>
            <w:noWrap w:val="0"/>
            <w:vAlign w:val="center"/>
          </w:tcPr>
          <w:p>
            <w:pPr>
              <w:pStyle w:val="38"/>
              <w:bidi w:val="0"/>
              <w:rPr>
                <w:color w:val="auto"/>
              </w:rPr>
            </w:pPr>
            <w:r>
              <w:rPr>
                <w:color w:val="auto"/>
              </w:rPr>
              <w:t>10</w:t>
            </w:r>
          </w:p>
        </w:tc>
        <w:tc>
          <w:tcPr>
            <w:tcW w:w="3594" w:type="dxa"/>
            <w:noWrap w:val="0"/>
            <w:vAlign w:val="center"/>
          </w:tcPr>
          <w:p>
            <w:pPr>
              <w:pStyle w:val="38"/>
              <w:bidi w:val="0"/>
              <w:rPr>
                <w:color w:val="auto"/>
              </w:rPr>
            </w:pPr>
            <w:r>
              <w:rPr>
                <w:color w:val="auto"/>
              </w:rPr>
              <w:t>连续暴露</w:t>
            </w:r>
          </w:p>
        </w:tc>
        <w:tc>
          <w:tcPr>
            <w:tcW w:w="993" w:type="dxa"/>
            <w:noWrap w:val="0"/>
            <w:vAlign w:val="center"/>
          </w:tcPr>
          <w:p>
            <w:pPr>
              <w:pStyle w:val="38"/>
              <w:bidi w:val="0"/>
              <w:rPr>
                <w:color w:val="auto"/>
              </w:rPr>
            </w:pPr>
            <w:r>
              <w:rPr>
                <w:color w:val="auto"/>
              </w:rPr>
              <w:t>2</w:t>
            </w:r>
          </w:p>
        </w:tc>
        <w:tc>
          <w:tcPr>
            <w:tcW w:w="3586" w:type="dxa"/>
            <w:noWrap w:val="0"/>
            <w:vAlign w:val="center"/>
          </w:tcPr>
          <w:p>
            <w:pPr>
              <w:pStyle w:val="38"/>
              <w:bidi w:val="0"/>
              <w:rPr>
                <w:color w:val="auto"/>
              </w:rPr>
            </w:pPr>
            <w:r>
              <w:rPr>
                <w:color w:val="auto"/>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trPr>
        <w:tc>
          <w:tcPr>
            <w:tcW w:w="1019" w:type="dxa"/>
            <w:noWrap w:val="0"/>
            <w:vAlign w:val="center"/>
          </w:tcPr>
          <w:p>
            <w:pPr>
              <w:pStyle w:val="38"/>
              <w:bidi w:val="0"/>
              <w:rPr>
                <w:color w:val="auto"/>
              </w:rPr>
            </w:pPr>
            <w:r>
              <w:rPr>
                <w:color w:val="auto"/>
              </w:rPr>
              <w:t>6</w:t>
            </w:r>
          </w:p>
        </w:tc>
        <w:tc>
          <w:tcPr>
            <w:tcW w:w="3594" w:type="dxa"/>
            <w:noWrap w:val="0"/>
            <w:vAlign w:val="center"/>
          </w:tcPr>
          <w:p>
            <w:pPr>
              <w:pStyle w:val="38"/>
              <w:bidi w:val="0"/>
              <w:rPr>
                <w:color w:val="auto"/>
              </w:rPr>
            </w:pPr>
            <w:r>
              <w:rPr>
                <w:color w:val="auto"/>
              </w:rPr>
              <w:t>每天工作时间暴露</w:t>
            </w:r>
          </w:p>
        </w:tc>
        <w:tc>
          <w:tcPr>
            <w:tcW w:w="993" w:type="dxa"/>
            <w:noWrap w:val="0"/>
            <w:vAlign w:val="center"/>
          </w:tcPr>
          <w:p>
            <w:pPr>
              <w:pStyle w:val="38"/>
              <w:bidi w:val="0"/>
              <w:rPr>
                <w:color w:val="auto"/>
              </w:rPr>
            </w:pPr>
            <w:r>
              <w:rPr>
                <w:color w:val="auto"/>
              </w:rPr>
              <w:t>1</w:t>
            </w:r>
          </w:p>
        </w:tc>
        <w:tc>
          <w:tcPr>
            <w:tcW w:w="3586" w:type="dxa"/>
            <w:noWrap w:val="0"/>
            <w:vAlign w:val="center"/>
          </w:tcPr>
          <w:p>
            <w:pPr>
              <w:pStyle w:val="38"/>
              <w:bidi w:val="0"/>
              <w:rPr>
                <w:color w:val="auto"/>
              </w:rPr>
            </w:pPr>
            <w:r>
              <w:rPr>
                <w:color w:val="auto"/>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019" w:type="dxa"/>
            <w:noWrap w:val="0"/>
            <w:vAlign w:val="center"/>
          </w:tcPr>
          <w:p>
            <w:pPr>
              <w:pStyle w:val="38"/>
              <w:bidi w:val="0"/>
              <w:rPr>
                <w:color w:val="auto"/>
              </w:rPr>
            </w:pPr>
            <w:r>
              <w:rPr>
                <w:color w:val="auto"/>
              </w:rPr>
              <w:t>3</w:t>
            </w:r>
          </w:p>
        </w:tc>
        <w:tc>
          <w:tcPr>
            <w:tcW w:w="3594" w:type="dxa"/>
            <w:noWrap w:val="0"/>
            <w:vAlign w:val="center"/>
          </w:tcPr>
          <w:p>
            <w:pPr>
              <w:pStyle w:val="38"/>
              <w:bidi w:val="0"/>
              <w:rPr>
                <w:color w:val="auto"/>
              </w:rPr>
            </w:pPr>
            <w:r>
              <w:rPr>
                <w:color w:val="auto"/>
              </w:rPr>
              <w:t>每周一次，或偶然暴露</w:t>
            </w:r>
          </w:p>
        </w:tc>
        <w:tc>
          <w:tcPr>
            <w:tcW w:w="993" w:type="dxa"/>
            <w:noWrap w:val="0"/>
            <w:vAlign w:val="center"/>
          </w:tcPr>
          <w:p>
            <w:pPr>
              <w:pStyle w:val="38"/>
              <w:bidi w:val="0"/>
              <w:rPr>
                <w:color w:val="auto"/>
              </w:rPr>
            </w:pPr>
            <w:r>
              <w:rPr>
                <w:color w:val="auto"/>
              </w:rPr>
              <w:t>0.5</w:t>
            </w:r>
          </w:p>
        </w:tc>
        <w:tc>
          <w:tcPr>
            <w:tcW w:w="3586" w:type="dxa"/>
            <w:noWrap w:val="0"/>
            <w:vAlign w:val="center"/>
          </w:tcPr>
          <w:p>
            <w:pPr>
              <w:pStyle w:val="38"/>
              <w:bidi w:val="0"/>
              <w:rPr>
                <w:color w:val="auto"/>
              </w:rPr>
            </w:pPr>
            <w:r>
              <w:rPr>
                <w:color w:val="auto"/>
              </w:rPr>
              <w:t>非常罕见的暴露</w:t>
            </w:r>
          </w:p>
        </w:tc>
      </w:tr>
    </w:tbl>
    <w:p>
      <w:pPr>
        <w:spacing w:line="600" w:lineRule="exact"/>
        <w:rPr>
          <w:color w:val="auto"/>
          <w:sz w:val="28"/>
        </w:rPr>
      </w:pPr>
      <w:r>
        <w:rPr>
          <w:rFonts w:hint="eastAsia"/>
          <w:color w:val="auto"/>
          <w:sz w:val="28"/>
        </w:rPr>
        <w:t xml:space="preserve">    （3）</w:t>
      </w:r>
      <w:r>
        <w:rPr>
          <w:color w:val="auto"/>
          <w:sz w:val="28"/>
        </w:rPr>
        <w:t>发生事故可能造成的后果（C）</w:t>
      </w:r>
    </w:p>
    <w:p>
      <w:pPr>
        <w:spacing w:line="600" w:lineRule="exact"/>
        <w:ind w:firstLine="560" w:firstLineChars="200"/>
        <w:rPr>
          <w:color w:val="auto"/>
          <w:sz w:val="28"/>
        </w:rPr>
      </w:pPr>
      <w:r>
        <w:rPr>
          <w:color w:val="auto"/>
          <w:sz w:val="28"/>
        </w:rPr>
        <w:t>事故造成的人员伤亡和财产损失的范围变化很大，所以规定分数值为1</w:t>
      </w:r>
      <w:r>
        <w:rPr>
          <w:rFonts w:hint="eastAsia"/>
          <w:color w:val="auto"/>
          <w:sz w:val="28"/>
        </w:rPr>
        <w:t>-</w:t>
      </w:r>
      <w:r>
        <w:rPr>
          <w:color w:val="auto"/>
          <w:sz w:val="28"/>
        </w:rPr>
        <w:t>100。把需要治疗的轻微伤害或较小财产损失的分数值规定为1，造成多人死亡或重大财产损失的分数值规定为100，介于两者之间的情况规定若干个中间值。见表4</w:t>
      </w:r>
      <w:r>
        <w:rPr>
          <w:rFonts w:hint="eastAsia"/>
          <w:color w:val="auto"/>
          <w:sz w:val="28"/>
          <w:lang w:val="en-US" w:eastAsia="zh-CN"/>
        </w:rPr>
        <w:t>.2</w:t>
      </w:r>
      <w:r>
        <w:rPr>
          <w:color w:val="auto"/>
          <w:sz w:val="28"/>
        </w:rPr>
        <w:t>-</w:t>
      </w:r>
      <w:r>
        <w:rPr>
          <w:rFonts w:hint="eastAsia"/>
          <w:color w:val="auto"/>
          <w:sz w:val="28"/>
          <w:lang w:val="en-US" w:eastAsia="zh-CN"/>
        </w:rPr>
        <w:t>4</w:t>
      </w:r>
      <w:r>
        <w:rPr>
          <w:color w:val="auto"/>
          <w:sz w:val="28"/>
        </w:rPr>
        <w:t>。</w:t>
      </w:r>
    </w:p>
    <w:p>
      <w:pPr>
        <w:pStyle w:val="43"/>
        <w:bidi w:val="0"/>
        <w:rPr>
          <w:color w:val="auto"/>
        </w:rPr>
      </w:pPr>
      <w:r>
        <w:rPr>
          <w:color w:val="auto"/>
        </w:rPr>
        <w:t>表4</w:t>
      </w:r>
      <w:r>
        <w:rPr>
          <w:rFonts w:hint="eastAsia"/>
          <w:color w:val="auto"/>
          <w:lang w:val="en-US" w:eastAsia="zh-CN"/>
        </w:rPr>
        <w:t>.2</w:t>
      </w:r>
      <w:r>
        <w:rPr>
          <w:color w:val="auto"/>
        </w:rPr>
        <w:t>-</w:t>
      </w:r>
      <w:r>
        <w:rPr>
          <w:rFonts w:hint="eastAsia"/>
          <w:color w:val="auto"/>
          <w:lang w:val="en-US" w:eastAsia="zh-CN"/>
        </w:rPr>
        <w:t>4</w:t>
      </w:r>
      <w:r>
        <w:rPr>
          <w:color w:val="auto"/>
        </w:rPr>
        <w:t xml:space="preserve">  发生事故可能造成的后果（C）</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3783"/>
        <w:gridCol w:w="886"/>
        <w:gridCol w:w="3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47" w:type="dxa"/>
            <w:noWrap w:val="0"/>
            <w:vAlign w:val="center"/>
          </w:tcPr>
          <w:p>
            <w:pPr>
              <w:pStyle w:val="38"/>
              <w:bidi w:val="0"/>
              <w:rPr>
                <w:color w:val="auto"/>
              </w:rPr>
            </w:pPr>
            <w:r>
              <w:rPr>
                <w:color w:val="auto"/>
              </w:rPr>
              <w:t>分数值</w:t>
            </w:r>
          </w:p>
        </w:tc>
        <w:tc>
          <w:tcPr>
            <w:tcW w:w="3783" w:type="dxa"/>
            <w:noWrap w:val="0"/>
            <w:vAlign w:val="center"/>
          </w:tcPr>
          <w:p>
            <w:pPr>
              <w:pStyle w:val="38"/>
              <w:bidi w:val="0"/>
              <w:rPr>
                <w:color w:val="auto"/>
              </w:rPr>
            </w:pPr>
            <w:r>
              <w:rPr>
                <w:color w:val="auto"/>
              </w:rPr>
              <w:t>发生事故可能造成的后果</w:t>
            </w:r>
          </w:p>
        </w:tc>
        <w:tc>
          <w:tcPr>
            <w:tcW w:w="886" w:type="dxa"/>
            <w:noWrap w:val="0"/>
            <w:vAlign w:val="center"/>
          </w:tcPr>
          <w:p>
            <w:pPr>
              <w:pStyle w:val="38"/>
              <w:bidi w:val="0"/>
              <w:rPr>
                <w:color w:val="auto"/>
              </w:rPr>
            </w:pPr>
            <w:r>
              <w:rPr>
                <w:color w:val="auto"/>
              </w:rPr>
              <w:t>分数值</w:t>
            </w:r>
          </w:p>
        </w:tc>
        <w:tc>
          <w:tcPr>
            <w:tcW w:w="3688" w:type="dxa"/>
            <w:noWrap w:val="0"/>
            <w:vAlign w:val="center"/>
          </w:tcPr>
          <w:p>
            <w:pPr>
              <w:pStyle w:val="38"/>
              <w:bidi w:val="0"/>
              <w:rPr>
                <w:color w:val="auto"/>
              </w:rPr>
            </w:pPr>
            <w:r>
              <w:rPr>
                <w:color w:val="auto"/>
              </w:rPr>
              <w:t>发生事故可能造成的后果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847" w:type="dxa"/>
            <w:noWrap w:val="0"/>
            <w:vAlign w:val="center"/>
          </w:tcPr>
          <w:p>
            <w:pPr>
              <w:pStyle w:val="38"/>
              <w:bidi w:val="0"/>
              <w:rPr>
                <w:color w:val="auto"/>
              </w:rPr>
            </w:pPr>
            <w:r>
              <w:rPr>
                <w:color w:val="auto"/>
              </w:rPr>
              <w:t>100</w:t>
            </w:r>
          </w:p>
        </w:tc>
        <w:tc>
          <w:tcPr>
            <w:tcW w:w="3783" w:type="dxa"/>
            <w:noWrap w:val="0"/>
            <w:vAlign w:val="center"/>
          </w:tcPr>
          <w:p>
            <w:pPr>
              <w:pStyle w:val="38"/>
              <w:bidi w:val="0"/>
              <w:rPr>
                <w:color w:val="auto"/>
              </w:rPr>
            </w:pPr>
            <w:r>
              <w:rPr>
                <w:color w:val="auto"/>
              </w:rPr>
              <w:t>大灾难，多人死亡或重大财产损失</w:t>
            </w:r>
          </w:p>
        </w:tc>
        <w:tc>
          <w:tcPr>
            <w:tcW w:w="886" w:type="dxa"/>
            <w:noWrap w:val="0"/>
            <w:vAlign w:val="center"/>
          </w:tcPr>
          <w:p>
            <w:pPr>
              <w:pStyle w:val="38"/>
              <w:bidi w:val="0"/>
              <w:rPr>
                <w:color w:val="auto"/>
              </w:rPr>
            </w:pPr>
            <w:r>
              <w:rPr>
                <w:color w:val="auto"/>
              </w:rPr>
              <w:t>7</w:t>
            </w:r>
          </w:p>
        </w:tc>
        <w:tc>
          <w:tcPr>
            <w:tcW w:w="3688" w:type="dxa"/>
            <w:noWrap w:val="0"/>
            <w:vAlign w:val="center"/>
          </w:tcPr>
          <w:p>
            <w:pPr>
              <w:pStyle w:val="38"/>
              <w:bidi w:val="0"/>
              <w:rPr>
                <w:color w:val="auto"/>
              </w:rPr>
            </w:pPr>
            <w:r>
              <w:rPr>
                <w:color w:val="auto"/>
              </w:rPr>
              <w:t>严重，重伤或较小的财产损失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47" w:type="dxa"/>
            <w:noWrap w:val="0"/>
            <w:vAlign w:val="center"/>
          </w:tcPr>
          <w:p>
            <w:pPr>
              <w:pStyle w:val="38"/>
              <w:bidi w:val="0"/>
              <w:rPr>
                <w:color w:val="auto"/>
              </w:rPr>
            </w:pPr>
            <w:r>
              <w:rPr>
                <w:color w:val="auto"/>
              </w:rPr>
              <w:t>40</w:t>
            </w:r>
          </w:p>
        </w:tc>
        <w:tc>
          <w:tcPr>
            <w:tcW w:w="3783" w:type="dxa"/>
            <w:noWrap w:val="0"/>
            <w:vAlign w:val="center"/>
          </w:tcPr>
          <w:p>
            <w:pPr>
              <w:pStyle w:val="38"/>
              <w:bidi w:val="0"/>
              <w:rPr>
                <w:color w:val="auto"/>
              </w:rPr>
            </w:pPr>
            <w:r>
              <w:rPr>
                <w:color w:val="auto"/>
              </w:rPr>
              <w:t>灾难，数人死亡或很大财产损失</w:t>
            </w:r>
          </w:p>
        </w:tc>
        <w:tc>
          <w:tcPr>
            <w:tcW w:w="886" w:type="dxa"/>
            <w:noWrap w:val="0"/>
            <w:vAlign w:val="center"/>
          </w:tcPr>
          <w:p>
            <w:pPr>
              <w:pStyle w:val="38"/>
              <w:bidi w:val="0"/>
              <w:rPr>
                <w:color w:val="auto"/>
              </w:rPr>
            </w:pPr>
            <w:r>
              <w:rPr>
                <w:color w:val="auto"/>
              </w:rPr>
              <w:t>3</w:t>
            </w:r>
          </w:p>
        </w:tc>
        <w:tc>
          <w:tcPr>
            <w:tcW w:w="3688" w:type="dxa"/>
            <w:noWrap w:val="0"/>
            <w:vAlign w:val="center"/>
          </w:tcPr>
          <w:p>
            <w:pPr>
              <w:pStyle w:val="38"/>
              <w:bidi w:val="0"/>
              <w:rPr>
                <w:color w:val="auto"/>
              </w:rPr>
            </w:pPr>
            <w:r>
              <w:rPr>
                <w:color w:val="auto"/>
              </w:rPr>
              <w:t>重大，致残或很小的财产损失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847" w:type="dxa"/>
            <w:noWrap w:val="0"/>
            <w:vAlign w:val="center"/>
          </w:tcPr>
          <w:p>
            <w:pPr>
              <w:pStyle w:val="38"/>
              <w:bidi w:val="0"/>
              <w:rPr>
                <w:color w:val="auto"/>
              </w:rPr>
            </w:pPr>
            <w:r>
              <w:rPr>
                <w:color w:val="auto"/>
              </w:rPr>
              <w:t>15</w:t>
            </w:r>
          </w:p>
        </w:tc>
        <w:tc>
          <w:tcPr>
            <w:tcW w:w="3783" w:type="dxa"/>
            <w:noWrap w:val="0"/>
            <w:vAlign w:val="center"/>
          </w:tcPr>
          <w:p>
            <w:pPr>
              <w:pStyle w:val="38"/>
              <w:bidi w:val="0"/>
              <w:rPr>
                <w:color w:val="auto"/>
              </w:rPr>
            </w:pPr>
            <w:r>
              <w:rPr>
                <w:color w:val="auto"/>
              </w:rPr>
              <w:t>非常严重，一人死亡或一定的财产损失</w:t>
            </w:r>
          </w:p>
        </w:tc>
        <w:tc>
          <w:tcPr>
            <w:tcW w:w="886" w:type="dxa"/>
            <w:noWrap w:val="0"/>
            <w:vAlign w:val="center"/>
          </w:tcPr>
          <w:p>
            <w:pPr>
              <w:pStyle w:val="38"/>
              <w:bidi w:val="0"/>
              <w:rPr>
                <w:color w:val="auto"/>
              </w:rPr>
            </w:pPr>
            <w:r>
              <w:rPr>
                <w:color w:val="auto"/>
              </w:rPr>
              <w:t>1</w:t>
            </w:r>
          </w:p>
        </w:tc>
        <w:tc>
          <w:tcPr>
            <w:tcW w:w="3688" w:type="dxa"/>
            <w:noWrap w:val="0"/>
            <w:vAlign w:val="center"/>
          </w:tcPr>
          <w:p>
            <w:pPr>
              <w:pStyle w:val="38"/>
              <w:bidi w:val="0"/>
              <w:rPr>
                <w:color w:val="auto"/>
              </w:rPr>
            </w:pPr>
            <w:r>
              <w:rPr>
                <w:color w:val="auto"/>
              </w:rPr>
              <w:t>引人注目，不利于基本的安全卫生要求</w:t>
            </w:r>
          </w:p>
        </w:tc>
      </w:tr>
    </w:tbl>
    <w:p>
      <w:pPr>
        <w:rPr>
          <w:b/>
          <w:color w:val="auto"/>
          <w:sz w:val="28"/>
        </w:rPr>
      </w:pPr>
      <w:r>
        <w:rPr>
          <w:rFonts w:hint="eastAsia"/>
          <w:color w:val="auto"/>
          <w:sz w:val="28"/>
        </w:rPr>
        <w:t xml:space="preserve">    （4）</w:t>
      </w:r>
      <w:r>
        <w:rPr>
          <w:b/>
          <w:color w:val="auto"/>
          <w:sz w:val="28"/>
        </w:rPr>
        <w:t>危险等级划分标准</w:t>
      </w:r>
    </w:p>
    <w:p>
      <w:pPr>
        <w:spacing w:line="600" w:lineRule="exact"/>
        <w:ind w:firstLine="560" w:firstLineChars="200"/>
        <w:rPr>
          <w:color w:val="auto"/>
          <w:sz w:val="28"/>
        </w:rPr>
      </w:pPr>
      <w:r>
        <w:rPr>
          <w:color w:val="auto"/>
          <w:sz w:val="28"/>
          <w:szCs w:val="28"/>
        </w:rPr>
        <w:t>根据经验，危险性分值在20分以下为低危险性，这样的危险比日常生活中骑自行车去上班还要安全些，如果危险性分值在20-70之间，为</w:t>
      </w:r>
      <w:r>
        <w:rPr>
          <w:rFonts w:hint="eastAsia"/>
          <w:color w:val="auto"/>
          <w:sz w:val="28"/>
          <w:szCs w:val="28"/>
        </w:rPr>
        <w:t>一般</w:t>
      </w:r>
      <w:r>
        <w:rPr>
          <w:color w:val="auto"/>
          <w:sz w:val="28"/>
          <w:szCs w:val="28"/>
        </w:rPr>
        <w:t>危险，需要注意；如果危险性分值在70-160之间，有显著的危险性，需要采取措施整改；如果危险性分值在160-320之间，有高度危险性，必须立即整改；如果危险性分值大于320，极度危险，应立即停止作业，彻底整改。</w:t>
      </w:r>
      <w:r>
        <w:rPr>
          <w:color w:val="auto"/>
          <w:sz w:val="28"/>
        </w:rPr>
        <w:t>按危险性分值划分危险性等级的标准见表4</w:t>
      </w:r>
      <w:r>
        <w:rPr>
          <w:rFonts w:hint="eastAsia"/>
          <w:color w:val="auto"/>
          <w:sz w:val="28"/>
          <w:lang w:val="en-US" w:eastAsia="zh-CN"/>
        </w:rPr>
        <w:t>.2</w:t>
      </w:r>
      <w:r>
        <w:rPr>
          <w:color w:val="auto"/>
          <w:sz w:val="28"/>
        </w:rPr>
        <w:t>-</w:t>
      </w:r>
      <w:r>
        <w:rPr>
          <w:rFonts w:hint="eastAsia"/>
          <w:color w:val="auto"/>
          <w:sz w:val="28"/>
          <w:lang w:val="en-US" w:eastAsia="zh-CN"/>
        </w:rPr>
        <w:t>5</w:t>
      </w:r>
      <w:r>
        <w:rPr>
          <w:color w:val="auto"/>
          <w:sz w:val="28"/>
        </w:rPr>
        <w:t>。</w:t>
      </w:r>
    </w:p>
    <w:p>
      <w:pPr>
        <w:pStyle w:val="38"/>
        <w:bidi w:val="0"/>
        <w:rPr>
          <w:b/>
          <w:bCs/>
          <w:color w:val="auto"/>
          <w:sz w:val="24"/>
        </w:rPr>
      </w:pPr>
    </w:p>
    <w:p>
      <w:pPr>
        <w:pStyle w:val="43"/>
        <w:bidi w:val="0"/>
        <w:rPr>
          <w:color w:val="auto"/>
          <w:sz w:val="24"/>
        </w:rPr>
      </w:pPr>
      <w:r>
        <w:rPr>
          <w:b/>
          <w:bCs/>
          <w:color w:val="auto"/>
          <w:sz w:val="24"/>
        </w:rPr>
        <w:t>表</w:t>
      </w:r>
      <w:r>
        <w:rPr>
          <w:b/>
          <w:color w:val="auto"/>
          <w:sz w:val="24"/>
        </w:rPr>
        <w:t>4</w:t>
      </w:r>
      <w:r>
        <w:rPr>
          <w:rFonts w:hint="eastAsia"/>
          <w:b/>
          <w:color w:val="auto"/>
          <w:sz w:val="24"/>
          <w:lang w:val="en-US" w:eastAsia="zh-CN"/>
        </w:rPr>
        <w:t>.2</w:t>
      </w:r>
      <w:r>
        <w:rPr>
          <w:b/>
          <w:color w:val="auto"/>
          <w:sz w:val="24"/>
        </w:rPr>
        <w:t>-</w:t>
      </w:r>
      <w:r>
        <w:rPr>
          <w:rFonts w:hint="eastAsia"/>
          <w:b/>
          <w:color w:val="auto"/>
          <w:sz w:val="24"/>
          <w:lang w:val="en-US" w:eastAsia="zh-CN"/>
        </w:rPr>
        <w:t>5</w:t>
      </w:r>
      <w:r>
        <w:rPr>
          <w:color w:val="auto"/>
          <w:sz w:val="24"/>
        </w:rPr>
        <w:t xml:space="preserve">  </w:t>
      </w:r>
      <w:r>
        <w:rPr>
          <w:b/>
          <w:bCs/>
          <w:color w:val="auto"/>
          <w:sz w:val="24"/>
        </w:rPr>
        <w:t>危险性等级划分标准</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3160"/>
        <w:gridCol w:w="1673"/>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trPr>
        <w:tc>
          <w:tcPr>
            <w:tcW w:w="1300" w:type="dxa"/>
            <w:noWrap w:val="0"/>
            <w:vAlign w:val="center"/>
          </w:tcPr>
          <w:p>
            <w:pPr>
              <w:pStyle w:val="38"/>
              <w:bidi w:val="0"/>
              <w:rPr>
                <w:color w:val="auto"/>
              </w:rPr>
            </w:pPr>
            <w:r>
              <w:rPr>
                <w:color w:val="auto"/>
              </w:rPr>
              <w:t>D值</w:t>
            </w:r>
          </w:p>
        </w:tc>
        <w:tc>
          <w:tcPr>
            <w:tcW w:w="3160" w:type="dxa"/>
            <w:noWrap w:val="0"/>
            <w:vAlign w:val="center"/>
          </w:tcPr>
          <w:p>
            <w:pPr>
              <w:pStyle w:val="38"/>
              <w:bidi w:val="0"/>
              <w:rPr>
                <w:color w:val="auto"/>
              </w:rPr>
            </w:pPr>
            <w:r>
              <w:rPr>
                <w:color w:val="auto"/>
              </w:rPr>
              <w:t>危险程度</w:t>
            </w:r>
          </w:p>
        </w:tc>
        <w:tc>
          <w:tcPr>
            <w:tcW w:w="1673" w:type="dxa"/>
            <w:noWrap w:val="0"/>
            <w:vAlign w:val="center"/>
          </w:tcPr>
          <w:p>
            <w:pPr>
              <w:pStyle w:val="38"/>
              <w:bidi w:val="0"/>
              <w:rPr>
                <w:color w:val="auto"/>
              </w:rPr>
            </w:pPr>
            <w:r>
              <w:rPr>
                <w:color w:val="auto"/>
              </w:rPr>
              <w:t>D值</w:t>
            </w:r>
          </w:p>
        </w:tc>
        <w:tc>
          <w:tcPr>
            <w:tcW w:w="3160" w:type="dxa"/>
            <w:noWrap w:val="0"/>
            <w:vAlign w:val="center"/>
          </w:tcPr>
          <w:p>
            <w:pPr>
              <w:pStyle w:val="38"/>
              <w:bidi w:val="0"/>
              <w:rPr>
                <w:color w:val="auto"/>
              </w:rPr>
            </w:pPr>
            <w:r>
              <w:rPr>
                <w:color w:val="auto"/>
              </w:rPr>
              <w:t>危险程度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1300" w:type="dxa"/>
            <w:noWrap w:val="0"/>
            <w:vAlign w:val="center"/>
          </w:tcPr>
          <w:p>
            <w:pPr>
              <w:pStyle w:val="38"/>
              <w:bidi w:val="0"/>
              <w:rPr>
                <w:color w:val="auto"/>
              </w:rPr>
            </w:pPr>
            <w:r>
              <w:rPr>
                <w:color w:val="auto"/>
              </w:rPr>
              <w:t>＞320</w:t>
            </w:r>
          </w:p>
        </w:tc>
        <w:tc>
          <w:tcPr>
            <w:tcW w:w="3160" w:type="dxa"/>
            <w:noWrap w:val="0"/>
            <w:vAlign w:val="center"/>
          </w:tcPr>
          <w:p>
            <w:pPr>
              <w:pStyle w:val="38"/>
              <w:bidi w:val="0"/>
              <w:rPr>
                <w:color w:val="auto"/>
              </w:rPr>
            </w:pPr>
            <w:r>
              <w:rPr>
                <w:color w:val="auto"/>
              </w:rPr>
              <w:t>极其危险，不能继续作业</w:t>
            </w:r>
          </w:p>
        </w:tc>
        <w:tc>
          <w:tcPr>
            <w:tcW w:w="1673" w:type="dxa"/>
            <w:noWrap w:val="0"/>
            <w:vAlign w:val="center"/>
          </w:tcPr>
          <w:p>
            <w:pPr>
              <w:pStyle w:val="38"/>
              <w:bidi w:val="0"/>
              <w:rPr>
                <w:color w:val="auto"/>
              </w:rPr>
            </w:pPr>
            <w:r>
              <w:rPr>
                <w:color w:val="auto"/>
              </w:rPr>
              <w:t>20－70</w:t>
            </w:r>
          </w:p>
        </w:tc>
        <w:tc>
          <w:tcPr>
            <w:tcW w:w="3160" w:type="dxa"/>
            <w:noWrap w:val="0"/>
            <w:vAlign w:val="center"/>
          </w:tcPr>
          <w:p>
            <w:pPr>
              <w:pStyle w:val="38"/>
              <w:bidi w:val="0"/>
              <w:rPr>
                <w:color w:val="auto"/>
              </w:rPr>
            </w:pPr>
            <w:r>
              <w:rPr>
                <w:color w:val="auto"/>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300" w:type="dxa"/>
            <w:noWrap w:val="0"/>
            <w:vAlign w:val="center"/>
          </w:tcPr>
          <w:p>
            <w:pPr>
              <w:pStyle w:val="38"/>
              <w:bidi w:val="0"/>
              <w:rPr>
                <w:color w:val="auto"/>
              </w:rPr>
            </w:pPr>
            <w:r>
              <w:rPr>
                <w:color w:val="auto"/>
              </w:rPr>
              <w:t>160－320</w:t>
            </w:r>
          </w:p>
        </w:tc>
        <w:tc>
          <w:tcPr>
            <w:tcW w:w="3160" w:type="dxa"/>
            <w:noWrap w:val="0"/>
            <w:vAlign w:val="center"/>
          </w:tcPr>
          <w:p>
            <w:pPr>
              <w:pStyle w:val="38"/>
              <w:bidi w:val="0"/>
              <w:rPr>
                <w:color w:val="auto"/>
              </w:rPr>
            </w:pPr>
            <w:r>
              <w:rPr>
                <w:color w:val="auto"/>
              </w:rPr>
              <w:t>高度危险，需立即整改</w:t>
            </w:r>
          </w:p>
        </w:tc>
        <w:tc>
          <w:tcPr>
            <w:tcW w:w="1673" w:type="dxa"/>
            <w:noWrap w:val="0"/>
            <w:vAlign w:val="center"/>
          </w:tcPr>
          <w:p>
            <w:pPr>
              <w:pStyle w:val="38"/>
              <w:bidi w:val="0"/>
              <w:rPr>
                <w:color w:val="auto"/>
              </w:rPr>
            </w:pPr>
            <w:r>
              <w:rPr>
                <w:color w:val="auto"/>
              </w:rPr>
              <w:t>＜20</w:t>
            </w:r>
          </w:p>
        </w:tc>
        <w:tc>
          <w:tcPr>
            <w:tcW w:w="3160" w:type="dxa"/>
            <w:noWrap w:val="0"/>
            <w:vAlign w:val="center"/>
          </w:tcPr>
          <w:p>
            <w:pPr>
              <w:pStyle w:val="38"/>
              <w:bidi w:val="0"/>
              <w:rPr>
                <w:color w:val="auto"/>
              </w:rPr>
            </w:pPr>
            <w:r>
              <w:rPr>
                <w:color w:val="auto"/>
              </w:rPr>
              <w:t>稍有危险，可以接受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1300" w:type="dxa"/>
            <w:noWrap w:val="0"/>
            <w:vAlign w:val="center"/>
          </w:tcPr>
          <w:p>
            <w:pPr>
              <w:pStyle w:val="38"/>
              <w:bidi w:val="0"/>
              <w:rPr>
                <w:color w:val="auto"/>
              </w:rPr>
            </w:pPr>
            <w:r>
              <w:rPr>
                <w:color w:val="auto"/>
              </w:rPr>
              <w:t>70－160</w:t>
            </w:r>
          </w:p>
        </w:tc>
        <w:tc>
          <w:tcPr>
            <w:tcW w:w="3160" w:type="dxa"/>
            <w:noWrap w:val="0"/>
            <w:vAlign w:val="center"/>
          </w:tcPr>
          <w:p>
            <w:pPr>
              <w:pStyle w:val="38"/>
              <w:bidi w:val="0"/>
              <w:rPr>
                <w:color w:val="auto"/>
              </w:rPr>
            </w:pPr>
            <w:r>
              <w:rPr>
                <w:color w:val="auto"/>
              </w:rPr>
              <w:t>显著危险，需要整改</w:t>
            </w:r>
          </w:p>
        </w:tc>
        <w:tc>
          <w:tcPr>
            <w:tcW w:w="1673" w:type="dxa"/>
            <w:noWrap w:val="0"/>
            <w:vAlign w:val="center"/>
          </w:tcPr>
          <w:p>
            <w:pPr>
              <w:pStyle w:val="38"/>
              <w:bidi w:val="0"/>
              <w:rPr>
                <w:color w:val="auto"/>
              </w:rPr>
            </w:pPr>
          </w:p>
        </w:tc>
        <w:tc>
          <w:tcPr>
            <w:tcW w:w="3160" w:type="dxa"/>
            <w:noWrap w:val="0"/>
            <w:vAlign w:val="center"/>
          </w:tcPr>
          <w:p>
            <w:pPr>
              <w:pStyle w:val="38"/>
              <w:bidi w:val="0"/>
              <w:rPr>
                <w:color w:val="auto"/>
              </w:rPr>
            </w:pPr>
          </w:p>
        </w:tc>
      </w:tr>
    </w:tbl>
    <w:p>
      <w:pPr>
        <w:rPr>
          <w:color w:val="auto"/>
        </w:rPr>
      </w:pPr>
      <w:r>
        <w:rPr>
          <w:color w:val="auto"/>
        </w:rPr>
        <w:br w:type="page"/>
      </w:r>
    </w:p>
    <w:p>
      <w:pPr>
        <w:pStyle w:val="2"/>
        <w:rPr>
          <w:rFonts w:hint="eastAsia"/>
          <w:color w:val="auto"/>
        </w:rPr>
      </w:pPr>
      <w:bookmarkStart w:id="91" w:name="_Toc4941"/>
      <w:bookmarkStart w:id="92" w:name="_Toc10198"/>
      <w:bookmarkStart w:id="93" w:name="_Toc19501"/>
      <w:r>
        <w:rPr>
          <w:rFonts w:hint="eastAsia"/>
          <w:color w:val="auto"/>
        </w:rPr>
        <w:t>5 危险性分析评价</w:t>
      </w:r>
      <w:bookmarkEnd w:id="91"/>
      <w:bookmarkEnd w:id="92"/>
      <w:bookmarkEnd w:id="93"/>
    </w:p>
    <w:p>
      <w:pPr>
        <w:pStyle w:val="3"/>
        <w:rPr>
          <w:rFonts w:hint="eastAsia"/>
          <w:color w:val="auto"/>
        </w:rPr>
      </w:pPr>
      <w:bookmarkStart w:id="94" w:name="_Toc189"/>
      <w:bookmarkStart w:id="95" w:name="_Toc6330"/>
      <w:bookmarkStart w:id="96" w:name="_Toc31485"/>
      <w:r>
        <w:rPr>
          <w:color w:val="auto"/>
        </w:rPr>
        <w:t>5.1预先危险性分析评价（PHA）</w:t>
      </w:r>
      <w:bookmarkEnd w:id="94"/>
      <w:bookmarkEnd w:id="95"/>
      <w:bookmarkEnd w:id="96"/>
    </w:p>
    <w:p>
      <w:pPr>
        <w:pStyle w:val="17"/>
        <w:ind w:firstLine="560"/>
        <w:rPr>
          <w:b w:val="0"/>
          <w:color w:val="auto"/>
        </w:rPr>
      </w:pPr>
      <w:r>
        <w:rPr>
          <w:rFonts w:hAnsi="宋体"/>
          <w:b w:val="0"/>
          <w:color w:val="auto"/>
        </w:rPr>
        <w:t>利用预先危险性分析评价方法对</w:t>
      </w:r>
      <w:r>
        <w:rPr>
          <w:rFonts w:hint="eastAsia" w:hAnsi="宋体"/>
          <w:b w:val="0"/>
          <w:color w:val="auto"/>
        </w:rPr>
        <w:t>本站</w:t>
      </w:r>
      <w:r>
        <w:rPr>
          <w:rFonts w:hAnsi="宋体"/>
          <w:b w:val="0"/>
          <w:color w:val="auto"/>
        </w:rPr>
        <w:t>普遍存在的危险、有害因素进行分析评价，预先危险性评价范围涵盖本建设项目</w:t>
      </w:r>
      <w:r>
        <w:rPr>
          <w:rFonts w:hint="eastAsia" w:hAnsi="宋体"/>
          <w:b w:val="0"/>
          <w:color w:val="auto"/>
        </w:rPr>
        <w:t>及加油加气</w:t>
      </w:r>
      <w:r>
        <w:rPr>
          <w:rFonts w:hAnsi="宋体"/>
          <w:b w:val="0"/>
          <w:color w:val="auto"/>
        </w:rPr>
        <w:t>的全部生产过程。另外针对配电特殊的部位进行预先危险性分析评价。</w:t>
      </w:r>
    </w:p>
    <w:p>
      <w:pPr>
        <w:pStyle w:val="17"/>
        <w:ind w:firstLine="560"/>
        <w:rPr>
          <w:b w:val="0"/>
          <w:color w:val="auto"/>
        </w:rPr>
      </w:pPr>
      <w:r>
        <w:rPr>
          <w:rFonts w:hAnsi="宋体"/>
          <w:b w:val="0"/>
          <w:color w:val="auto"/>
        </w:rPr>
        <w:t>预先危险性评价分析表见表</w:t>
      </w:r>
      <w:r>
        <w:rPr>
          <w:b w:val="0"/>
          <w:color w:val="auto"/>
        </w:rPr>
        <w:t>5</w:t>
      </w:r>
      <w:r>
        <w:rPr>
          <w:rFonts w:hint="eastAsia"/>
          <w:b w:val="0"/>
          <w:color w:val="auto"/>
          <w:lang w:val="en-US" w:eastAsia="zh-CN"/>
        </w:rPr>
        <w:t>.1</w:t>
      </w:r>
      <w:r>
        <w:rPr>
          <w:b w:val="0"/>
          <w:color w:val="auto"/>
        </w:rPr>
        <w:t>-</w:t>
      </w:r>
      <w:r>
        <w:rPr>
          <w:rFonts w:hint="eastAsia"/>
          <w:b w:val="0"/>
          <w:color w:val="auto"/>
        </w:rPr>
        <w:t>1</w:t>
      </w:r>
      <w:r>
        <w:rPr>
          <w:rFonts w:hAnsi="宋体"/>
          <w:b w:val="0"/>
          <w:color w:val="auto"/>
        </w:rPr>
        <w:t>。</w:t>
      </w:r>
    </w:p>
    <w:p>
      <w:pPr>
        <w:spacing w:line="600" w:lineRule="exact"/>
        <w:jc w:val="center"/>
        <w:rPr>
          <w:b/>
          <w:color w:val="auto"/>
          <w:sz w:val="24"/>
        </w:rPr>
      </w:pPr>
      <w:r>
        <w:rPr>
          <w:rFonts w:hAnsi="宋体"/>
          <w:b/>
          <w:color w:val="auto"/>
          <w:sz w:val="24"/>
        </w:rPr>
        <w:t>表</w:t>
      </w:r>
      <w:r>
        <w:rPr>
          <w:b/>
          <w:color w:val="auto"/>
          <w:sz w:val="24"/>
        </w:rPr>
        <w:t>5</w:t>
      </w:r>
      <w:r>
        <w:rPr>
          <w:rFonts w:hint="eastAsia"/>
          <w:b/>
          <w:color w:val="auto"/>
          <w:sz w:val="24"/>
          <w:lang w:val="en-US" w:eastAsia="zh-CN"/>
        </w:rPr>
        <w:t>.1</w:t>
      </w:r>
      <w:r>
        <w:rPr>
          <w:b/>
          <w:color w:val="auto"/>
          <w:sz w:val="24"/>
        </w:rPr>
        <w:t>-</w:t>
      </w:r>
      <w:r>
        <w:rPr>
          <w:rFonts w:hint="eastAsia"/>
          <w:b/>
          <w:color w:val="auto"/>
          <w:sz w:val="24"/>
        </w:rPr>
        <w:t xml:space="preserve">1  </w:t>
      </w:r>
      <w:r>
        <w:rPr>
          <w:rFonts w:hAnsi="宋体"/>
          <w:b/>
          <w:color w:val="auto"/>
          <w:sz w:val="24"/>
        </w:rPr>
        <w:t>系统预</w:t>
      </w:r>
      <w:r>
        <w:rPr>
          <w:rStyle w:val="68"/>
          <w:color w:val="auto"/>
        </w:rPr>
        <w:t>先</w:t>
      </w:r>
      <w:r>
        <w:rPr>
          <w:rFonts w:hAnsi="宋体"/>
          <w:b/>
          <w:color w:val="auto"/>
          <w:sz w:val="24"/>
        </w:rPr>
        <w:t>危险性分析表</w:t>
      </w:r>
    </w:p>
    <w:tbl>
      <w:tblPr>
        <w:tblStyle w:val="2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16"/>
        <w:gridCol w:w="22"/>
        <w:gridCol w:w="79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9173" w:type="dxa"/>
            <w:gridSpan w:val="3"/>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rPr>
            </w:pPr>
            <w:r>
              <w:rPr>
                <w:rFonts w:hint="eastAsia"/>
                <w:color w:val="auto"/>
              </w:rPr>
              <w:t>评价单元</w:t>
            </w:r>
          </w:p>
        </w:tc>
        <w:tc>
          <w:tcPr>
            <w:tcW w:w="793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rPr>
            </w:pPr>
            <w:r>
              <w:rPr>
                <w:rFonts w:hint="eastAsia"/>
                <w:color w:val="auto"/>
                <w:lang w:val="en-US" w:eastAsia="zh-CN"/>
              </w:rPr>
              <w:t>充电</w:t>
            </w:r>
            <w:r>
              <w:rPr>
                <w:color w:val="auto"/>
              </w:rPr>
              <w:t>区单</w:t>
            </w:r>
            <w:r>
              <w:rPr>
                <w:rFonts w:hint="eastAsia"/>
                <w:color w:val="auto"/>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潜在事故</w:t>
            </w:r>
          </w:p>
        </w:tc>
        <w:tc>
          <w:tcPr>
            <w:tcW w:w="793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火灾、爆炸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作业场所</w:t>
            </w:r>
          </w:p>
        </w:tc>
        <w:tc>
          <w:tcPr>
            <w:tcW w:w="793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lang w:eastAsia="zh-CN"/>
              </w:rPr>
            </w:pPr>
            <w:r>
              <w:rPr>
                <w:rFonts w:hint="eastAsia"/>
                <w:color w:val="auto"/>
                <w:lang w:val="en-US" w:eastAsia="zh-CN"/>
              </w:rPr>
              <w:t>充电区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危险因素</w:t>
            </w:r>
          </w:p>
        </w:tc>
        <w:tc>
          <w:tcPr>
            <w:tcW w:w="793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default"/>
                <w:color w:val="auto"/>
                <w:lang w:val="en-US" w:eastAsia="zh-CN"/>
              </w:rPr>
            </w:pPr>
            <w:r>
              <w:rPr>
                <w:rFonts w:hint="eastAsia"/>
                <w:color w:val="auto"/>
                <w:lang w:val="en-US" w:eastAsia="zh-CN"/>
              </w:rPr>
              <w:t>电气火灾、混动汽车油箱爆炸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7" w:hRule="atLeast"/>
          <w:jc w:val="center"/>
        </w:trPr>
        <w:tc>
          <w:tcPr>
            <w:tcW w:w="1238"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触发事件</w:t>
            </w:r>
          </w:p>
        </w:tc>
        <w:tc>
          <w:tcPr>
            <w:tcW w:w="793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（1）操作人员的违章作业，检修人员的违章行为。</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（2）由于安装检修人员责任心不强或技术素质低等因素而引起的安装检修质量不符合安全要求。</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（3）违章用火动火，如检修用的电焊、气焊、砂轮打磨、敲击、焚烧、清除杂物等。</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（4）违章带入火源，如吸烟、点打火机、火柴等。</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（5）违章使用电动工具，违规拉接临时电线等。</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（6）违章操作，用铁制工具敲打铁器设备等而产生火花。</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（7）由于违章作业或操作错误导致的失控，致使温度异常，热能过量外泄。</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（8）其他人员的不安全行为或违章行为。</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default"/>
                <w:color w:val="auto"/>
                <w:lang w:val="en-US" w:eastAsia="zh-CN"/>
              </w:rPr>
            </w:pPr>
            <w:r>
              <w:rPr>
                <w:rFonts w:hint="eastAsia"/>
                <w:color w:val="auto"/>
                <w:lang w:val="en-US" w:eastAsia="zh-CN"/>
              </w:rPr>
              <w:t>二</w:t>
            </w:r>
            <w:r>
              <w:rPr>
                <w:rFonts w:hint="eastAsia"/>
                <w:color w:val="auto"/>
              </w:rPr>
              <w:t>、</w:t>
            </w:r>
            <w:r>
              <w:rPr>
                <w:rFonts w:hint="eastAsia"/>
                <w:color w:val="auto"/>
                <w:lang w:val="en-US" w:eastAsia="zh-CN"/>
              </w:rPr>
              <w:t>点火源</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w:t>
            </w:r>
            <w:r>
              <w:rPr>
                <w:rFonts w:hint="eastAsia"/>
                <w:color w:val="auto"/>
                <w:lang w:val="en-US" w:eastAsia="zh-CN"/>
              </w:rPr>
              <w:t>电动汽车</w:t>
            </w:r>
            <w:r>
              <w:rPr>
                <w:color w:val="auto"/>
              </w:rPr>
              <w:t>电器内部线路老化</w:t>
            </w:r>
            <w:r>
              <w:rPr>
                <w:rFonts w:hint="eastAsia"/>
                <w:color w:val="auto"/>
                <w:lang w:eastAsia="zh-CN"/>
              </w:rPr>
              <w:t>；</w:t>
            </w:r>
            <w:r>
              <w:rPr>
                <w:color w:val="auto"/>
              </w:rPr>
              <w:t>电气绝缘失效，接触不良，过载、超压、短路引起电火花。</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w:t>
            </w:r>
            <w:r>
              <w:rPr>
                <w:rFonts w:hint="eastAsia"/>
                <w:color w:val="auto"/>
                <w:lang w:val="en-US" w:eastAsia="zh-CN"/>
              </w:rPr>
              <w:t>电动汽车雨天充电导致</w:t>
            </w:r>
            <w:r>
              <w:rPr>
                <w:color w:val="auto"/>
              </w:rPr>
              <w:t>电器内部进水。</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充电器、电动车保护板失效</w:t>
            </w:r>
            <w:r>
              <w:rPr>
                <w:rFonts w:hint="eastAsia"/>
                <w:color w:val="auto"/>
                <w:lang w:eastAsia="zh-CN"/>
              </w:rPr>
              <w:t>，</w:t>
            </w:r>
            <w:r>
              <w:rPr>
                <w:color w:val="auto"/>
              </w:rPr>
              <w:t>做成过充、过流、温度超标等。</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电池收到剧烈撞击、挤压</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光伏车棚、变压器等的</w:t>
            </w:r>
            <w:r>
              <w:rPr>
                <w:color w:val="auto"/>
              </w:rPr>
              <w:t>防雷系统失效，出现雷电火花。</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rFonts w:hint="eastAsia"/>
                <w:color w:val="auto"/>
                <w:lang w:val="en-US" w:eastAsia="zh-CN"/>
              </w:rPr>
              <w:t>三、混动汽车充电过程中可能因自身电气火灾导致自燃，进而引燃油箱内的汽油，造成爆炸事故。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6"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发生条件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1、存在点火源和燃烧物质</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default"/>
                <w:color w:val="auto"/>
                <w:lang w:val="en-US" w:eastAsia="zh-CN"/>
              </w:rPr>
            </w:pPr>
            <w:r>
              <w:rPr>
                <w:color w:val="auto"/>
              </w:rPr>
              <w:t>2、</w:t>
            </w:r>
            <w:r>
              <w:rPr>
                <w:rFonts w:hint="eastAsia"/>
                <w:color w:val="auto"/>
                <w:lang w:val="en-US" w:eastAsia="zh-CN"/>
              </w:rPr>
              <w:t>高温或点火源引燃混动汽车邮箱内燃油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原因事件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明火</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①火星飞溅；②违章动火、用火；③外来人员带入火种；</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④物质过热引发；⑤点火吸烟；⑥他处火灾蔓延；⑦其它火源。</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火花</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①</w:t>
            </w:r>
            <w:r>
              <w:rPr>
                <w:rFonts w:hint="eastAsia"/>
                <w:color w:val="auto"/>
                <w:lang w:val="en-US" w:eastAsia="zh-CN"/>
              </w:rPr>
              <w:t>电池受到剧烈</w:t>
            </w:r>
            <w:r>
              <w:rPr>
                <w:color w:val="auto"/>
              </w:rPr>
              <w:t>撞击</w:t>
            </w:r>
            <w:r>
              <w:rPr>
                <w:rFonts w:hint="eastAsia"/>
                <w:color w:val="auto"/>
                <w:lang w:eastAsia="zh-CN"/>
              </w:rPr>
              <w:t>、</w:t>
            </w:r>
            <w:r>
              <w:rPr>
                <w:rFonts w:hint="eastAsia"/>
                <w:color w:val="auto"/>
                <w:lang w:val="en-US" w:eastAsia="zh-CN"/>
              </w:rPr>
              <w:t>挤压</w:t>
            </w:r>
            <w:r>
              <w:rPr>
                <w:color w:val="auto"/>
              </w:rPr>
              <w:t>；②电气火花；</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③线路老化，引燃绝缘层；④短路电弧；⑤静电；⑥雷击；</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⑦打磨产生火花等。</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3.其他意外情况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事故后果</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人员伤亡、设备损坏，造成严重经济损失。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危险等级</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90" w:hRule="atLeast"/>
          <w:jc w:val="center"/>
        </w:trPr>
        <w:tc>
          <w:tcPr>
            <w:tcW w:w="1216" w:type="dxa"/>
            <w:tcBorders>
              <w:top w:val="single" w:color="auto" w:sz="4" w:space="0"/>
              <w:left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防范措施</w:t>
            </w:r>
          </w:p>
        </w:tc>
        <w:tc>
          <w:tcPr>
            <w:tcW w:w="7957" w:type="dxa"/>
            <w:gridSpan w:val="2"/>
            <w:tcBorders>
              <w:top w:val="single" w:color="auto" w:sz="4" w:space="0"/>
              <w:left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color w:val="auto"/>
              </w:rPr>
            </w:pPr>
            <w:r>
              <w:rPr>
                <w:color w:val="auto"/>
              </w:rPr>
              <w:t>1、控制与消除火源</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①加强管理，严格执行动火证制度，加强防范措施；</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②按标准装置避雷设施，并定期检查；</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③严格执行防静电措施。</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2、加强管理、严格经营</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①定时、经常检查</w:t>
            </w:r>
            <w:r>
              <w:rPr>
                <w:rFonts w:hint="eastAsia"/>
                <w:color w:val="auto"/>
                <w:lang w:val="en-US" w:eastAsia="zh-CN"/>
              </w:rPr>
              <w:t>充电</w:t>
            </w:r>
            <w:r>
              <w:rPr>
                <w:rFonts w:hint="eastAsia"/>
                <w:color w:val="auto"/>
              </w:rPr>
              <w:t>设备</w:t>
            </w:r>
            <w:r>
              <w:rPr>
                <w:rFonts w:hint="eastAsia"/>
                <w:color w:val="auto"/>
                <w:lang w:eastAsia="zh-CN"/>
              </w:rPr>
              <w:t>，</w:t>
            </w:r>
            <w:r>
              <w:rPr>
                <w:color w:val="auto"/>
              </w:rPr>
              <w:t>发现问题立即修复，检修时注意做好静电防护；</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②作业场所设置醒目的安全警示标志；</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③注意监控并及时制止外来人员违章行为，如吸烟、点打火机；</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④检修时严守作业规程，做好动火等作业必须在严格监护下进行；</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⑤加强员工培训、教育、考核工作，经常性检查有否违章、违纪现象；</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rPr>
            </w:pPr>
            <w:r>
              <w:rPr>
                <w:color w:val="auto"/>
              </w:rPr>
              <w:t>⑥安全设施（包括消防设施、报警装置</w:t>
            </w:r>
            <w:r>
              <w:rPr>
                <w:rFonts w:hint="eastAsia"/>
                <w:color w:val="auto"/>
              </w:rPr>
              <w:t>、</w:t>
            </w:r>
            <w:r>
              <w:rPr>
                <w:color w:val="auto"/>
              </w:rPr>
              <w:t>防雷接地等）保持齐全完好</w:t>
            </w:r>
            <w:r>
              <w:rPr>
                <w:rFonts w:hint="eastAsia"/>
                <w:color w:val="auto"/>
                <w:lang w:eastAsia="zh-CN"/>
              </w:rPr>
              <w:t>。</w:t>
            </w:r>
            <w:r>
              <w:rPr>
                <w:color w:val="auto"/>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9173" w:type="dxa"/>
            <w:gridSpan w:val="3"/>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rPr>
            </w:pPr>
            <w:r>
              <w:rPr>
                <w:rFonts w:hint="eastAsia"/>
                <w:color w:val="auto"/>
              </w:rPr>
              <w:t>评价单元</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rFonts w:hint="eastAsia"/>
                <w:color w:val="auto"/>
              </w:rPr>
              <w:t>充电区单元、</w:t>
            </w:r>
            <w:r>
              <w:rPr>
                <w:color w:val="auto"/>
              </w:rPr>
              <w:t>辅助单元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潜在事故</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触电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危险因素</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漏电、绝缘损坏、安全距离不够、雷击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触发事件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1、电气设备、临时电源漏电；</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2、安全距离不够（室内线路、变配电设备、用电设备及检修的安全距离）；</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3、绝缘损坏、老化；</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4、保护接地、接零不当；</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5、手持电动工具类别选择不当，疏于管理；</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6、防护用品和工具缺少或质量缺陷、使用不当；</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7、雷击。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发生条件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1、人体接触带电体；</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2、安全距离不够，引起电击穿；</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3、通过人体的电流时间超过50mA/s；</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4、设备外壳带电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原因事件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1、手及人体其它部位、随身金属物品触及带电体，或因空气潮湿，安全距离不够，造成电击穿；</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2、电气设备漏电、绝缘损坏，如泵电机保护措施失效，外壳漏电、接线端子裸露等；</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3、电气设备金属外壳接地不良；</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4、电工违章作业或非电工违章操作；</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6、雷电（直接雷、感应雷、雷电侵入波）。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事故后果</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人员伤亡、引发二次事故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危险等级</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防范措施</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1、电气绝缘等级要与使用电压、环境、运行条件相符，并定期检查、检测、维护、维修，保持完好状态；</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2、采用遮拦、护罩等防护措施，防止人体接触带电体；</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3、室内线路、</w:t>
            </w:r>
            <w:r>
              <w:rPr>
                <w:rFonts w:hint="eastAsia"/>
                <w:color w:val="auto"/>
              </w:rPr>
              <w:t>LNG加气机</w:t>
            </w:r>
            <w:r>
              <w:rPr>
                <w:color w:val="auto"/>
              </w:rPr>
              <w:t>用电线路按照规范地埋，达到规范安全要求；</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4、严格按标准要求对电气设备做好保护接地、重复接地或保护接零；</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5、施工、维修电焊作业时注意电焊机绝缘完好、接线不裸露，电焊机定期检测保证漏电在允许范围，电焊作业者穿戴防护用品，注意夏季防触电，有监护和应急措施；</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6、建立、健全并严格执行电气安全规章制度和电气操作规程；按制度对强电线路加强管理、巡查、检修。</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7、坚持对员工的电气安全操作和急救方法的培训、教育；</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8、对防雷措施进行定期检查、检测，保持完好、可靠状态；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9173" w:type="dxa"/>
            <w:gridSpan w:val="3"/>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rPr>
            </w:pPr>
            <w:r>
              <w:rPr>
                <w:rFonts w:hint="eastAsia"/>
                <w:color w:val="auto"/>
              </w:rPr>
              <w:t>评价单元</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rPr>
            </w:pPr>
            <w:r>
              <w:rPr>
                <w:rFonts w:hint="eastAsia"/>
                <w:color w:val="auto"/>
              </w:rPr>
              <w:t>充电区单元、</w:t>
            </w:r>
            <w:r>
              <w:rPr>
                <w:color w:val="auto"/>
              </w:rPr>
              <w:t>辅助单元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潜在事故</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车辆伤害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作业场所</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default"/>
                <w:color w:val="auto"/>
                <w:lang w:val="en-US" w:eastAsia="zh-CN"/>
              </w:rPr>
            </w:pPr>
            <w:r>
              <w:rPr>
                <w:rFonts w:hint="eastAsia"/>
                <w:color w:val="auto"/>
              </w:rPr>
              <w:t>站</w:t>
            </w:r>
            <w:r>
              <w:rPr>
                <w:color w:val="auto"/>
              </w:rPr>
              <w:t>内道路</w:t>
            </w:r>
            <w:r>
              <w:rPr>
                <w:rFonts w:hint="eastAsia"/>
                <w:color w:val="auto"/>
                <w:lang w:eastAsia="zh-CN"/>
              </w:rPr>
              <w:t>、</w:t>
            </w:r>
            <w:r>
              <w:rPr>
                <w:rFonts w:hint="eastAsia"/>
                <w:color w:val="auto"/>
                <w:lang w:val="en-US" w:eastAsia="zh-CN"/>
              </w:rPr>
              <w:t>充电区停车位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危险因素</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车辆撞人，车辆撞设备、管线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触发事件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1、车辆带故障行驶（如刹车不灵、鸣笛喇叭失效、刮雨器失效等）；</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2、车速过快；</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3、道旁管线、管架桥无防撞设施和标志；</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4、路面不好（如路面有陷坑、障碍物、冰雪等）；</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5、超载驾驶；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发生条件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车辆撞击人体、设备、管线等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原因事件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1、进入</w:t>
            </w:r>
            <w:r>
              <w:rPr>
                <w:rFonts w:hint="eastAsia"/>
                <w:color w:val="auto"/>
              </w:rPr>
              <w:t>加油加气</w:t>
            </w:r>
            <w:r>
              <w:rPr>
                <w:color w:val="auto"/>
              </w:rPr>
              <w:t>站的驾驶员工作精力不集中、行驶违章、酒后驾车、疲劳驾驶；</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2、驾驶员情绪不好或情绪激动时驾车；</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w:t>
            </w:r>
            <w:r>
              <w:rPr>
                <w:rFonts w:hint="eastAsia"/>
                <w:color w:val="auto"/>
              </w:rPr>
              <w:t>加油</w:t>
            </w:r>
            <w:r>
              <w:rPr>
                <w:color w:val="auto"/>
              </w:rPr>
              <w:t>加气</w:t>
            </w:r>
            <w:r>
              <w:rPr>
                <w:rFonts w:hint="eastAsia"/>
                <w:color w:val="auto"/>
              </w:rPr>
              <w:t>站</w:t>
            </w:r>
            <w:r>
              <w:rPr>
                <w:color w:val="auto"/>
              </w:rPr>
              <w:t>作业人员引导车辆不力。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事故后果</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人员伤害，撞坏管线等造成二次事故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危险等级</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防范措施</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1、设交通标志（特别是限速行驶标志）；</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2、保持进出加气</w:t>
            </w:r>
            <w:r>
              <w:rPr>
                <w:rFonts w:hint="eastAsia"/>
                <w:color w:val="auto"/>
              </w:rPr>
              <w:t>站</w:t>
            </w:r>
            <w:r>
              <w:rPr>
                <w:color w:val="auto"/>
              </w:rPr>
              <w:t>的道路畅通，保持路面状态良好；</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3、加强对进站加</w:t>
            </w:r>
            <w:r>
              <w:rPr>
                <w:rFonts w:hint="eastAsia"/>
                <w:color w:val="auto"/>
              </w:rPr>
              <w:t>气</w:t>
            </w:r>
            <w:r>
              <w:rPr>
                <w:color w:val="auto"/>
              </w:rPr>
              <w:t>车辆的引导，发现驾驶员违章立即提醒纠正；</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4、闲杂人员和闲杂车辆不允许进入LNG加气机场内。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9173" w:type="dxa"/>
            <w:gridSpan w:val="3"/>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lang w:eastAsia="zh-CN"/>
              </w:rPr>
            </w:pPr>
            <w:r>
              <w:rPr>
                <w:rFonts w:hint="eastAsia"/>
                <w:color w:val="auto"/>
                <w:lang w:val="en-US" w:eastAsia="zh-CN"/>
              </w:rPr>
              <w:t>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rPr>
            </w:pPr>
            <w:r>
              <w:rPr>
                <w:rFonts w:hint="eastAsia"/>
                <w:color w:val="auto"/>
              </w:rPr>
              <w:t>评价单元</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rFonts w:hint="eastAsia"/>
                <w:color w:val="auto"/>
              </w:rPr>
              <w:t>充电区</w:t>
            </w:r>
            <w:r>
              <w:rPr>
                <w:color w:val="auto"/>
              </w:rPr>
              <w:t>单元</w:t>
            </w:r>
            <w:r>
              <w:rPr>
                <w:rFonts w:hint="eastAsia"/>
                <w:color w:val="auto"/>
              </w:rPr>
              <w:t>、</w:t>
            </w:r>
            <w:r>
              <w:rPr>
                <w:color w:val="auto"/>
              </w:rPr>
              <w:t>辅助单元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潜在事故</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物体打击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作业场所</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rFonts w:hint="eastAsia"/>
                <w:color w:val="auto"/>
                <w:lang w:val="en-US" w:eastAsia="zh-CN"/>
              </w:rPr>
            </w:pPr>
            <w:r>
              <w:rPr>
                <w:color w:val="auto"/>
              </w:rPr>
              <w:t>公用工程设备场所</w:t>
            </w:r>
            <w:r>
              <w:rPr>
                <w:rFonts w:hint="eastAsia"/>
                <w:color w:val="auto"/>
              </w:rPr>
              <w:t>、</w:t>
            </w:r>
            <w:r>
              <w:rPr>
                <w:rFonts w:hint="eastAsia"/>
                <w:color w:val="auto"/>
                <w:lang w:val="en-US" w:eastAsia="zh-CN"/>
              </w:rPr>
              <w:t>充电</w:t>
            </w:r>
            <w:r>
              <w:rPr>
                <w:rFonts w:hint="eastAsia"/>
                <w:color w:val="auto"/>
              </w:rPr>
              <w:t>区</w:t>
            </w:r>
            <w:r>
              <w:rPr>
                <w:rFonts w:hint="eastAsia"/>
                <w:color w:val="auto"/>
                <w:lang w:val="en-US" w:eastAsia="zh-CN"/>
              </w:rPr>
              <w:t>停车位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危险因素</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物体坠落或飞出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触发事件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1、高处有未被固定的物体被碰撞或风吹等坠落；</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2、工具、器具等上下抛掷；</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3、罩棚灯具固定不牢，罩棚顶有浮物，遇到强风使物体倾斜坠落；</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4、发生意外爆炸事故，碎片抛掷、飞散；</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5、检修时检修工具未握牢脱手或作业场所空间不足，碰撞到其它物体造成工具飞出等。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发生条件</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坠落物体击中人体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事故后果</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人员伤亡或引发二次事故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exac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危险等级</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1216"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防范措施</w:t>
            </w:r>
          </w:p>
        </w:tc>
        <w:tc>
          <w:tcPr>
            <w:tcW w:w="7957"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1、高处的物件必须固定牢靠；</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2、维修时严禁抛接检修工具、螺栓等物件；</w:t>
            </w:r>
          </w:p>
          <w:p>
            <w:pPr>
              <w:pStyle w:val="38"/>
              <w:keepNext w:val="0"/>
              <w:keepLines w:val="0"/>
              <w:pageBreakBefore w:val="0"/>
              <w:widowControl w:val="0"/>
              <w:kinsoku/>
              <w:wordWrap/>
              <w:overflowPunct/>
              <w:topLinePunct w:val="0"/>
              <w:autoSpaceDE/>
              <w:autoSpaceDN/>
              <w:bidi w:val="0"/>
              <w:adjustRightInd w:val="0"/>
              <w:snapToGrid w:val="0"/>
              <w:spacing w:line="260" w:lineRule="exact"/>
              <w:textAlignment w:val="auto"/>
              <w:rPr>
                <w:color w:val="auto"/>
              </w:rPr>
            </w:pPr>
            <w:r>
              <w:rPr>
                <w:color w:val="auto"/>
              </w:rPr>
              <w:t>3、预警示标志，加强对员工的安全意识教育，杜绝“三违”；</w:t>
            </w:r>
          </w:p>
        </w:tc>
      </w:tr>
    </w:tbl>
    <w:p>
      <w:pPr>
        <w:rPr>
          <w:color w:val="auto"/>
          <w:sz w:val="28"/>
          <w:szCs w:val="28"/>
        </w:rPr>
      </w:pPr>
      <w:r>
        <w:rPr>
          <w:color w:val="auto"/>
          <w:sz w:val="28"/>
          <w:szCs w:val="28"/>
        </w:rPr>
        <w:t>对配电作专项预先危险分析，见下表。</w:t>
      </w:r>
    </w:p>
    <w:tbl>
      <w:tblPr>
        <w:tblStyle w:val="2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15"/>
        <w:gridCol w:w="74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trPr>
        <w:tc>
          <w:tcPr>
            <w:tcW w:w="9286" w:type="dxa"/>
            <w:gridSpan w:val="2"/>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rFonts w:hint="eastAsia"/>
                <w:color w:val="auto"/>
                <w:lang w:val="en-US" w:eastAsia="zh-CN"/>
              </w:rPr>
              <w:t>五</w:t>
            </w:r>
            <w:r>
              <w:rPr>
                <w:color w:val="auto"/>
              </w:rPr>
              <w:t>、配电作专项预先危险分析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trPr>
        <w:tc>
          <w:tcPr>
            <w:tcW w:w="181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主要危险源位置</w:t>
            </w:r>
          </w:p>
        </w:tc>
        <w:tc>
          <w:tcPr>
            <w:tcW w:w="7471"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配电</w:t>
            </w:r>
            <w:r>
              <w:rPr>
                <w:rFonts w:hint="eastAsia"/>
                <w:color w:val="auto"/>
                <w:lang w:val="en-US" w:eastAsia="zh-CN"/>
              </w:rPr>
              <w:t>间</w:t>
            </w:r>
            <w:r>
              <w:rPr>
                <w:rFonts w:hint="eastAsia"/>
                <w:color w:val="auto"/>
              </w:rPr>
              <w:t>、充电区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trPr>
        <w:tc>
          <w:tcPr>
            <w:tcW w:w="181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事故、故障类型</w:t>
            </w:r>
          </w:p>
        </w:tc>
        <w:tc>
          <w:tcPr>
            <w:tcW w:w="7471"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火灾  触电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trPr>
        <w:tc>
          <w:tcPr>
            <w:tcW w:w="181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危险等级</w:t>
            </w:r>
          </w:p>
        </w:tc>
        <w:tc>
          <w:tcPr>
            <w:tcW w:w="7471"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73" w:hRule="atLeast"/>
        </w:trPr>
        <w:tc>
          <w:tcPr>
            <w:tcW w:w="181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触发条件</w:t>
            </w:r>
          </w:p>
        </w:tc>
        <w:tc>
          <w:tcPr>
            <w:tcW w:w="7471"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1、明火，过负荷，散热不良造成热量积聚导致火灾；</w:t>
            </w:r>
          </w:p>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2、配电间电气裸露部位未采取防护措施、电线、电缆裸露漏电，人员在作业时接触到漏电部位，造成触电；</w:t>
            </w:r>
          </w:p>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3、配电间及控制开关未标明所控制的设备，人员误拉闸引起电弧造成触电；</w:t>
            </w:r>
          </w:p>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4、电工作业时未断电或带电作业时未使用防护用品，非电工作业人员擅自进行电气作业；</w:t>
            </w:r>
          </w:p>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5、保护接地、工作接地不好或失效，设备发生损坏未能及时发现，致使常规设备或操作处带电；</w:t>
            </w:r>
          </w:p>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6、检修时未断电和挂警示标志，其它人误起动。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5" w:hRule="atLeast"/>
        </w:trPr>
        <w:tc>
          <w:tcPr>
            <w:tcW w:w="1815"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防范措施</w:t>
            </w:r>
          </w:p>
        </w:tc>
        <w:tc>
          <w:tcPr>
            <w:tcW w:w="7471" w:type="dxa"/>
            <w:tcBorders>
              <w:top w:val="single" w:color="auto" w:sz="4" w:space="0"/>
              <w:left w:val="single" w:color="auto" w:sz="4" w:space="0"/>
              <w:bottom w:val="single" w:color="auto" w:sz="4" w:space="0"/>
              <w:right w:val="single" w:color="auto" w:sz="4" w:space="0"/>
            </w:tcBorders>
            <w:noWrap w:val="0"/>
            <w:vAlign w:val="center"/>
          </w:tcPr>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1、设备检修时进行断电并挂上警示标志，实行2人作业制度；</w:t>
            </w:r>
          </w:p>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2、电气控制柜上标明所控制设备的名称和工艺编号，电动机设备采用工作接地、保护接地和中位点连接等；</w:t>
            </w:r>
          </w:p>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3、作业人员严守工作岗位，加强巡视；</w:t>
            </w:r>
          </w:p>
          <w:p>
            <w:pPr>
              <w:pStyle w:val="38"/>
              <w:keepNext w:val="0"/>
              <w:keepLines w:val="0"/>
              <w:pageBreakBefore w:val="0"/>
              <w:widowControl w:val="0"/>
              <w:kinsoku/>
              <w:wordWrap/>
              <w:overflowPunct/>
              <w:topLinePunct w:val="0"/>
              <w:autoSpaceDE/>
              <w:autoSpaceDN/>
              <w:bidi w:val="0"/>
              <w:adjustRightInd w:val="0"/>
              <w:snapToGrid w:val="0"/>
              <w:spacing w:line="240" w:lineRule="exact"/>
              <w:textAlignment w:val="auto"/>
              <w:rPr>
                <w:color w:val="auto"/>
              </w:rPr>
            </w:pPr>
            <w:r>
              <w:rPr>
                <w:color w:val="auto"/>
              </w:rPr>
              <w:t>4、作业人员配备绝缘棒、绝缘靴、垫和验电器等防护器材，电气作业人员配备绝缘鞋等。</w:t>
            </w:r>
          </w:p>
        </w:tc>
      </w:tr>
    </w:tbl>
    <w:p>
      <w:pPr>
        <w:pStyle w:val="3"/>
        <w:rPr>
          <w:color w:val="auto"/>
        </w:rPr>
      </w:pPr>
      <w:bookmarkStart w:id="97" w:name="_Toc22479"/>
      <w:bookmarkStart w:id="98" w:name="_Toc26115"/>
      <w:bookmarkStart w:id="99" w:name="_Toc17875"/>
      <w:r>
        <w:rPr>
          <w:color w:val="auto"/>
        </w:rPr>
        <w:t>5.</w:t>
      </w:r>
      <w:r>
        <w:rPr>
          <w:rFonts w:hint="eastAsia"/>
          <w:color w:val="auto"/>
          <w:lang w:val="en-US" w:eastAsia="zh-CN"/>
        </w:rPr>
        <w:t>2</w:t>
      </w:r>
      <w:r>
        <w:rPr>
          <w:color w:val="auto"/>
        </w:rPr>
        <w:t>作业条件危险性评价法（LEC）</w:t>
      </w:r>
      <w:bookmarkEnd w:id="97"/>
      <w:bookmarkEnd w:id="98"/>
      <w:bookmarkEnd w:id="99"/>
    </w:p>
    <w:p>
      <w:pPr>
        <w:pStyle w:val="4"/>
        <w:rPr>
          <w:color w:val="auto"/>
        </w:rPr>
      </w:pPr>
      <w:bookmarkStart w:id="100" w:name="_Toc16577"/>
      <w:bookmarkStart w:id="101" w:name="_Toc24093"/>
      <w:bookmarkStart w:id="102" w:name="_Toc3044"/>
      <w:bookmarkStart w:id="103" w:name="_Toc5425"/>
      <w:r>
        <w:rPr>
          <w:color w:val="auto"/>
        </w:rPr>
        <w:t>5.</w:t>
      </w:r>
      <w:r>
        <w:rPr>
          <w:rFonts w:hint="eastAsia"/>
          <w:color w:val="auto"/>
          <w:lang w:val="en-US" w:eastAsia="zh-CN"/>
        </w:rPr>
        <w:t>2</w:t>
      </w:r>
      <w:r>
        <w:rPr>
          <w:color w:val="auto"/>
        </w:rPr>
        <w:t>.1评价单元</w:t>
      </w:r>
      <w:bookmarkEnd w:id="100"/>
      <w:bookmarkEnd w:id="101"/>
      <w:bookmarkEnd w:id="102"/>
      <w:bookmarkEnd w:id="103"/>
    </w:p>
    <w:p>
      <w:pPr>
        <w:spacing w:line="600" w:lineRule="exact"/>
        <w:ind w:firstLine="560" w:firstLineChars="200"/>
        <w:rPr>
          <w:color w:val="auto"/>
          <w:sz w:val="28"/>
        </w:rPr>
      </w:pPr>
      <w:r>
        <w:rPr>
          <w:color w:val="auto"/>
          <w:sz w:val="28"/>
        </w:rPr>
        <w:t>根据本项目经营过程的分析，确定评价单元为：</w:t>
      </w:r>
      <w:r>
        <w:rPr>
          <w:rFonts w:hAnsi="宋体"/>
          <w:color w:val="auto"/>
          <w:sz w:val="28"/>
          <w:szCs w:val="28"/>
        </w:rPr>
        <w:t>站内道路、配电</w:t>
      </w:r>
      <w:r>
        <w:rPr>
          <w:rFonts w:hint="eastAsia" w:hAnsi="宋体"/>
          <w:color w:val="auto"/>
          <w:sz w:val="28"/>
          <w:szCs w:val="28"/>
        </w:rPr>
        <w:t>间</w:t>
      </w:r>
      <w:r>
        <w:rPr>
          <w:rFonts w:hAnsi="宋体"/>
          <w:color w:val="auto"/>
          <w:sz w:val="28"/>
          <w:szCs w:val="28"/>
        </w:rPr>
        <w:t>作业、维修作业和在寒冷气候和高温气候环境</w:t>
      </w:r>
      <w:r>
        <w:rPr>
          <w:rFonts w:hint="eastAsia"/>
          <w:color w:val="auto"/>
          <w:sz w:val="28"/>
          <w:szCs w:val="28"/>
          <w:lang w:val="en-US" w:eastAsia="zh-CN"/>
        </w:rPr>
        <w:t>充电作业</w:t>
      </w:r>
      <w:r>
        <w:rPr>
          <w:rFonts w:hAnsi="宋体"/>
          <w:bCs/>
          <w:color w:val="auto"/>
          <w:sz w:val="28"/>
          <w:szCs w:val="28"/>
        </w:rPr>
        <w:t>等单元和子单元。</w:t>
      </w:r>
    </w:p>
    <w:p>
      <w:pPr>
        <w:pStyle w:val="4"/>
        <w:rPr>
          <w:color w:val="auto"/>
        </w:rPr>
      </w:pPr>
      <w:bookmarkStart w:id="104" w:name="_Toc904"/>
      <w:bookmarkStart w:id="105" w:name="_Toc16652"/>
      <w:bookmarkStart w:id="106" w:name="_Toc11606"/>
      <w:bookmarkStart w:id="107" w:name="_Toc13923"/>
      <w:r>
        <w:rPr>
          <w:color w:val="auto"/>
        </w:rPr>
        <w:t>5.</w:t>
      </w:r>
      <w:r>
        <w:rPr>
          <w:rFonts w:hint="eastAsia"/>
          <w:color w:val="auto"/>
          <w:lang w:val="en-US" w:eastAsia="zh-CN"/>
        </w:rPr>
        <w:t>2</w:t>
      </w:r>
      <w:r>
        <w:rPr>
          <w:color w:val="auto"/>
        </w:rPr>
        <w:t>.2作业条件危险性评价法的计算结果</w:t>
      </w:r>
      <w:bookmarkEnd w:id="104"/>
      <w:bookmarkEnd w:id="105"/>
      <w:bookmarkEnd w:id="106"/>
      <w:bookmarkEnd w:id="107"/>
    </w:p>
    <w:p>
      <w:pPr>
        <w:spacing w:line="560" w:lineRule="exact"/>
        <w:ind w:firstLine="560" w:firstLineChars="200"/>
        <w:rPr>
          <w:color w:val="auto"/>
          <w:sz w:val="28"/>
        </w:rPr>
      </w:pPr>
      <w:r>
        <w:rPr>
          <w:color w:val="auto"/>
          <w:sz w:val="28"/>
        </w:rPr>
        <w:t>以</w:t>
      </w:r>
      <w:r>
        <w:rPr>
          <w:rFonts w:hint="eastAsia"/>
          <w:color w:val="auto"/>
          <w:sz w:val="28"/>
          <w:lang w:val="en-US" w:eastAsia="zh-CN"/>
        </w:rPr>
        <w:t>充电区车辆充电</w:t>
      </w:r>
      <w:r>
        <w:rPr>
          <w:color w:val="auto"/>
          <w:sz w:val="28"/>
        </w:rPr>
        <w:t>为例说明LEC法的取值及计算过程。各单元计算结果及等级划分见表</w:t>
      </w:r>
      <w:r>
        <w:rPr>
          <w:rFonts w:hint="eastAsia"/>
          <w:color w:val="auto"/>
          <w:sz w:val="28"/>
          <w:lang w:val="en-US" w:eastAsia="zh-CN"/>
        </w:rPr>
        <w:t>4.2</w:t>
      </w:r>
      <w:r>
        <w:rPr>
          <w:color w:val="auto"/>
          <w:sz w:val="28"/>
        </w:rPr>
        <w:t>-</w:t>
      </w:r>
      <w:r>
        <w:rPr>
          <w:rFonts w:hint="eastAsia"/>
          <w:color w:val="auto"/>
          <w:sz w:val="28"/>
          <w:lang w:val="en-US" w:eastAsia="zh-CN"/>
        </w:rPr>
        <w:t>1</w:t>
      </w:r>
      <w:r>
        <w:rPr>
          <w:color w:val="auto"/>
          <w:sz w:val="28"/>
        </w:rPr>
        <w:t>。</w:t>
      </w:r>
    </w:p>
    <w:p>
      <w:pPr>
        <w:spacing w:line="560" w:lineRule="exact"/>
        <w:ind w:firstLine="544" w:firstLineChars="200"/>
        <w:rPr>
          <w:color w:val="auto"/>
          <w:spacing w:val="-4"/>
          <w:sz w:val="28"/>
          <w:szCs w:val="28"/>
        </w:rPr>
      </w:pPr>
      <w:r>
        <w:rPr>
          <w:color w:val="auto"/>
          <w:spacing w:val="-4"/>
          <w:sz w:val="28"/>
          <w:szCs w:val="28"/>
        </w:rPr>
        <w:t>1）事故发生的可能性L：在</w:t>
      </w:r>
      <w:r>
        <w:rPr>
          <w:rFonts w:hint="eastAsia"/>
          <w:color w:val="auto"/>
          <w:sz w:val="28"/>
          <w:lang w:val="en-US" w:eastAsia="zh-CN"/>
        </w:rPr>
        <w:t>车辆充电</w:t>
      </w:r>
      <w:r>
        <w:rPr>
          <w:color w:val="auto"/>
          <w:spacing w:val="-4"/>
          <w:sz w:val="28"/>
          <w:szCs w:val="28"/>
        </w:rPr>
        <w:t>过程中，由于</w:t>
      </w:r>
      <w:r>
        <w:rPr>
          <w:rFonts w:hint="eastAsia"/>
          <w:color w:val="auto"/>
          <w:spacing w:val="-4"/>
          <w:sz w:val="28"/>
          <w:szCs w:val="28"/>
          <w:lang w:val="en-US" w:eastAsia="zh-CN"/>
        </w:rPr>
        <w:t>线路老化、绝缘失效、过载或短路等</w:t>
      </w:r>
      <w:r>
        <w:rPr>
          <w:color w:val="auto"/>
          <w:spacing w:val="-4"/>
          <w:sz w:val="28"/>
          <w:szCs w:val="28"/>
        </w:rPr>
        <w:t>，可能发生火灾事故，</w:t>
      </w:r>
      <w:r>
        <w:rPr>
          <w:rFonts w:hint="eastAsia"/>
          <w:color w:val="auto"/>
          <w:spacing w:val="-4"/>
          <w:sz w:val="28"/>
          <w:szCs w:val="28"/>
          <w:lang w:val="en-US" w:eastAsia="zh-CN"/>
        </w:rPr>
        <w:t>若有混动汽车甚至可能发生爆炸事故，</w:t>
      </w:r>
      <w:r>
        <w:rPr>
          <w:color w:val="auto"/>
          <w:spacing w:val="-4"/>
          <w:sz w:val="28"/>
          <w:szCs w:val="28"/>
        </w:rPr>
        <w:t>但在安全设施完备、严格按规程作业时一般不会发生事故，故属“</w:t>
      </w:r>
      <w:r>
        <w:rPr>
          <w:color w:val="auto"/>
          <w:szCs w:val="21"/>
        </w:rPr>
        <w:t>极不可能，可以设想</w:t>
      </w:r>
      <w:r>
        <w:rPr>
          <w:color w:val="auto"/>
          <w:spacing w:val="-4"/>
          <w:sz w:val="28"/>
          <w:szCs w:val="28"/>
        </w:rPr>
        <w:t>”，故其分值L＝</w:t>
      </w:r>
      <w:r>
        <w:rPr>
          <w:rFonts w:hint="eastAsia"/>
          <w:color w:val="auto"/>
          <w:spacing w:val="-4"/>
          <w:sz w:val="28"/>
          <w:szCs w:val="28"/>
          <w:lang w:val="en-US" w:eastAsia="zh-CN"/>
        </w:rPr>
        <w:t>0.5</w:t>
      </w:r>
      <w:r>
        <w:rPr>
          <w:color w:val="auto"/>
          <w:spacing w:val="-4"/>
          <w:sz w:val="28"/>
          <w:szCs w:val="28"/>
        </w:rPr>
        <w:t>；</w:t>
      </w:r>
    </w:p>
    <w:p>
      <w:pPr>
        <w:spacing w:line="560" w:lineRule="exact"/>
        <w:ind w:firstLine="560" w:firstLineChars="200"/>
        <w:rPr>
          <w:color w:val="auto"/>
          <w:sz w:val="28"/>
        </w:rPr>
      </w:pPr>
      <w:r>
        <w:rPr>
          <w:color w:val="auto"/>
          <w:sz w:val="28"/>
        </w:rPr>
        <w:t>2）暴露于危险环境的频繁程度E：员工</w:t>
      </w:r>
      <w:r>
        <w:rPr>
          <w:rFonts w:hint="eastAsia"/>
          <w:color w:val="auto"/>
          <w:sz w:val="28"/>
          <w:lang w:val="en-US" w:eastAsia="zh-CN"/>
        </w:rPr>
        <w:t>上班时间暴露</w:t>
      </w:r>
      <w:r>
        <w:rPr>
          <w:color w:val="auto"/>
          <w:sz w:val="28"/>
        </w:rPr>
        <w:t>，故取E＝</w:t>
      </w:r>
      <w:r>
        <w:rPr>
          <w:rFonts w:hint="eastAsia"/>
          <w:color w:val="auto"/>
          <w:sz w:val="28"/>
          <w:lang w:val="en-US" w:eastAsia="zh-CN"/>
        </w:rPr>
        <w:t>6</w:t>
      </w:r>
      <w:r>
        <w:rPr>
          <w:color w:val="auto"/>
          <w:sz w:val="28"/>
        </w:rPr>
        <w:t>；</w:t>
      </w:r>
    </w:p>
    <w:p>
      <w:pPr>
        <w:spacing w:line="560" w:lineRule="exact"/>
        <w:ind w:firstLine="560" w:firstLineChars="200"/>
        <w:rPr>
          <w:color w:val="auto"/>
          <w:sz w:val="28"/>
        </w:rPr>
      </w:pPr>
      <w:r>
        <w:rPr>
          <w:color w:val="auto"/>
          <w:sz w:val="28"/>
        </w:rPr>
        <w:t>3）发生事故产生的后果C：发生火灾、爆炸事故，可能造成人员死亡或重大的财产损失。故取C＝15；</w:t>
      </w:r>
    </w:p>
    <w:p>
      <w:pPr>
        <w:spacing w:line="560" w:lineRule="exact"/>
        <w:ind w:firstLine="560" w:firstLineChars="200"/>
        <w:rPr>
          <w:color w:val="auto"/>
          <w:sz w:val="28"/>
        </w:rPr>
      </w:pPr>
      <w:r>
        <w:rPr>
          <w:color w:val="auto"/>
          <w:sz w:val="28"/>
        </w:rPr>
        <w:t>D＝L×E×C＝</w:t>
      </w:r>
      <w:r>
        <w:rPr>
          <w:rFonts w:hint="eastAsia"/>
          <w:color w:val="auto"/>
          <w:sz w:val="28"/>
          <w:lang w:val="en-US" w:eastAsia="zh-CN"/>
        </w:rPr>
        <w:t>0.5</w:t>
      </w:r>
      <w:r>
        <w:rPr>
          <w:color w:val="auto"/>
          <w:sz w:val="28"/>
        </w:rPr>
        <w:t>×</w:t>
      </w:r>
      <w:r>
        <w:rPr>
          <w:rFonts w:hint="eastAsia"/>
          <w:color w:val="auto"/>
          <w:sz w:val="28"/>
          <w:lang w:val="en-US" w:eastAsia="zh-CN"/>
        </w:rPr>
        <w:t>6</w:t>
      </w:r>
      <w:r>
        <w:rPr>
          <w:color w:val="auto"/>
          <w:sz w:val="28"/>
        </w:rPr>
        <w:t>×15＝45。</w:t>
      </w:r>
    </w:p>
    <w:p>
      <w:pPr>
        <w:spacing w:line="560" w:lineRule="exact"/>
        <w:ind w:firstLine="560" w:firstLineChars="200"/>
        <w:rPr>
          <w:color w:val="auto"/>
          <w:sz w:val="24"/>
        </w:rPr>
      </w:pPr>
      <w:r>
        <w:rPr>
          <w:color w:val="auto"/>
          <w:sz w:val="28"/>
        </w:rPr>
        <w:t>结论：</w:t>
      </w:r>
      <w:r>
        <w:rPr>
          <w:rFonts w:hint="eastAsia"/>
          <w:color w:val="auto"/>
          <w:sz w:val="28"/>
          <w:lang w:val="en-US" w:eastAsia="zh-CN"/>
        </w:rPr>
        <w:t>充电区车辆充电</w:t>
      </w:r>
      <w:r>
        <w:rPr>
          <w:color w:val="auto"/>
          <w:sz w:val="28"/>
        </w:rPr>
        <w:t>属“一般危险”范围。</w:t>
      </w:r>
    </w:p>
    <w:p>
      <w:pPr>
        <w:pStyle w:val="43"/>
        <w:bidi w:val="0"/>
        <w:rPr>
          <w:b/>
          <w:bCs/>
          <w:color w:val="auto"/>
          <w:sz w:val="24"/>
        </w:rPr>
      </w:pPr>
      <w:r>
        <w:rPr>
          <w:rFonts w:hAnsi="宋体"/>
          <w:b/>
          <w:bCs/>
          <w:color w:val="auto"/>
          <w:sz w:val="24"/>
        </w:rPr>
        <w:t>表</w:t>
      </w:r>
      <w:r>
        <w:rPr>
          <w:b/>
          <w:color w:val="auto"/>
          <w:sz w:val="24"/>
        </w:rPr>
        <w:t>5</w:t>
      </w:r>
      <w:r>
        <w:rPr>
          <w:rFonts w:hint="eastAsia"/>
          <w:b/>
          <w:color w:val="auto"/>
          <w:sz w:val="24"/>
          <w:lang w:val="en-US" w:eastAsia="zh-CN"/>
        </w:rPr>
        <w:t>.2-1</w:t>
      </w:r>
      <w:r>
        <w:rPr>
          <w:rFonts w:hint="eastAsia" w:hAnsi="宋体"/>
          <w:color w:val="auto"/>
          <w:sz w:val="24"/>
        </w:rPr>
        <w:t xml:space="preserve">  </w:t>
      </w:r>
      <w:r>
        <w:rPr>
          <w:rFonts w:hAnsi="宋体"/>
          <w:b/>
          <w:bCs/>
          <w:color w:val="auto"/>
          <w:sz w:val="24"/>
        </w:rPr>
        <w:t>各单元危险评价表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1173"/>
        <w:gridCol w:w="877"/>
        <w:gridCol w:w="2648"/>
        <w:gridCol w:w="576"/>
        <w:gridCol w:w="519"/>
        <w:gridCol w:w="609"/>
        <w:gridCol w:w="818"/>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exact"/>
        </w:trPr>
        <w:tc>
          <w:tcPr>
            <w:tcW w:w="721" w:type="dxa"/>
            <w:vMerge w:val="restart"/>
            <w:noWrap w:val="0"/>
            <w:vAlign w:val="center"/>
          </w:tcPr>
          <w:p>
            <w:pPr>
              <w:pStyle w:val="38"/>
              <w:bidi w:val="0"/>
              <w:rPr>
                <w:color w:val="auto"/>
              </w:rPr>
            </w:pPr>
            <w:r>
              <w:rPr>
                <w:color w:val="auto"/>
              </w:rPr>
              <w:t>序号</w:t>
            </w:r>
          </w:p>
        </w:tc>
        <w:tc>
          <w:tcPr>
            <w:tcW w:w="2050" w:type="dxa"/>
            <w:gridSpan w:val="2"/>
            <w:vMerge w:val="restart"/>
            <w:noWrap w:val="0"/>
            <w:vAlign w:val="center"/>
          </w:tcPr>
          <w:p>
            <w:pPr>
              <w:pStyle w:val="38"/>
              <w:bidi w:val="0"/>
              <w:rPr>
                <w:color w:val="auto"/>
              </w:rPr>
            </w:pPr>
            <w:r>
              <w:rPr>
                <w:color w:val="auto"/>
              </w:rPr>
              <w:t>评价单元</w:t>
            </w:r>
          </w:p>
        </w:tc>
        <w:tc>
          <w:tcPr>
            <w:tcW w:w="2648" w:type="dxa"/>
            <w:vMerge w:val="restart"/>
            <w:noWrap w:val="0"/>
            <w:vAlign w:val="center"/>
          </w:tcPr>
          <w:p>
            <w:pPr>
              <w:pStyle w:val="38"/>
              <w:bidi w:val="0"/>
              <w:rPr>
                <w:color w:val="auto"/>
              </w:rPr>
            </w:pPr>
            <w:r>
              <w:rPr>
                <w:color w:val="auto"/>
              </w:rPr>
              <w:t>危险源及潜在危险</w:t>
            </w:r>
          </w:p>
        </w:tc>
        <w:tc>
          <w:tcPr>
            <w:tcW w:w="2522" w:type="dxa"/>
            <w:gridSpan w:val="4"/>
            <w:noWrap w:val="0"/>
            <w:vAlign w:val="center"/>
          </w:tcPr>
          <w:p>
            <w:pPr>
              <w:pStyle w:val="38"/>
              <w:bidi w:val="0"/>
              <w:rPr>
                <w:color w:val="auto"/>
              </w:rPr>
            </w:pPr>
            <w:r>
              <w:rPr>
                <w:color w:val="auto"/>
              </w:rPr>
              <w:t>D</w:t>
            </w:r>
            <w:r>
              <w:rPr>
                <w:color w:val="auto"/>
                <w:lang w:val="en-GB"/>
              </w:rPr>
              <w:t>＝</w:t>
            </w:r>
            <w:r>
              <w:rPr>
                <w:color w:val="auto"/>
              </w:rPr>
              <w:t>L×E×C</w:t>
            </w:r>
          </w:p>
        </w:tc>
        <w:tc>
          <w:tcPr>
            <w:tcW w:w="1256" w:type="dxa"/>
            <w:vMerge w:val="restart"/>
            <w:noWrap w:val="0"/>
            <w:vAlign w:val="center"/>
          </w:tcPr>
          <w:p>
            <w:pPr>
              <w:pStyle w:val="38"/>
              <w:bidi w:val="0"/>
              <w:rPr>
                <w:color w:val="auto"/>
              </w:rPr>
            </w:pPr>
            <w:r>
              <w:rPr>
                <w:color w:val="auto"/>
              </w:rPr>
              <w:t>危险等级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721" w:type="dxa"/>
            <w:vMerge w:val="continue"/>
            <w:noWrap w:val="0"/>
            <w:vAlign w:val="center"/>
          </w:tcPr>
          <w:p>
            <w:pPr>
              <w:pStyle w:val="38"/>
              <w:bidi w:val="0"/>
              <w:rPr>
                <w:color w:val="auto"/>
              </w:rPr>
            </w:pPr>
          </w:p>
        </w:tc>
        <w:tc>
          <w:tcPr>
            <w:tcW w:w="2050" w:type="dxa"/>
            <w:gridSpan w:val="2"/>
            <w:vMerge w:val="continue"/>
            <w:noWrap w:val="0"/>
            <w:vAlign w:val="center"/>
          </w:tcPr>
          <w:p>
            <w:pPr>
              <w:pStyle w:val="38"/>
              <w:bidi w:val="0"/>
              <w:rPr>
                <w:color w:val="auto"/>
              </w:rPr>
            </w:pPr>
          </w:p>
        </w:tc>
        <w:tc>
          <w:tcPr>
            <w:tcW w:w="2648" w:type="dxa"/>
            <w:vMerge w:val="continue"/>
            <w:noWrap w:val="0"/>
            <w:vAlign w:val="center"/>
          </w:tcPr>
          <w:p>
            <w:pPr>
              <w:pStyle w:val="38"/>
              <w:bidi w:val="0"/>
              <w:rPr>
                <w:color w:val="auto"/>
              </w:rPr>
            </w:pPr>
          </w:p>
        </w:tc>
        <w:tc>
          <w:tcPr>
            <w:tcW w:w="576" w:type="dxa"/>
            <w:noWrap w:val="0"/>
            <w:vAlign w:val="center"/>
          </w:tcPr>
          <w:p>
            <w:pPr>
              <w:pStyle w:val="38"/>
              <w:bidi w:val="0"/>
              <w:rPr>
                <w:color w:val="auto"/>
              </w:rPr>
            </w:pPr>
            <w:r>
              <w:rPr>
                <w:color w:val="auto"/>
              </w:rPr>
              <w:t>L</w:t>
            </w:r>
          </w:p>
        </w:tc>
        <w:tc>
          <w:tcPr>
            <w:tcW w:w="519" w:type="dxa"/>
            <w:noWrap w:val="0"/>
            <w:vAlign w:val="center"/>
          </w:tcPr>
          <w:p>
            <w:pPr>
              <w:pStyle w:val="38"/>
              <w:bidi w:val="0"/>
              <w:rPr>
                <w:color w:val="auto"/>
              </w:rPr>
            </w:pPr>
            <w:r>
              <w:rPr>
                <w:color w:val="auto"/>
              </w:rPr>
              <w:t>E</w:t>
            </w:r>
          </w:p>
        </w:tc>
        <w:tc>
          <w:tcPr>
            <w:tcW w:w="609" w:type="dxa"/>
            <w:noWrap w:val="0"/>
            <w:vAlign w:val="center"/>
          </w:tcPr>
          <w:p>
            <w:pPr>
              <w:pStyle w:val="38"/>
              <w:bidi w:val="0"/>
              <w:rPr>
                <w:color w:val="auto"/>
              </w:rPr>
            </w:pPr>
            <w:r>
              <w:rPr>
                <w:color w:val="auto"/>
              </w:rPr>
              <w:t>C</w:t>
            </w:r>
          </w:p>
        </w:tc>
        <w:tc>
          <w:tcPr>
            <w:tcW w:w="818" w:type="dxa"/>
            <w:noWrap w:val="0"/>
            <w:vAlign w:val="center"/>
          </w:tcPr>
          <w:p>
            <w:pPr>
              <w:pStyle w:val="38"/>
              <w:bidi w:val="0"/>
              <w:rPr>
                <w:color w:val="auto"/>
              </w:rPr>
            </w:pPr>
            <w:r>
              <w:rPr>
                <w:color w:val="auto"/>
              </w:rPr>
              <w:t>D</w:t>
            </w:r>
          </w:p>
        </w:tc>
        <w:tc>
          <w:tcPr>
            <w:tcW w:w="1256" w:type="dxa"/>
            <w:vMerge w:val="continue"/>
            <w:noWrap w:val="0"/>
            <w:vAlign w:val="center"/>
          </w:tcPr>
          <w:p>
            <w:pPr>
              <w:pStyle w:val="38"/>
              <w:bidi w:val="0"/>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21" w:type="dxa"/>
            <w:vMerge w:val="restart"/>
            <w:noWrap w:val="0"/>
            <w:vAlign w:val="center"/>
          </w:tcPr>
          <w:p>
            <w:pPr>
              <w:pStyle w:val="38"/>
              <w:bidi w:val="0"/>
              <w:rPr>
                <w:rFonts w:hint="eastAsia"/>
                <w:color w:val="auto"/>
                <w:lang w:eastAsia="zh-CN"/>
              </w:rPr>
            </w:pPr>
            <w:r>
              <w:rPr>
                <w:rFonts w:hint="eastAsia"/>
                <w:color w:val="auto"/>
                <w:lang w:val="en-US" w:eastAsia="zh-CN"/>
              </w:rPr>
              <w:t>1</w:t>
            </w:r>
          </w:p>
        </w:tc>
        <w:tc>
          <w:tcPr>
            <w:tcW w:w="1173" w:type="dxa"/>
            <w:vMerge w:val="restart"/>
            <w:noWrap w:val="0"/>
            <w:vAlign w:val="center"/>
          </w:tcPr>
          <w:p>
            <w:pPr>
              <w:pStyle w:val="38"/>
              <w:bidi w:val="0"/>
              <w:rPr>
                <w:rFonts w:hint="eastAsia"/>
                <w:color w:val="auto"/>
              </w:rPr>
            </w:pPr>
            <w:r>
              <w:rPr>
                <w:rFonts w:hint="eastAsia"/>
                <w:color w:val="auto"/>
              </w:rPr>
              <w:t>充电区</w:t>
            </w:r>
          </w:p>
          <w:p>
            <w:pPr>
              <w:pStyle w:val="38"/>
              <w:bidi w:val="0"/>
              <w:rPr>
                <w:color w:val="auto"/>
              </w:rPr>
            </w:pPr>
            <w:r>
              <w:rPr>
                <w:rFonts w:hint="eastAsia"/>
                <w:color w:val="auto"/>
              </w:rPr>
              <w:t>单元</w:t>
            </w:r>
          </w:p>
        </w:tc>
        <w:tc>
          <w:tcPr>
            <w:tcW w:w="877" w:type="dxa"/>
            <w:vMerge w:val="restart"/>
            <w:noWrap w:val="0"/>
            <w:vAlign w:val="center"/>
          </w:tcPr>
          <w:p>
            <w:pPr>
              <w:pStyle w:val="38"/>
              <w:bidi w:val="0"/>
              <w:rPr>
                <w:rFonts w:hint="eastAsia"/>
                <w:color w:val="auto"/>
              </w:rPr>
            </w:pPr>
            <w:r>
              <w:rPr>
                <w:rFonts w:hint="eastAsia"/>
                <w:color w:val="auto"/>
              </w:rPr>
              <w:t>车辆</w:t>
            </w:r>
          </w:p>
          <w:p>
            <w:pPr>
              <w:pStyle w:val="38"/>
              <w:bidi w:val="0"/>
              <w:rPr>
                <w:color w:val="auto"/>
              </w:rPr>
            </w:pPr>
            <w:r>
              <w:rPr>
                <w:rFonts w:hint="eastAsia"/>
                <w:color w:val="auto"/>
              </w:rPr>
              <w:t>充电</w:t>
            </w:r>
          </w:p>
        </w:tc>
        <w:tc>
          <w:tcPr>
            <w:tcW w:w="2648" w:type="dxa"/>
            <w:noWrap w:val="0"/>
            <w:vAlign w:val="center"/>
          </w:tcPr>
          <w:p>
            <w:pPr>
              <w:pStyle w:val="38"/>
              <w:bidi w:val="0"/>
              <w:rPr>
                <w:rFonts w:hint="default"/>
                <w:color w:val="auto"/>
                <w:lang w:val="en-US" w:eastAsia="zh-CN"/>
              </w:rPr>
            </w:pPr>
            <w:r>
              <w:rPr>
                <w:color w:val="auto"/>
              </w:rPr>
              <w:t>火灾</w:t>
            </w:r>
            <w:r>
              <w:rPr>
                <w:rFonts w:hint="eastAsia"/>
                <w:color w:val="auto"/>
                <w:lang w:eastAsia="zh-CN"/>
              </w:rPr>
              <w:t>、</w:t>
            </w:r>
            <w:r>
              <w:rPr>
                <w:rFonts w:hint="eastAsia"/>
                <w:color w:val="auto"/>
                <w:lang w:val="en-US" w:eastAsia="zh-CN"/>
              </w:rPr>
              <w:t>爆炸</w:t>
            </w:r>
          </w:p>
        </w:tc>
        <w:tc>
          <w:tcPr>
            <w:tcW w:w="576" w:type="dxa"/>
            <w:noWrap w:val="0"/>
            <w:vAlign w:val="center"/>
          </w:tcPr>
          <w:p>
            <w:pPr>
              <w:pStyle w:val="38"/>
              <w:bidi w:val="0"/>
              <w:rPr>
                <w:color w:val="auto"/>
              </w:rPr>
            </w:pPr>
            <w:r>
              <w:rPr>
                <w:rFonts w:hint="eastAsia"/>
                <w:color w:val="auto"/>
              </w:rPr>
              <w:t>0.5</w:t>
            </w:r>
          </w:p>
        </w:tc>
        <w:tc>
          <w:tcPr>
            <w:tcW w:w="519" w:type="dxa"/>
            <w:noWrap w:val="0"/>
            <w:vAlign w:val="center"/>
          </w:tcPr>
          <w:p>
            <w:pPr>
              <w:pStyle w:val="38"/>
              <w:bidi w:val="0"/>
              <w:rPr>
                <w:color w:val="auto"/>
              </w:rPr>
            </w:pPr>
            <w:r>
              <w:rPr>
                <w:color w:val="auto"/>
              </w:rPr>
              <w:t>6</w:t>
            </w:r>
          </w:p>
        </w:tc>
        <w:tc>
          <w:tcPr>
            <w:tcW w:w="609" w:type="dxa"/>
            <w:noWrap w:val="0"/>
            <w:vAlign w:val="center"/>
          </w:tcPr>
          <w:p>
            <w:pPr>
              <w:pStyle w:val="38"/>
              <w:bidi w:val="0"/>
              <w:rPr>
                <w:color w:val="auto"/>
              </w:rPr>
            </w:pPr>
            <w:r>
              <w:rPr>
                <w:rFonts w:hint="eastAsia"/>
                <w:color w:val="auto"/>
              </w:rPr>
              <w:t>15</w:t>
            </w:r>
          </w:p>
        </w:tc>
        <w:tc>
          <w:tcPr>
            <w:tcW w:w="818" w:type="dxa"/>
            <w:noWrap w:val="0"/>
            <w:vAlign w:val="center"/>
          </w:tcPr>
          <w:p>
            <w:pPr>
              <w:pStyle w:val="38"/>
              <w:bidi w:val="0"/>
              <w:rPr>
                <w:color w:val="auto"/>
              </w:rPr>
            </w:pPr>
            <w:r>
              <w:rPr>
                <w:rFonts w:hint="eastAsia"/>
                <w:color w:val="auto"/>
              </w:rPr>
              <w:t>45</w:t>
            </w:r>
          </w:p>
        </w:tc>
        <w:tc>
          <w:tcPr>
            <w:tcW w:w="1256" w:type="dxa"/>
            <w:noWrap w:val="0"/>
            <w:vAlign w:val="center"/>
          </w:tcPr>
          <w:p>
            <w:pPr>
              <w:pStyle w:val="38"/>
              <w:bidi w:val="0"/>
              <w:rPr>
                <w:color w:val="auto"/>
              </w:rPr>
            </w:pPr>
            <w:r>
              <w:rPr>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exact"/>
        </w:trPr>
        <w:tc>
          <w:tcPr>
            <w:tcW w:w="721" w:type="dxa"/>
            <w:vMerge w:val="continue"/>
            <w:noWrap w:val="0"/>
            <w:vAlign w:val="center"/>
          </w:tcPr>
          <w:p>
            <w:pPr>
              <w:pStyle w:val="38"/>
              <w:bidi w:val="0"/>
              <w:rPr>
                <w:rFonts w:hint="eastAsia"/>
                <w:color w:val="auto"/>
              </w:rPr>
            </w:pPr>
          </w:p>
        </w:tc>
        <w:tc>
          <w:tcPr>
            <w:tcW w:w="1173" w:type="dxa"/>
            <w:vMerge w:val="continue"/>
            <w:noWrap w:val="0"/>
            <w:vAlign w:val="center"/>
          </w:tcPr>
          <w:p>
            <w:pPr>
              <w:pStyle w:val="38"/>
              <w:bidi w:val="0"/>
              <w:rPr>
                <w:rFonts w:hint="eastAsia"/>
                <w:color w:val="auto"/>
              </w:rPr>
            </w:pPr>
          </w:p>
        </w:tc>
        <w:tc>
          <w:tcPr>
            <w:tcW w:w="877" w:type="dxa"/>
            <w:vMerge w:val="continue"/>
            <w:noWrap w:val="0"/>
            <w:vAlign w:val="center"/>
          </w:tcPr>
          <w:p>
            <w:pPr>
              <w:pStyle w:val="38"/>
              <w:bidi w:val="0"/>
              <w:rPr>
                <w:rFonts w:hint="eastAsia"/>
                <w:color w:val="auto"/>
              </w:rPr>
            </w:pPr>
          </w:p>
        </w:tc>
        <w:tc>
          <w:tcPr>
            <w:tcW w:w="2648" w:type="dxa"/>
            <w:noWrap w:val="0"/>
            <w:vAlign w:val="center"/>
          </w:tcPr>
          <w:p>
            <w:pPr>
              <w:pStyle w:val="38"/>
              <w:bidi w:val="0"/>
              <w:rPr>
                <w:color w:val="auto"/>
              </w:rPr>
            </w:pPr>
            <w:r>
              <w:rPr>
                <w:color w:val="auto"/>
              </w:rPr>
              <w:t>触电</w:t>
            </w:r>
          </w:p>
        </w:tc>
        <w:tc>
          <w:tcPr>
            <w:tcW w:w="576" w:type="dxa"/>
            <w:noWrap w:val="0"/>
            <w:vAlign w:val="center"/>
          </w:tcPr>
          <w:p>
            <w:pPr>
              <w:pStyle w:val="38"/>
              <w:bidi w:val="0"/>
              <w:rPr>
                <w:rFonts w:hint="eastAsia"/>
                <w:color w:val="auto"/>
              </w:rPr>
            </w:pPr>
            <w:r>
              <w:rPr>
                <w:rFonts w:hint="eastAsia"/>
                <w:color w:val="auto"/>
              </w:rPr>
              <w:t>0.5</w:t>
            </w:r>
          </w:p>
        </w:tc>
        <w:tc>
          <w:tcPr>
            <w:tcW w:w="519" w:type="dxa"/>
            <w:noWrap w:val="0"/>
            <w:vAlign w:val="center"/>
          </w:tcPr>
          <w:p>
            <w:pPr>
              <w:pStyle w:val="38"/>
              <w:bidi w:val="0"/>
              <w:rPr>
                <w:rFonts w:hint="eastAsia"/>
                <w:color w:val="auto"/>
              </w:rPr>
            </w:pPr>
            <w:r>
              <w:rPr>
                <w:rFonts w:hint="eastAsia"/>
                <w:color w:val="auto"/>
              </w:rPr>
              <w:t>6</w:t>
            </w:r>
          </w:p>
        </w:tc>
        <w:tc>
          <w:tcPr>
            <w:tcW w:w="609" w:type="dxa"/>
            <w:noWrap w:val="0"/>
            <w:vAlign w:val="center"/>
          </w:tcPr>
          <w:p>
            <w:pPr>
              <w:pStyle w:val="38"/>
              <w:bidi w:val="0"/>
              <w:rPr>
                <w:color w:val="auto"/>
              </w:rPr>
            </w:pPr>
            <w:r>
              <w:rPr>
                <w:color w:val="auto"/>
              </w:rPr>
              <w:t>15</w:t>
            </w:r>
          </w:p>
        </w:tc>
        <w:tc>
          <w:tcPr>
            <w:tcW w:w="818" w:type="dxa"/>
            <w:noWrap w:val="0"/>
            <w:vAlign w:val="center"/>
          </w:tcPr>
          <w:p>
            <w:pPr>
              <w:pStyle w:val="38"/>
              <w:bidi w:val="0"/>
              <w:rPr>
                <w:color w:val="auto"/>
              </w:rPr>
            </w:pPr>
            <w:r>
              <w:rPr>
                <w:color w:val="auto"/>
              </w:rPr>
              <w:t>45</w:t>
            </w:r>
          </w:p>
        </w:tc>
        <w:tc>
          <w:tcPr>
            <w:tcW w:w="1256" w:type="dxa"/>
            <w:noWrap w:val="0"/>
            <w:vAlign w:val="center"/>
          </w:tcPr>
          <w:p>
            <w:pPr>
              <w:pStyle w:val="38"/>
              <w:bidi w:val="0"/>
              <w:rPr>
                <w:color w:val="auto"/>
              </w:rPr>
            </w:pPr>
            <w:r>
              <w:rPr>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trPr>
        <w:tc>
          <w:tcPr>
            <w:tcW w:w="721" w:type="dxa"/>
            <w:vMerge w:val="continue"/>
            <w:noWrap w:val="0"/>
            <w:vAlign w:val="center"/>
          </w:tcPr>
          <w:p>
            <w:pPr>
              <w:pStyle w:val="38"/>
              <w:bidi w:val="0"/>
              <w:rPr>
                <w:rFonts w:hint="eastAsia"/>
                <w:color w:val="auto"/>
              </w:rPr>
            </w:pPr>
          </w:p>
        </w:tc>
        <w:tc>
          <w:tcPr>
            <w:tcW w:w="1173" w:type="dxa"/>
            <w:vMerge w:val="continue"/>
            <w:noWrap w:val="0"/>
            <w:vAlign w:val="center"/>
          </w:tcPr>
          <w:p>
            <w:pPr>
              <w:pStyle w:val="38"/>
              <w:bidi w:val="0"/>
              <w:rPr>
                <w:rFonts w:hint="eastAsia"/>
                <w:color w:val="auto"/>
              </w:rPr>
            </w:pPr>
          </w:p>
        </w:tc>
        <w:tc>
          <w:tcPr>
            <w:tcW w:w="877" w:type="dxa"/>
            <w:vMerge w:val="continue"/>
            <w:noWrap w:val="0"/>
            <w:vAlign w:val="center"/>
          </w:tcPr>
          <w:p>
            <w:pPr>
              <w:pStyle w:val="38"/>
              <w:bidi w:val="0"/>
              <w:rPr>
                <w:rFonts w:hint="eastAsia"/>
                <w:color w:val="auto"/>
              </w:rPr>
            </w:pPr>
          </w:p>
        </w:tc>
        <w:tc>
          <w:tcPr>
            <w:tcW w:w="2648" w:type="dxa"/>
            <w:noWrap w:val="0"/>
            <w:vAlign w:val="center"/>
          </w:tcPr>
          <w:p>
            <w:pPr>
              <w:pStyle w:val="38"/>
              <w:bidi w:val="0"/>
              <w:rPr>
                <w:color w:val="auto"/>
              </w:rPr>
            </w:pPr>
            <w:r>
              <w:rPr>
                <w:color w:val="auto"/>
              </w:rPr>
              <w:t>车辆伤害</w:t>
            </w:r>
          </w:p>
        </w:tc>
        <w:tc>
          <w:tcPr>
            <w:tcW w:w="576" w:type="dxa"/>
            <w:noWrap w:val="0"/>
            <w:vAlign w:val="center"/>
          </w:tcPr>
          <w:p>
            <w:pPr>
              <w:pStyle w:val="38"/>
              <w:bidi w:val="0"/>
              <w:rPr>
                <w:color w:val="auto"/>
              </w:rPr>
            </w:pPr>
            <w:r>
              <w:rPr>
                <w:rFonts w:hint="eastAsia"/>
                <w:color w:val="auto"/>
              </w:rPr>
              <w:t>0.5</w:t>
            </w:r>
          </w:p>
        </w:tc>
        <w:tc>
          <w:tcPr>
            <w:tcW w:w="519" w:type="dxa"/>
            <w:noWrap w:val="0"/>
            <w:vAlign w:val="center"/>
          </w:tcPr>
          <w:p>
            <w:pPr>
              <w:pStyle w:val="38"/>
              <w:bidi w:val="0"/>
              <w:rPr>
                <w:color w:val="auto"/>
              </w:rPr>
            </w:pPr>
            <w:r>
              <w:rPr>
                <w:color w:val="auto"/>
              </w:rPr>
              <w:t>6</w:t>
            </w:r>
          </w:p>
        </w:tc>
        <w:tc>
          <w:tcPr>
            <w:tcW w:w="609" w:type="dxa"/>
            <w:noWrap w:val="0"/>
            <w:vAlign w:val="center"/>
          </w:tcPr>
          <w:p>
            <w:pPr>
              <w:pStyle w:val="38"/>
              <w:bidi w:val="0"/>
              <w:rPr>
                <w:color w:val="auto"/>
              </w:rPr>
            </w:pPr>
            <w:r>
              <w:rPr>
                <w:rFonts w:hint="eastAsia"/>
                <w:color w:val="auto"/>
              </w:rPr>
              <w:t>7</w:t>
            </w:r>
          </w:p>
        </w:tc>
        <w:tc>
          <w:tcPr>
            <w:tcW w:w="818" w:type="dxa"/>
            <w:noWrap w:val="0"/>
            <w:vAlign w:val="center"/>
          </w:tcPr>
          <w:p>
            <w:pPr>
              <w:pStyle w:val="38"/>
              <w:bidi w:val="0"/>
              <w:rPr>
                <w:rFonts w:hint="default"/>
                <w:color w:val="auto"/>
                <w:lang w:val="en-US" w:eastAsia="zh-CN"/>
              </w:rPr>
            </w:pPr>
            <w:r>
              <w:rPr>
                <w:rFonts w:hint="eastAsia"/>
                <w:color w:val="auto"/>
                <w:lang w:val="en-US" w:eastAsia="zh-CN"/>
              </w:rPr>
              <w:t>21</w:t>
            </w:r>
          </w:p>
        </w:tc>
        <w:tc>
          <w:tcPr>
            <w:tcW w:w="1256" w:type="dxa"/>
            <w:noWrap w:val="0"/>
            <w:vAlign w:val="center"/>
          </w:tcPr>
          <w:p>
            <w:pPr>
              <w:pStyle w:val="38"/>
              <w:bidi w:val="0"/>
              <w:rPr>
                <w:color w:val="auto"/>
              </w:rPr>
            </w:pPr>
            <w:r>
              <w:rPr>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721" w:type="dxa"/>
            <w:vMerge w:val="restart"/>
            <w:noWrap w:val="0"/>
            <w:vAlign w:val="center"/>
          </w:tcPr>
          <w:p>
            <w:pPr>
              <w:pStyle w:val="38"/>
              <w:bidi w:val="0"/>
              <w:rPr>
                <w:rFonts w:hint="eastAsia" w:eastAsia="宋体"/>
                <w:color w:val="auto"/>
                <w:lang w:eastAsia="zh-CN"/>
              </w:rPr>
            </w:pPr>
            <w:r>
              <w:rPr>
                <w:rFonts w:hint="eastAsia"/>
                <w:color w:val="auto"/>
                <w:lang w:val="en-US" w:eastAsia="zh-CN"/>
              </w:rPr>
              <w:t>2</w:t>
            </w:r>
          </w:p>
        </w:tc>
        <w:tc>
          <w:tcPr>
            <w:tcW w:w="1173" w:type="dxa"/>
            <w:vMerge w:val="restart"/>
            <w:noWrap w:val="0"/>
            <w:vAlign w:val="center"/>
          </w:tcPr>
          <w:p>
            <w:pPr>
              <w:pStyle w:val="38"/>
              <w:bidi w:val="0"/>
              <w:rPr>
                <w:rFonts w:hint="eastAsia"/>
                <w:color w:val="auto"/>
              </w:rPr>
            </w:pPr>
            <w:r>
              <w:rPr>
                <w:rFonts w:hint="eastAsia"/>
                <w:color w:val="auto"/>
              </w:rPr>
              <w:t>辅助</w:t>
            </w:r>
          </w:p>
          <w:p>
            <w:pPr>
              <w:pStyle w:val="38"/>
              <w:bidi w:val="0"/>
              <w:rPr>
                <w:rFonts w:hint="eastAsia"/>
                <w:color w:val="auto"/>
              </w:rPr>
            </w:pPr>
            <w:r>
              <w:rPr>
                <w:rFonts w:hint="eastAsia"/>
                <w:color w:val="auto"/>
              </w:rPr>
              <w:t>单元</w:t>
            </w:r>
          </w:p>
        </w:tc>
        <w:tc>
          <w:tcPr>
            <w:tcW w:w="877" w:type="dxa"/>
            <w:noWrap w:val="0"/>
            <w:vAlign w:val="center"/>
          </w:tcPr>
          <w:p>
            <w:pPr>
              <w:pStyle w:val="38"/>
              <w:bidi w:val="0"/>
              <w:rPr>
                <w:rFonts w:hint="eastAsia"/>
                <w:color w:val="auto"/>
              </w:rPr>
            </w:pPr>
            <w:r>
              <w:rPr>
                <w:color w:val="auto"/>
              </w:rPr>
              <w:t>站内</w:t>
            </w:r>
          </w:p>
          <w:p>
            <w:pPr>
              <w:pStyle w:val="38"/>
              <w:bidi w:val="0"/>
              <w:rPr>
                <w:color w:val="auto"/>
              </w:rPr>
            </w:pPr>
            <w:r>
              <w:rPr>
                <w:rFonts w:hint="eastAsia"/>
                <w:color w:val="auto"/>
              </w:rPr>
              <w:t>道路</w:t>
            </w:r>
          </w:p>
        </w:tc>
        <w:tc>
          <w:tcPr>
            <w:tcW w:w="2648" w:type="dxa"/>
            <w:noWrap w:val="0"/>
            <w:vAlign w:val="center"/>
          </w:tcPr>
          <w:p>
            <w:pPr>
              <w:pStyle w:val="38"/>
              <w:bidi w:val="0"/>
              <w:rPr>
                <w:color w:val="auto"/>
              </w:rPr>
            </w:pPr>
            <w:r>
              <w:rPr>
                <w:color w:val="auto"/>
              </w:rPr>
              <w:t>车辆伤害</w:t>
            </w:r>
          </w:p>
        </w:tc>
        <w:tc>
          <w:tcPr>
            <w:tcW w:w="576" w:type="dxa"/>
            <w:noWrap w:val="0"/>
            <w:vAlign w:val="center"/>
          </w:tcPr>
          <w:p>
            <w:pPr>
              <w:pStyle w:val="38"/>
              <w:bidi w:val="0"/>
              <w:rPr>
                <w:color w:val="auto"/>
              </w:rPr>
            </w:pPr>
            <w:r>
              <w:rPr>
                <w:color w:val="auto"/>
              </w:rPr>
              <w:t>0.5</w:t>
            </w:r>
          </w:p>
        </w:tc>
        <w:tc>
          <w:tcPr>
            <w:tcW w:w="519" w:type="dxa"/>
            <w:noWrap w:val="0"/>
            <w:vAlign w:val="center"/>
          </w:tcPr>
          <w:p>
            <w:pPr>
              <w:pStyle w:val="38"/>
              <w:bidi w:val="0"/>
              <w:rPr>
                <w:color w:val="auto"/>
              </w:rPr>
            </w:pPr>
            <w:r>
              <w:rPr>
                <w:color w:val="auto"/>
              </w:rPr>
              <w:t>6</w:t>
            </w:r>
          </w:p>
        </w:tc>
        <w:tc>
          <w:tcPr>
            <w:tcW w:w="609" w:type="dxa"/>
            <w:noWrap w:val="0"/>
            <w:vAlign w:val="center"/>
          </w:tcPr>
          <w:p>
            <w:pPr>
              <w:pStyle w:val="38"/>
              <w:bidi w:val="0"/>
              <w:rPr>
                <w:color w:val="auto"/>
              </w:rPr>
            </w:pPr>
            <w:r>
              <w:rPr>
                <w:color w:val="auto"/>
              </w:rPr>
              <w:t>7</w:t>
            </w:r>
          </w:p>
        </w:tc>
        <w:tc>
          <w:tcPr>
            <w:tcW w:w="818" w:type="dxa"/>
            <w:noWrap w:val="0"/>
            <w:vAlign w:val="center"/>
          </w:tcPr>
          <w:p>
            <w:pPr>
              <w:pStyle w:val="38"/>
              <w:bidi w:val="0"/>
              <w:rPr>
                <w:color w:val="auto"/>
              </w:rPr>
            </w:pPr>
            <w:r>
              <w:rPr>
                <w:color w:val="auto"/>
              </w:rPr>
              <w:t>21</w:t>
            </w:r>
          </w:p>
        </w:tc>
        <w:tc>
          <w:tcPr>
            <w:tcW w:w="1256" w:type="dxa"/>
            <w:noWrap w:val="0"/>
            <w:vAlign w:val="center"/>
          </w:tcPr>
          <w:p>
            <w:pPr>
              <w:pStyle w:val="38"/>
              <w:bidi w:val="0"/>
              <w:rPr>
                <w:color w:val="auto"/>
              </w:rPr>
            </w:pPr>
            <w:r>
              <w:rPr>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721" w:type="dxa"/>
            <w:vMerge w:val="continue"/>
            <w:noWrap w:val="0"/>
            <w:vAlign w:val="center"/>
          </w:tcPr>
          <w:p>
            <w:pPr>
              <w:pStyle w:val="38"/>
              <w:bidi w:val="0"/>
              <w:rPr>
                <w:color w:val="auto"/>
              </w:rPr>
            </w:pPr>
          </w:p>
        </w:tc>
        <w:tc>
          <w:tcPr>
            <w:tcW w:w="1173" w:type="dxa"/>
            <w:vMerge w:val="continue"/>
            <w:noWrap w:val="0"/>
            <w:vAlign w:val="center"/>
          </w:tcPr>
          <w:p>
            <w:pPr>
              <w:pStyle w:val="38"/>
              <w:bidi w:val="0"/>
              <w:rPr>
                <w:color w:val="auto"/>
              </w:rPr>
            </w:pPr>
          </w:p>
        </w:tc>
        <w:tc>
          <w:tcPr>
            <w:tcW w:w="877" w:type="dxa"/>
            <w:vMerge w:val="restart"/>
            <w:noWrap w:val="0"/>
            <w:vAlign w:val="center"/>
          </w:tcPr>
          <w:p>
            <w:pPr>
              <w:pStyle w:val="38"/>
              <w:bidi w:val="0"/>
              <w:rPr>
                <w:color w:val="auto"/>
              </w:rPr>
            </w:pPr>
            <w:r>
              <w:rPr>
                <w:color w:val="auto"/>
              </w:rPr>
              <w:t>配电间作业</w:t>
            </w:r>
          </w:p>
        </w:tc>
        <w:tc>
          <w:tcPr>
            <w:tcW w:w="2648" w:type="dxa"/>
            <w:noWrap w:val="0"/>
            <w:vAlign w:val="center"/>
          </w:tcPr>
          <w:p>
            <w:pPr>
              <w:pStyle w:val="38"/>
              <w:bidi w:val="0"/>
              <w:rPr>
                <w:color w:val="auto"/>
              </w:rPr>
            </w:pPr>
            <w:r>
              <w:rPr>
                <w:color w:val="auto"/>
              </w:rPr>
              <w:t>火灾</w:t>
            </w:r>
          </w:p>
        </w:tc>
        <w:tc>
          <w:tcPr>
            <w:tcW w:w="576" w:type="dxa"/>
            <w:noWrap w:val="0"/>
            <w:vAlign w:val="center"/>
          </w:tcPr>
          <w:p>
            <w:pPr>
              <w:pStyle w:val="38"/>
              <w:bidi w:val="0"/>
              <w:rPr>
                <w:rFonts w:hint="default"/>
                <w:color w:val="auto"/>
                <w:lang w:val="en-US" w:eastAsia="zh-CN"/>
              </w:rPr>
            </w:pPr>
            <w:r>
              <w:rPr>
                <w:rFonts w:hint="eastAsia"/>
                <w:color w:val="auto"/>
                <w:lang w:val="en-US" w:eastAsia="zh-CN"/>
              </w:rPr>
              <w:t>0.5</w:t>
            </w:r>
          </w:p>
        </w:tc>
        <w:tc>
          <w:tcPr>
            <w:tcW w:w="519" w:type="dxa"/>
            <w:noWrap w:val="0"/>
            <w:vAlign w:val="center"/>
          </w:tcPr>
          <w:p>
            <w:pPr>
              <w:pStyle w:val="38"/>
              <w:bidi w:val="0"/>
              <w:rPr>
                <w:rFonts w:hint="eastAsia"/>
                <w:color w:val="auto"/>
                <w:lang w:eastAsia="zh-CN"/>
              </w:rPr>
            </w:pPr>
            <w:r>
              <w:rPr>
                <w:rFonts w:hint="eastAsia"/>
                <w:color w:val="auto"/>
                <w:lang w:val="en-US" w:eastAsia="zh-CN"/>
              </w:rPr>
              <w:t>3</w:t>
            </w:r>
          </w:p>
        </w:tc>
        <w:tc>
          <w:tcPr>
            <w:tcW w:w="609" w:type="dxa"/>
            <w:noWrap w:val="0"/>
            <w:vAlign w:val="center"/>
          </w:tcPr>
          <w:p>
            <w:pPr>
              <w:pStyle w:val="38"/>
              <w:bidi w:val="0"/>
              <w:rPr>
                <w:color w:val="auto"/>
              </w:rPr>
            </w:pPr>
            <w:r>
              <w:rPr>
                <w:color w:val="auto"/>
              </w:rPr>
              <w:t>7</w:t>
            </w:r>
          </w:p>
        </w:tc>
        <w:tc>
          <w:tcPr>
            <w:tcW w:w="818" w:type="dxa"/>
            <w:noWrap w:val="0"/>
            <w:vAlign w:val="center"/>
          </w:tcPr>
          <w:p>
            <w:pPr>
              <w:pStyle w:val="38"/>
              <w:bidi w:val="0"/>
              <w:rPr>
                <w:rFonts w:hint="default"/>
                <w:color w:val="auto"/>
                <w:lang w:val="en-US" w:eastAsia="zh-CN"/>
              </w:rPr>
            </w:pPr>
            <w:r>
              <w:rPr>
                <w:rFonts w:hint="eastAsia"/>
                <w:color w:val="auto"/>
                <w:lang w:val="en-US" w:eastAsia="zh-CN"/>
              </w:rPr>
              <w:t>10.5</w:t>
            </w:r>
          </w:p>
        </w:tc>
        <w:tc>
          <w:tcPr>
            <w:tcW w:w="1256" w:type="dxa"/>
            <w:noWrap w:val="0"/>
            <w:vAlign w:val="center"/>
          </w:tcPr>
          <w:p>
            <w:pPr>
              <w:pStyle w:val="38"/>
              <w:bidi w:val="0"/>
              <w:rPr>
                <w:color w:val="auto"/>
              </w:rPr>
            </w:pPr>
            <w:r>
              <w:rPr>
                <w:rFonts w:hint="eastAsia"/>
                <w:color w:val="auto"/>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721" w:type="dxa"/>
            <w:vMerge w:val="continue"/>
            <w:noWrap w:val="0"/>
            <w:vAlign w:val="center"/>
          </w:tcPr>
          <w:p>
            <w:pPr>
              <w:pStyle w:val="38"/>
              <w:bidi w:val="0"/>
              <w:rPr>
                <w:color w:val="auto"/>
              </w:rPr>
            </w:pPr>
          </w:p>
        </w:tc>
        <w:tc>
          <w:tcPr>
            <w:tcW w:w="1173" w:type="dxa"/>
            <w:vMerge w:val="continue"/>
            <w:noWrap w:val="0"/>
            <w:vAlign w:val="center"/>
          </w:tcPr>
          <w:p>
            <w:pPr>
              <w:pStyle w:val="38"/>
              <w:bidi w:val="0"/>
              <w:rPr>
                <w:color w:val="auto"/>
              </w:rPr>
            </w:pPr>
          </w:p>
        </w:tc>
        <w:tc>
          <w:tcPr>
            <w:tcW w:w="877" w:type="dxa"/>
            <w:vMerge w:val="continue"/>
            <w:noWrap w:val="0"/>
            <w:vAlign w:val="center"/>
          </w:tcPr>
          <w:p>
            <w:pPr>
              <w:pStyle w:val="38"/>
              <w:bidi w:val="0"/>
              <w:rPr>
                <w:color w:val="auto"/>
              </w:rPr>
            </w:pPr>
          </w:p>
        </w:tc>
        <w:tc>
          <w:tcPr>
            <w:tcW w:w="2648" w:type="dxa"/>
            <w:noWrap w:val="0"/>
            <w:vAlign w:val="center"/>
          </w:tcPr>
          <w:p>
            <w:pPr>
              <w:pStyle w:val="38"/>
              <w:bidi w:val="0"/>
              <w:rPr>
                <w:color w:val="auto"/>
              </w:rPr>
            </w:pPr>
            <w:r>
              <w:rPr>
                <w:color w:val="auto"/>
              </w:rPr>
              <w:t>触电</w:t>
            </w:r>
          </w:p>
        </w:tc>
        <w:tc>
          <w:tcPr>
            <w:tcW w:w="576" w:type="dxa"/>
            <w:noWrap w:val="0"/>
            <w:vAlign w:val="center"/>
          </w:tcPr>
          <w:p>
            <w:pPr>
              <w:pStyle w:val="38"/>
              <w:bidi w:val="0"/>
              <w:rPr>
                <w:rFonts w:hint="eastAsia"/>
                <w:color w:val="auto"/>
              </w:rPr>
            </w:pPr>
            <w:r>
              <w:rPr>
                <w:rFonts w:hint="eastAsia"/>
                <w:color w:val="auto"/>
              </w:rPr>
              <w:t>0.5</w:t>
            </w:r>
          </w:p>
        </w:tc>
        <w:tc>
          <w:tcPr>
            <w:tcW w:w="519" w:type="dxa"/>
            <w:noWrap w:val="0"/>
            <w:vAlign w:val="center"/>
          </w:tcPr>
          <w:p>
            <w:pPr>
              <w:pStyle w:val="38"/>
              <w:bidi w:val="0"/>
              <w:rPr>
                <w:rFonts w:hint="eastAsia"/>
                <w:color w:val="auto"/>
                <w:lang w:eastAsia="zh-CN"/>
              </w:rPr>
            </w:pPr>
            <w:r>
              <w:rPr>
                <w:rFonts w:hint="eastAsia"/>
                <w:color w:val="auto"/>
                <w:lang w:val="en-US" w:eastAsia="zh-CN"/>
              </w:rPr>
              <w:t>3</w:t>
            </w:r>
          </w:p>
        </w:tc>
        <w:tc>
          <w:tcPr>
            <w:tcW w:w="609" w:type="dxa"/>
            <w:noWrap w:val="0"/>
            <w:vAlign w:val="center"/>
          </w:tcPr>
          <w:p>
            <w:pPr>
              <w:pStyle w:val="38"/>
              <w:bidi w:val="0"/>
              <w:rPr>
                <w:color w:val="auto"/>
              </w:rPr>
            </w:pPr>
            <w:r>
              <w:rPr>
                <w:color w:val="auto"/>
              </w:rPr>
              <w:t>15</w:t>
            </w:r>
          </w:p>
        </w:tc>
        <w:tc>
          <w:tcPr>
            <w:tcW w:w="818" w:type="dxa"/>
            <w:noWrap w:val="0"/>
            <w:vAlign w:val="center"/>
          </w:tcPr>
          <w:p>
            <w:pPr>
              <w:pStyle w:val="38"/>
              <w:bidi w:val="0"/>
              <w:rPr>
                <w:rFonts w:hint="default"/>
                <w:color w:val="auto"/>
                <w:lang w:val="en-US" w:eastAsia="zh-CN"/>
              </w:rPr>
            </w:pPr>
            <w:r>
              <w:rPr>
                <w:rFonts w:hint="eastAsia"/>
                <w:color w:val="auto"/>
                <w:lang w:val="en-US" w:eastAsia="zh-CN"/>
              </w:rPr>
              <w:t>22.5</w:t>
            </w:r>
          </w:p>
        </w:tc>
        <w:tc>
          <w:tcPr>
            <w:tcW w:w="1256" w:type="dxa"/>
            <w:noWrap w:val="0"/>
            <w:vAlign w:val="center"/>
          </w:tcPr>
          <w:p>
            <w:pPr>
              <w:pStyle w:val="38"/>
              <w:bidi w:val="0"/>
              <w:rPr>
                <w:color w:val="auto"/>
              </w:rPr>
            </w:pPr>
            <w:r>
              <w:rPr>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trPr>
        <w:tc>
          <w:tcPr>
            <w:tcW w:w="721" w:type="dxa"/>
            <w:vMerge w:val="continue"/>
            <w:noWrap w:val="0"/>
            <w:vAlign w:val="center"/>
          </w:tcPr>
          <w:p>
            <w:pPr>
              <w:pStyle w:val="38"/>
              <w:bidi w:val="0"/>
              <w:rPr>
                <w:color w:val="auto"/>
              </w:rPr>
            </w:pPr>
          </w:p>
        </w:tc>
        <w:tc>
          <w:tcPr>
            <w:tcW w:w="1173" w:type="dxa"/>
            <w:vMerge w:val="continue"/>
            <w:noWrap w:val="0"/>
            <w:vAlign w:val="center"/>
          </w:tcPr>
          <w:p>
            <w:pPr>
              <w:pStyle w:val="38"/>
              <w:bidi w:val="0"/>
              <w:rPr>
                <w:color w:val="auto"/>
              </w:rPr>
            </w:pPr>
          </w:p>
        </w:tc>
        <w:tc>
          <w:tcPr>
            <w:tcW w:w="877" w:type="dxa"/>
            <w:vMerge w:val="restart"/>
            <w:noWrap w:val="0"/>
            <w:vAlign w:val="center"/>
          </w:tcPr>
          <w:p>
            <w:pPr>
              <w:pStyle w:val="38"/>
              <w:bidi w:val="0"/>
              <w:rPr>
                <w:rFonts w:hint="eastAsia"/>
                <w:color w:val="auto"/>
              </w:rPr>
            </w:pPr>
            <w:r>
              <w:rPr>
                <w:rFonts w:hint="eastAsia"/>
                <w:color w:val="auto"/>
              </w:rPr>
              <w:t>维修</w:t>
            </w:r>
          </w:p>
          <w:p>
            <w:pPr>
              <w:pStyle w:val="38"/>
              <w:bidi w:val="0"/>
              <w:rPr>
                <w:rFonts w:hint="eastAsia"/>
                <w:color w:val="auto"/>
              </w:rPr>
            </w:pPr>
            <w:r>
              <w:rPr>
                <w:rFonts w:hint="eastAsia"/>
                <w:color w:val="auto"/>
              </w:rPr>
              <w:t>作业</w:t>
            </w:r>
          </w:p>
        </w:tc>
        <w:tc>
          <w:tcPr>
            <w:tcW w:w="2648" w:type="dxa"/>
            <w:noWrap w:val="0"/>
            <w:vAlign w:val="center"/>
          </w:tcPr>
          <w:p>
            <w:pPr>
              <w:pStyle w:val="38"/>
              <w:bidi w:val="0"/>
              <w:rPr>
                <w:color w:val="auto"/>
              </w:rPr>
            </w:pPr>
            <w:r>
              <w:rPr>
                <w:color w:val="auto"/>
              </w:rPr>
              <w:t>触电</w:t>
            </w:r>
          </w:p>
        </w:tc>
        <w:tc>
          <w:tcPr>
            <w:tcW w:w="576" w:type="dxa"/>
            <w:noWrap w:val="0"/>
            <w:vAlign w:val="center"/>
          </w:tcPr>
          <w:p>
            <w:pPr>
              <w:pStyle w:val="38"/>
              <w:bidi w:val="0"/>
              <w:rPr>
                <w:rFonts w:hint="eastAsia"/>
                <w:color w:val="auto"/>
              </w:rPr>
            </w:pPr>
            <w:r>
              <w:rPr>
                <w:rFonts w:hint="eastAsia"/>
                <w:color w:val="auto"/>
              </w:rPr>
              <w:t>0.5</w:t>
            </w:r>
          </w:p>
        </w:tc>
        <w:tc>
          <w:tcPr>
            <w:tcW w:w="519" w:type="dxa"/>
            <w:noWrap w:val="0"/>
            <w:vAlign w:val="center"/>
          </w:tcPr>
          <w:p>
            <w:pPr>
              <w:pStyle w:val="38"/>
              <w:bidi w:val="0"/>
              <w:rPr>
                <w:rFonts w:hint="eastAsia"/>
                <w:color w:val="auto"/>
              </w:rPr>
            </w:pPr>
            <w:r>
              <w:rPr>
                <w:rFonts w:hint="eastAsia"/>
                <w:color w:val="auto"/>
                <w:lang w:val="en-US" w:eastAsia="zh-CN"/>
              </w:rPr>
              <w:t>3</w:t>
            </w:r>
          </w:p>
        </w:tc>
        <w:tc>
          <w:tcPr>
            <w:tcW w:w="609" w:type="dxa"/>
            <w:noWrap w:val="0"/>
            <w:vAlign w:val="center"/>
          </w:tcPr>
          <w:p>
            <w:pPr>
              <w:pStyle w:val="38"/>
              <w:bidi w:val="0"/>
              <w:rPr>
                <w:color w:val="auto"/>
              </w:rPr>
            </w:pPr>
            <w:r>
              <w:rPr>
                <w:color w:val="auto"/>
              </w:rPr>
              <w:t>15</w:t>
            </w:r>
          </w:p>
        </w:tc>
        <w:tc>
          <w:tcPr>
            <w:tcW w:w="818" w:type="dxa"/>
            <w:noWrap w:val="0"/>
            <w:vAlign w:val="center"/>
          </w:tcPr>
          <w:p>
            <w:pPr>
              <w:pStyle w:val="38"/>
              <w:bidi w:val="0"/>
              <w:rPr>
                <w:color w:val="auto"/>
              </w:rPr>
            </w:pPr>
            <w:r>
              <w:rPr>
                <w:rFonts w:hint="eastAsia"/>
                <w:color w:val="auto"/>
                <w:lang w:val="en-US" w:eastAsia="zh-CN"/>
              </w:rPr>
              <w:t>22.5</w:t>
            </w:r>
          </w:p>
        </w:tc>
        <w:tc>
          <w:tcPr>
            <w:tcW w:w="1256" w:type="dxa"/>
            <w:noWrap w:val="0"/>
            <w:vAlign w:val="center"/>
          </w:tcPr>
          <w:p>
            <w:pPr>
              <w:pStyle w:val="38"/>
              <w:bidi w:val="0"/>
              <w:rPr>
                <w:color w:val="auto"/>
              </w:rPr>
            </w:pPr>
            <w:r>
              <w:rPr>
                <w:color w:val="auto"/>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trPr>
        <w:tc>
          <w:tcPr>
            <w:tcW w:w="721" w:type="dxa"/>
            <w:vMerge w:val="continue"/>
            <w:noWrap w:val="0"/>
            <w:vAlign w:val="center"/>
          </w:tcPr>
          <w:p>
            <w:pPr>
              <w:pStyle w:val="38"/>
              <w:bidi w:val="0"/>
              <w:rPr>
                <w:color w:val="auto"/>
              </w:rPr>
            </w:pPr>
          </w:p>
        </w:tc>
        <w:tc>
          <w:tcPr>
            <w:tcW w:w="1173" w:type="dxa"/>
            <w:vMerge w:val="continue"/>
            <w:noWrap w:val="0"/>
            <w:vAlign w:val="center"/>
          </w:tcPr>
          <w:p>
            <w:pPr>
              <w:pStyle w:val="38"/>
              <w:bidi w:val="0"/>
              <w:rPr>
                <w:color w:val="auto"/>
              </w:rPr>
            </w:pPr>
          </w:p>
        </w:tc>
        <w:tc>
          <w:tcPr>
            <w:tcW w:w="877" w:type="dxa"/>
            <w:vMerge w:val="continue"/>
            <w:noWrap w:val="0"/>
            <w:vAlign w:val="center"/>
          </w:tcPr>
          <w:p>
            <w:pPr>
              <w:pStyle w:val="38"/>
              <w:bidi w:val="0"/>
              <w:rPr>
                <w:rFonts w:hint="eastAsia"/>
                <w:color w:val="auto"/>
              </w:rPr>
            </w:pPr>
          </w:p>
        </w:tc>
        <w:tc>
          <w:tcPr>
            <w:tcW w:w="2648" w:type="dxa"/>
            <w:noWrap w:val="0"/>
            <w:vAlign w:val="center"/>
          </w:tcPr>
          <w:p>
            <w:pPr>
              <w:pStyle w:val="38"/>
              <w:bidi w:val="0"/>
              <w:rPr>
                <w:color w:val="auto"/>
              </w:rPr>
            </w:pPr>
            <w:r>
              <w:rPr>
                <w:color w:val="auto"/>
              </w:rPr>
              <w:t>机械伤害</w:t>
            </w:r>
          </w:p>
        </w:tc>
        <w:tc>
          <w:tcPr>
            <w:tcW w:w="576" w:type="dxa"/>
            <w:noWrap w:val="0"/>
            <w:vAlign w:val="center"/>
          </w:tcPr>
          <w:p>
            <w:pPr>
              <w:pStyle w:val="38"/>
              <w:bidi w:val="0"/>
              <w:rPr>
                <w:rFonts w:hint="eastAsia"/>
                <w:color w:val="auto"/>
              </w:rPr>
            </w:pPr>
            <w:r>
              <w:rPr>
                <w:rFonts w:hint="eastAsia"/>
                <w:color w:val="auto"/>
              </w:rPr>
              <w:t>0.5</w:t>
            </w:r>
          </w:p>
        </w:tc>
        <w:tc>
          <w:tcPr>
            <w:tcW w:w="519" w:type="dxa"/>
            <w:noWrap w:val="0"/>
            <w:vAlign w:val="center"/>
          </w:tcPr>
          <w:p>
            <w:pPr>
              <w:pStyle w:val="38"/>
              <w:bidi w:val="0"/>
              <w:rPr>
                <w:rFonts w:hint="eastAsia"/>
                <w:color w:val="auto"/>
              </w:rPr>
            </w:pPr>
            <w:r>
              <w:rPr>
                <w:rFonts w:hint="eastAsia"/>
                <w:color w:val="auto"/>
              </w:rPr>
              <w:t>3</w:t>
            </w:r>
          </w:p>
        </w:tc>
        <w:tc>
          <w:tcPr>
            <w:tcW w:w="609" w:type="dxa"/>
            <w:noWrap w:val="0"/>
            <w:vAlign w:val="center"/>
          </w:tcPr>
          <w:p>
            <w:pPr>
              <w:pStyle w:val="38"/>
              <w:bidi w:val="0"/>
              <w:rPr>
                <w:rFonts w:hint="eastAsia"/>
                <w:color w:val="auto"/>
              </w:rPr>
            </w:pPr>
            <w:r>
              <w:rPr>
                <w:rFonts w:hint="eastAsia"/>
                <w:color w:val="auto"/>
              </w:rPr>
              <w:t>7</w:t>
            </w:r>
          </w:p>
        </w:tc>
        <w:tc>
          <w:tcPr>
            <w:tcW w:w="818" w:type="dxa"/>
            <w:noWrap w:val="0"/>
            <w:vAlign w:val="center"/>
          </w:tcPr>
          <w:p>
            <w:pPr>
              <w:pStyle w:val="38"/>
              <w:bidi w:val="0"/>
              <w:rPr>
                <w:rFonts w:hint="eastAsia"/>
                <w:color w:val="auto"/>
              </w:rPr>
            </w:pPr>
            <w:r>
              <w:rPr>
                <w:rFonts w:hint="eastAsia"/>
                <w:color w:val="auto"/>
              </w:rPr>
              <w:t>10.5</w:t>
            </w:r>
          </w:p>
        </w:tc>
        <w:tc>
          <w:tcPr>
            <w:tcW w:w="1256" w:type="dxa"/>
            <w:noWrap w:val="0"/>
            <w:vAlign w:val="center"/>
          </w:tcPr>
          <w:p>
            <w:pPr>
              <w:pStyle w:val="38"/>
              <w:bidi w:val="0"/>
              <w:rPr>
                <w:color w:val="auto"/>
              </w:rPr>
            </w:pPr>
            <w:r>
              <w:rPr>
                <w:rFonts w:hint="eastAsia"/>
                <w:color w:val="auto"/>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trPr>
        <w:tc>
          <w:tcPr>
            <w:tcW w:w="721" w:type="dxa"/>
            <w:vMerge w:val="continue"/>
            <w:noWrap w:val="0"/>
            <w:vAlign w:val="center"/>
          </w:tcPr>
          <w:p>
            <w:pPr>
              <w:pStyle w:val="38"/>
              <w:bidi w:val="0"/>
              <w:rPr>
                <w:color w:val="auto"/>
              </w:rPr>
            </w:pPr>
          </w:p>
        </w:tc>
        <w:tc>
          <w:tcPr>
            <w:tcW w:w="1173" w:type="dxa"/>
            <w:vMerge w:val="continue"/>
            <w:noWrap w:val="0"/>
            <w:vAlign w:val="center"/>
          </w:tcPr>
          <w:p>
            <w:pPr>
              <w:pStyle w:val="38"/>
              <w:bidi w:val="0"/>
              <w:rPr>
                <w:color w:val="auto"/>
              </w:rPr>
            </w:pPr>
          </w:p>
        </w:tc>
        <w:tc>
          <w:tcPr>
            <w:tcW w:w="877" w:type="dxa"/>
            <w:vMerge w:val="continue"/>
            <w:noWrap w:val="0"/>
            <w:vAlign w:val="center"/>
          </w:tcPr>
          <w:p>
            <w:pPr>
              <w:pStyle w:val="38"/>
              <w:bidi w:val="0"/>
              <w:rPr>
                <w:rFonts w:hint="eastAsia"/>
                <w:color w:val="auto"/>
              </w:rPr>
            </w:pPr>
          </w:p>
        </w:tc>
        <w:tc>
          <w:tcPr>
            <w:tcW w:w="2648" w:type="dxa"/>
            <w:noWrap w:val="0"/>
            <w:vAlign w:val="center"/>
          </w:tcPr>
          <w:p>
            <w:pPr>
              <w:pStyle w:val="38"/>
              <w:bidi w:val="0"/>
              <w:rPr>
                <w:color w:val="auto"/>
              </w:rPr>
            </w:pPr>
            <w:r>
              <w:rPr>
                <w:color w:val="auto"/>
              </w:rPr>
              <w:t>物体打击</w:t>
            </w:r>
          </w:p>
        </w:tc>
        <w:tc>
          <w:tcPr>
            <w:tcW w:w="576" w:type="dxa"/>
            <w:noWrap w:val="0"/>
            <w:vAlign w:val="center"/>
          </w:tcPr>
          <w:p>
            <w:pPr>
              <w:pStyle w:val="38"/>
              <w:bidi w:val="0"/>
              <w:rPr>
                <w:rFonts w:hint="eastAsia"/>
                <w:color w:val="auto"/>
              </w:rPr>
            </w:pPr>
            <w:r>
              <w:rPr>
                <w:rFonts w:hint="eastAsia"/>
                <w:color w:val="auto"/>
              </w:rPr>
              <w:t>1</w:t>
            </w:r>
          </w:p>
        </w:tc>
        <w:tc>
          <w:tcPr>
            <w:tcW w:w="519" w:type="dxa"/>
            <w:noWrap w:val="0"/>
            <w:vAlign w:val="center"/>
          </w:tcPr>
          <w:p>
            <w:pPr>
              <w:pStyle w:val="38"/>
              <w:bidi w:val="0"/>
              <w:rPr>
                <w:rFonts w:hint="eastAsia"/>
                <w:color w:val="auto"/>
              </w:rPr>
            </w:pPr>
            <w:r>
              <w:rPr>
                <w:rFonts w:hint="eastAsia"/>
                <w:color w:val="auto"/>
              </w:rPr>
              <w:t>3</w:t>
            </w:r>
          </w:p>
        </w:tc>
        <w:tc>
          <w:tcPr>
            <w:tcW w:w="609" w:type="dxa"/>
            <w:noWrap w:val="0"/>
            <w:vAlign w:val="center"/>
          </w:tcPr>
          <w:p>
            <w:pPr>
              <w:pStyle w:val="38"/>
              <w:bidi w:val="0"/>
              <w:rPr>
                <w:rFonts w:hint="eastAsia"/>
                <w:color w:val="auto"/>
              </w:rPr>
            </w:pPr>
            <w:r>
              <w:rPr>
                <w:rFonts w:hint="eastAsia"/>
                <w:color w:val="auto"/>
              </w:rPr>
              <w:t>7</w:t>
            </w:r>
          </w:p>
        </w:tc>
        <w:tc>
          <w:tcPr>
            <w:tcW w:w="818" w:type="dxa"/>
            <w:noWrap w:val="0"/>
            <w:vAlign w:val="center"/>
          </w:tcPr>
          <w:p>
            <w:pPr>
              <w:pStyle w:val="38"/>
              <w:bidi w:val="0"/>
              <w:rPr>
                <w:rFonts w:hint="eastAsia"/>
                <w:color w:val="auto"/>
              </w:rPr>
            </w:pPr>
            <w:r>
              <w:rPr>
                <w:rFonts w:hint="eastAsia"/>
                <w:color w:val="auto"/>
              </w:rPr>
              <w:t>21</w:t>
            </w:r>
          </w:p>
        </w:tc>
        <w:tc>
          <w:tcPr>
            <w:tcW w:w="1256" w:type="dxa"/>
            <w:noWrap w:val="0"/>
            <w:vAlign w:val="center"/>
          </w:tcPr>
          <w:p>
            <w:pPr>
              <w:pStyle w:val="38"/>
              <w:bidi w:val="0"/>
              <w:rPr>
                <w:color w:val="auto"/>
              </w:rPr>
            </w:pPr>
            <w:r>
              <w:rPr>
                <w:color w:val="auto"/>
              </w:rPr>
              <w:t>一般危险</w:t>
            </w:r>
          </w:p>
        </w:tc>
      </w:tr>
    </w:tbl>
    <w:p>
      <w:pPr>
        <w:spacing w:line="600" w:lineRule="exact"/>
        <w:ind w:firstLine="544" w:firstLineChars="200"/>
        <w:rPr>
          <w:bCs/>
          <w:color w:val="auto"/>
          <w:spacing w:val="-4"/>
          <w:sz w:val="28"/>
          <w:szCs w:val="28"/>
        </w:rPr>
      </w:pPr>
      <w:r>
        <w:rPr>
          <w:rFonts w:hAnsi="宋体"/>
          <w:bCs/>
          <w:color w:val="auto"/>
          <w:spacing w:val="-4"/>
          <w:sz w:val="28"/>
          <w:szCs w:val="28"/>
        </w:rPr>
        <w:t>由表</w:t>
      </w:r>
      <w:r>
        <w:rPr>
          <w:bCs/>
          <w:color w:val="auto"/>
          <w:spacing w:val="-4"/>
          <w:sz w:val="28"/>
          <w:szCs w:val="28"/>
        </w:rPr>
        <w:t>5</w:t>
      </w:r>
      <w:r>
        <w:rPr>
          <w:rFonts w:hint="eastAsia"/>
          <w:bCs/>
          <w:color w:val="auto"/>
          <w:spacing w:val="-4"/>
          <w:sz w:val="28"/>
          <w:szCs w:val="28"/>
          <w:lang w:val="en-US" w:eastAsia="zh-CN"/>
        </w:rPr>
        <w:t>.2-1</w:t>
      </w:r>
      <w:r>
        <w:rPr>
          <w:rFonts w:hAnsi="宋体"/>
          <w:bCs/>
          <w:color w:val="auto"/>
          <w:spacing w:val="-4"/>
          <w:sz w:val="28"/>
          <w:szCs w:val="28"/>
        </w:rPr>
        <w:t>的评价结果可以看出，该项目的作业条件相对比较安全。在选定的评价单元中的作业均在</w:t>
      </w:r>
      <w:r>
        <w:rPr>
          <w:rFonts w:hint="eastAsia" w:hAnsi="宋体"/>
          <w:bCs/>
          <w:color w:val="auto"/>
          <w:spacing w:val="-4"/>
          <w:sz w:val="28"/>
          <w:szCs w:val="28"/>
        </w:rPr>
        <w:t>“</w:t>
      </w:r>
      <w:r>
        <w:rPr>
          <w:rFonts w:hAnsi="宋体"/>
          <w:color w:val="auto"/>
          <w:spacing w:val="-4"/>
          <w:sz w:val="28"/>
          <w:szCs w:val="28"/>
        </w:rPr>
        <w:t>一般危险</w:t>
      </w:r>
      <w:r>
        <w:rPr>
          <w:rFonts w:hint="eastAsia" w:hAnsi="宋体"/>
          <w:color w:val="auto"/>
          <w:spacing w:val="-4"/>
          <w:sz w:val="28"/>
          <w:szCs w:val="28"/>
        </w:rPr>
        <w:t>”“稍有危险</w:t>
      </w:r>
      <w:r>
        <w:rPr>
          <w:rFonts w:hint="eastAsia" w:hAnsi="宋体"/>
          <w:bCs/>
          <w:color w:val="auto"/>
          <w:spacing w:val="-4"/>
          <w:sz w:val="28"/>
          <w:szCs w:val="28"/>
        </w:rPr>
        <w:t>”</w:t>
      </w:r>
      <w:r>
        <w:rPr>
          <w:rFonts w:hAnsi="宋体"/>
          <w:bCs/>
          <w:color w:val="auto"/>
          <w:spacing w:val="-4"/>
          <w:sz w:val="28"/>
          <w:szCs w:val="28"/>
        </w:rPr>
        <w:t>范围，作业条件相对安全。</w:t>
      </w:r>
    </w:p>
    <w:p>
      <w:pPr>
        <w:spacing w:line="600" w:lineRule="exact"/>
        <w:ind w:firstLine="560" w:firstLineChars="200"/>
        <w:rPr>
          <w:bCs/>
          <w:color w:val="auto"/>
          <w:sz w:val="28"/>
          <w:szCs w:val="21"/>
        </w:rPr>
      </w:pPr>
      <w:r>
        <w:rPr>
          <w:bCs/>
          <w:color w:val="auto"/>
          <w:sz w:val="28"/>
          <w:szCs w:val="21"/>
        </w:rPr>
        <w:t>项目的安全经营运行首先应注重日常安全管理，建立健全完善的安全生产责任制、安全管理制度、安全操作规程、技术操作规程并确保其贯彻落实；要认真抓好操作及管理人员的安全知识和操作技能的培训，确保人员具有与</w:t>
      </w:r>
      <w:r>
        <w:rPr>
          <w:rFonts w:hint="eastAsia"/>
          <w:bCs/>
          <w:color w:val="auto"/>
          <w:sz w:val="28"/>
          <w:szCs w:val="21"/>
          <w:lang w:val="en-US" w:eastAsia="zh-CN"/>
        </w:rPr>
        <w:t>建设</w:t>
      </w:r>
      <w:r>
        <w:rPr>
          <w:bCs/>
          <w:color w:val="auto"/>
          <w:sz w:val="28"/>
          <w:szCs w:val="21"/>
        </w:rPr>
        <w:t>项目所需知识水平相适应的技术素质和安全素质，保证</w:t>
      </w:r>
      <w:r>
        <w:rPr>
          <w:rFonts w:hint="eastAsia"/>
          <w:bCs/>
          <w:color w:val="auto"/>
          <w:sz w:val="28"/>
          <w:szCs w:val="21"/>
          <w:lang w:val="en-US" w:eastAsia="zh-CN"/>
        </w:rPr>
        <w:t>充电</w:t>
      </w:r>
      <w:r>
        <w:rPr>
          <w:bCs/>
          <w:color w:val="auto"/>
          <w:sz w:val="28"/>
          <w:szCs w:val="21"/>
        </w:rPr>
        <w:t>站安全作业。</w:t>
      </w:r>
    </w:p>
    <w:p>
      <w:pPr>
        <w:pStyle w:val="37"/>
        <w:rPr>
          <w:color w:val="auto"/>
        </w:rPr>
      </w:pPr>
      <w:r>
        <w:rPr>
          <w:b w:val="0"/>
          <w:bCs/>
          <w:color w:val="auto"/>
          <w:kern w:val="2"/>
          <w:szCs w:val="21"/>
        </w:rPr>
        <w:br w:type="page"/>
      </w:r>
    </w:p>
    <w:bookmarkEnd w:id="85"/>
    <w:bookmarkEnd w:id="86"/>
    <w:p>
      <w:pPr>
        <w:pStyle w:val="2"/>
        <w:bidi w:val="0"/>
        <w:rPr>
          <w:rStyle w:val="42"/>
          <w:rFonts w:hint="default" w:eastAsia="宋体"/>
          <w:b/>
          <w:bCs/>
          <w:color w:val="auto"/>
          <w:sz w:val="32"/>
          <w:szCs w:val="32"/>
          <w:lang w:val="en-US" w:eastAsia="zh-CN"/>
        </w:rPr>
      </w:pPr>
      <w:bookmarkStart w:id="108" w:name="_Toc17848"/>
      <w:r>
        <w:rPr>
          <w:rStyle w:val="42"/>
          <w:rFonts w:hint="eastAsia"/>
          <w:b/>
          <w:bCs/>
          <w:color w:val="auto"/>
          <w:sz w:val="32"/>
          <w:szCs w:val="32"/>
          <w:lang w:val="en-US" w:eastAsia="zh-CN"/>
        </w:rPr>
        <w:t>6建设项目设施和条件符合性评价</w:t>
      </w:r>
      <w:bookmarkEnd w:id="108"/>
    </w:p>
    <w:p>
      <w:pPr>
        <w:pStyle w:val="3"/>
        <w:bidi w:val="0"/>
        <w:rPr>
          <w:rFonts w:hint="default"/>
          <w:color w:val="auto"/>
          <w:lang w:val="en-US" w:eastAsia="zh-CN"/>
        </w:rPr>
      </w:pPr>
      <w:bookmarkStart w:id="109" w:name="_Toc16957"/>
      <w:bookmarkStart w:id="110" w:name="_Toc350517387"/>
      <w:r>
        <w:rPr>
          <w:rFonts w:hint="eastAsia"/>
          <w:color w:val="auto"/>
          <w:lang w:val="en-US" w:eastAsia="zh-CN"/>
        </w:rPr>
        <w:t>6.1选址及周边环境评价单元</w:t>
      </w:r>
      <w:bookmarkEnd w:id="109"/>
    </w:p>
    <w:p>
      <w:pPr>
        <w:ind w:firstLine="560" w:firstLineChars="200"/>
        <w:rPr>
          <w:rFonts w:hint="default"/>
          <w:color w:val="auto"/>
          <w:sz w:val="28"/>
          <w:szCs w:val="28"/>
          <w:highlight w:val="none"/>
          <w:lang w:val="en-US" w:eastAsia="zh-CN"/>
        </w:rPr>
      </w:pPr>
      <w:r>
        <w:rPr>
          <w:rFonts w:hint="eastAsia"/>
          <w:color w:val="auto"/>
          <w:sz w:val="28"/>
          <w:szCs w:val="28"/>
          <w:lang w:val="en-US" w:eastAsia="zh-CN"/>
        </w:rPr>
        <w:t>该项目位于中国石化销售股份有限公司上饶市广信石油分公司第五加油站预留地块，位于上饶市广信区三清山大道南侧。坐南朝北：</w:t>
      </w:r>
      <w:r>
        <w:rPr>
          <w:rFonts w:hint="eastAsia"/>
          <w:color w:val="auto"/>
          <w:sz w:val="28"/>
          <w:szCs w:val="28"/>
          <w:highlight w:val="none"/>
          <w:lang w:val="en-US" w:eastAsia="zh-CN"/>
        </w:rPr>
        <w:t>东面为万年路，隔道路为商城；南面隔道路、停车场为商城办公楼；西面隔小区内部路为住宅楼</w:t>
      </w:r>
      <w:r>
        <w:rPr>
          <w:rFonts w:hint="eastAsia"/>
          <w:color w:val="auto"/>
          <w:sz w:val="28"/>
          <w:szCs w:val="28"/>
          <w:highlight w:val="none"/>
          <w:lang w:eastAsia="zh-CN"/>
        </w:rPr>
        <w:t>；</w:t>
      </w:r>
      <w:r>
        <w:rPr>
          <w:rFonts w:hint="eastAsia"/>
          <w:color w:val="auto"/>
          <w:sz w:val="28"/>
          <w:szCs w:val="28"/>
          <w:highlight w:val="none"/>
          <w:lang w:val="en-US" w:eastAsia="zh-CN"/>
        </w:rPr>
        <w:t>北面为三清山大道。</w:t>
      </w:r>
    </w:p>
    <w:p>
      <w:pPr>
        <w:ind w:firstLine="560" w:firstLineChars="200"/>
        <w:rPr>
          <w:rFonts w:hint="default"/>
          <w:color w:val="auto"/>
          <w:sz w:val="28"/>
          <w:szCs w:val="28"/>
          <w:lang w:val="en-US" w:eastAsia="zh-CN"/>
        </w:rPr>
      </w:pPr>
      <w:r>
        <w:rPr>
          <w:rFonts w:hint="eastAsia"/>
          <w:color w:val="auto"/>
          <w:lang w:val="en-US" w:eastAsia="zh-CN"/>
        </w:rPr>
        <w:t>该充电站设备设施与</w:t>
      </w:r>
      <w:r>
        <w:rPr>
          <w:rFonts w:hint="eastAsia"/>
          <w:color w:val="auto"/>
          <w:sz w:val="28"/>
          <w:szCs w:val="28"/>
          <w:lang w:val="en-US" w:eastAsia="zh-CN"/>
        </w:rPr>
        <w:t>中国石化销售股份有限公司上饶市广信石油分公司第五加油站</w:t>
      </w:r>
      <w:r>
        <w:rPr>
          <w:rFonts w:hint="eastAsia"/>
          <w:color w:val="auto"/>
          <w:lang w:val="en-US" w:eastAsia="zh-CN"/>
        </w:rPr>
        <w:t>设备设施之间的防火间距</w:t>
      </w:r>
      <w:r>
        <w:rPr>
          <w:rFonts w:hint="eastAsia"/>
          <w:color w:val="auto"/>
          <w:sz w:val="28"/>
          <w:szCs w:val="28"/>
          <w:lang w:val="en-US" w:eastAsia="zh-CN"/>
        </w:rPr>
        <w:t>满足《建筑设计防火规范》GB50016-2014（2018年版）</w:t>
      </w:r>
      <w:r>
        <w:rPr>
          <w:rFonts w:hint="eastAsia"/>
          <w:color w:val="auto"/>
          <w:lang w:val="en-US" w:eastAsia="zh-CN"/>
        </w:rPr>
        <w:t>的规定，详见表2.3-1。</w:t>
      </w:r>
    </w:p>
    <w:p>
      <w:pPr>
        <w:ind w:firstLine="560" w:firstLineChars="200"/>
        <w:rPr>
          <w:rFonts w:hint="eastAsia"/>
          <w:color w:val="auto"/>
          <w:sz w:val="28"/>
          <w:szCs w:val="28"/>
          <w:lang w:val="en-US" w:eastAsia="zh-CN"/>
        </w:rPr>
      </w:pPr>
      <w:r>
        <w:rPr>
          <w:rFonts w:hint="eastAsia"/>
          <w:color w:val="auto"/>
          <w:sz w:val="28"/>
          <w:szCs w:val="28"/>
          <w:lang w:val="en-US" w:eastAsia="zh-CN"/>
        </w:rPr>
        <w:t>根据《电动汽车充电站设计规范》GB50966-2014、《电动汽车充电站通用要求》GB/T29781-2013相关规定，选址及周边环境单元安全检查如下表：</w:t>
      </w:r>
    </w:p>
    <w:p>
      <w:pPr>
        <w:pStyle w:val="43"/>
        <w:bidi w:val="0"/>
        <w:rPr>
          <w:rFonts w:hint="default"/>
          <w:color w:val="auto"/>
          <w:lang w:val="en-US" w:eastAsia="zh-CN"/>
        </w:rPr>
      </w:pPr>
      <w:r>
        <w:rPr>
          <w:rFonts w:hint="eastAsia"/>
          <w:color w:val="auto"/>
          <w:lang w:val="en-US" w:eastAsia="zh-CN"/>
        </w:rPr>
        <w:t>表6.1-1选址及周边环境检查表</w:t>
      </w:r>
    </w:p>
    <w:tbl>
      <w:tblPr>
        <w:tblStyle w:val="29"/>
        <w:tblW w:w="93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2"/>
        <w:gridCol w:w="4693"/>
        <w:gridCol w:w="1837"/>
        <w:gridCol w:w="1601"/>
        <w:gridCol w:w="6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572" w:type="dxa"/>
            <w:noWrap w:val="0"/>
            <w:vAlign w:val="center"/>
          </w:tcPr>
          <w:p>
            <w:pPr>
              <w:pStyle w:val="38"/>
              <w:bidi w:val="0"/>
              <w:rPr>
                <w:rFonts w:hint="eastAsia"/>
                <w:color w:val="auto"/>
                <w:lang w:val="en-US" w:eastAsia="zh-CN"/>
              </w:rPr>
            </w:pPr>
          </w:p>
        </w:tc>
        <w:tc>
          <w:tcPr>
            <w:tcW w:w="8787" w:type="dxa"/>
            <w:gridSpan w:val="4"/>
            <w:noWrap w:val="0"/>
            <w:vAlign w:val="center"/>
          </w:tcPr>
          <w:p>
            <w:pPr>
              <w:pStyle w:val="38"/>
              <w:bidi w:val="0"/>
              <w:rPr>
                <w:rFonts w:hint="default"/>
                <w:color w:val="auto"/>
                <w:lang w:val="en-US" w:eastAsia="zh-CN"/>
              </w:rPr>
            </w:pPr>
            <w:r>
              <w:rPr>
                <w:rFonts w:hint="eastAsia"/>
                <w:color w:val="auto"/>
                <w:lang w:val="en-US" w:eastAsia="zh-CN"/>
              </w:rPr>
              <w:t>选址及周边环境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572" w:type="dxa"/>
            <w:noWrap w:val="0"/>
            <w:vAlign w:val="center"/>
          </w:tcPr>
          <w:p>
            <w:pPr>
              <w:pStyle w:val="38"/>
              <w:bidi w:val="0"/>
              <w:rPr>
                <w:rFonts w:hint="eastAsia"/>
                <w:color w:val="auto"/>
              </w:rPr>
            </w:pPr>
            <w:r>
              <w:rPr>
                <w:rFonts w:hint="eastAsia"/>
                <w:color w:val="auto"/>
              </w:rPr>
              <w:t>序号</w:t>
            </w:r>
          </w:p>
        </w:tc>
        <w:tc>
          <w:tcPr>
            <w:tcW w:w="4693" w:type="dxa"/>
            <w:noWrap w:val="0"/>
            <w:vAlign w:val="center"/>
          </w:tcPr>
          <w:p>
            <w:pPr>
              <w:pStyle w:val="38"/>
              <w:bidi w:val="0"/>
              <w:rPr>
                <w:rFonts w:hint="eastAsia"/>
                <w:color w:val="auto"/>
              </w:rPr>
            </w:pPr>
            <w:r>
              <w:rPr>
                <w:rFonts w:hint="eastAsia"/>
                <w:color w:val="auto"/>
              </w:rPr>
              <w:t>检查内容</w:t>
            </w:r>
          </w:p>
        </w:tc>
        <w:tc>
          <w:tcPr>
            <w:tcW w:w="1837" w:type="dxa"/>
            <w:noWrap w:val="0"/>
            <w:vAlign w:val="center"/>
          </w:tcPr>
          <w:p>
            <w:pPr>
              <w:pStyle w:val="38"/>
              <w:bidi w:val="0"/>
              <w:rPr>
                <w:rFonts w:hint="eastAsia"/>
                <w:color w:val="auto"/>
                <w:lang w:val="en-US" w:eastAsia="zh-CN"/>
              </w:rPr>
            </w:pPr>
            <w:r>
              <w:rPr>
                <w:rFonts w:hint="eastAsia"/>
                <w:color w:val="auto"/>
                <w:lang w:val="en-US" w:eastAsia="zh-CN"/>
              </w:rPr>
              <w:t>依据</w:t>
            </w:r>
          </w:p>
        </w:tc>
        <w:tc>
          <w:tcPr>
            <w:tcW w:w="1601" w:type="dxa"/>
            <w:noWrap w:val="0"/>
            <w:vAlign w:val="center"/>
          </w:tcPr>
          <w:p>
            <w:pPr>
              <w:pStyle w:val="38"/>
              <w:bidi w:val="0"/>
              <w:rPr>
                <w:rFonts w:hint="eastAsia"/>
                <w:color w:val="auto"/>
              </w:rPr>
            </w:pPr>
            <w:r>
              <w:rPr>
                <w:rFonts w:hint="eastAsia"/>
                <w:color w:val="auto"/>
              </w:rPr>
              <w:t>检查记录</w:t>
            </w:r>
          </w:p>
        </w:tc>
        <w:tc>
          <w:tcPr>
            <w:tcW w:w="656" w:type="dxa"/>
            <w:noWrap w:val="0"/>
            <w:vAlign w:val="center"/>
          </w:tcPr>
          <w:p>
            <w:pPr>
              <w:pStyle w:val="38"/>
              <w:bidi w:val="0"/>
              <w:rPr>
                <w:rFonts w:hint="eastAsia"/>
                <w:color w:val="auto"/>
              </w:rPr>
            </w:pPr>
            <w:r>
              <w:rPr>
                <w:rFonts w:hint="eastAsia"/>
                <w:color w:val="auto"/>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3" w:hRule="atLeast"/>
          <w:jc w:val="center"/>
        </w:trPr>
        <w:tc>
          <w:tcPr>
            <w:tcW w:w="572" w:type="dxa"/>
            <w:noWrap w:val="0"/>
            <w:vAlign w:val="center"/>
          </w:tcPr>
          <w:p>
            <w:pPr>
              <w:pStyle w:val="38"/>
              <w:bidi w:val="0"/>
              <w:rPr>
                <w:rFonts w:hint="eastAsia"/>
                <w:color w:val="auto"/>
              </w:rPr>
            </w:pPr>
            <w:r>
              <w:rPr>
                <w:rFonts w:hint="eastAsia"/>
                <w:color w:val="auto"/>
              </w:rPr>
              <w:t>1</w:t>
            </w:r>
          </w:p>
        </w:tc>
        <w:tc>
          <w:tcPr>
            <w:tcW w:w="4693" w:type="dxa"/>
            <w:noWrap w:val="0"/>
            <w:vAlign w:val="center"/>
          </w:tcPr>
          <w:p>
            <w:pPr>
              <w:pStyle w:val="38"/>
              <w:bidi w:val="0"/>
              <w:rPr>
                <w:rFonts w:hint="eastAsia"/>
                <w:color w:val="auto"/>
                <w:lang w:val="en-US" w:eastAsia="zh-CN"/>
              </w:rPr>
            </w:pPr>
            <w:r>
              <w:rPr>
                <w:rFonts w:hint="eastAsia"/>
                <w:color w:val="auto"/>
                <w:lang w:val="en-US" w:eastAsia="zh-CN"/>
              </w:rPr>
              <w:t> 充电站的总体规划应符合城镇规划、环境保护的要求，并应选在交通便利的地方。</w:t>
            </w:r>
          </w:p>
        </w:tc>
        <w:tc>
          <w:tcPr>
            <w:tcW w:w="183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3.2.1</w:t>
            </w:r>
          </w:p>
        </w:tc>
        <w:tc>
          <w:tcPr>
            <w:tcW w:w="1601" w:type="dxa"/>
            <w:noWrap w:val="0"/>
            <w:vAlign w:val="center"/>
          </w:tcPr>
          <w:p>
            <w:pPr>
              <w:pStyle w:val="38"/>
              <w:bidi w:val="0"/>
              <w:rPr>
                <w:rFonts w:hint="eastAsia"/>
                <w:color w:val="auto"/>
                <w:lang w:val="en-US" w:eastAsia="zh-CN"/>
              </w:rPr>
            </w:pPr>
            <w:r>
              <w:rPr>
                <w:rFonts w:hint="eastAsia"/>
                <w:color w:val="auto"/>
                <w:lang w:val="en-US" w:eastAsia="zh-CN"/>
              </w:rPr>
              <w:t>交通便利</w:t>
            </w:r>
          </w:p>
        </w:tc>
        <w:tc>
          <w:tcPr>
            <w:tcW w:w="656" w:type="dxa"/>
            <w:noWrap w:val="0"/>
            <w:vAlign w:val="center"/>
          </w:tcPr>
          <w:p>
            <w:pPr>
              <w:pStyle w:val="38"/>
              <w:bidi w:val="0"/>
              <w:rPr>
                <w:rFonts w:hint="eastAsia"/>
                <w:color w:val="auto"/>
                <w:lang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3"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2</w:t>
            </w:r>
          </w:p>
        </w:tc>
        <w:tc>
          <w:tcPr>
            <w:tcW w:w="4693" w:type="dxa"/>
            <w:noWrap w:val="0"/>
            <w:vAlign w:val="center"/>
          </w:tcPr>
          <w:p>
            <w:pPr>
              <w:pStyle w:val="38"/>
              <w:bidi w:val="0"/>
              <w:rPr>
                <w:rFonts w:hint="eastAsia"/>
                <w:color w:val="auto"/>
                <w:lang w:val="en-US" w:eastAsia="zh-CN"/>
              </w:rPr>
            </w:pPr>
            <w:r>
              <w:rPr>
                <w:rFonts w:hint="eastAsia"/>
                <w:color w:val="auto"/>
                <w:lang w:val="en-US" w:eastAsia="zh-CN"/>
              </w:rPr>
              <w:t>充电站站址宜靠近城市道路，不宜选在城市干道的交叉路口和交通繁忙路段附近。</w:t>
            </w:r>
          </w:p>
        </w:tc>
        <w:tc>
          <w:tcPr>
            <w:tcW w:w="183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3.2.2</w:t>
            </w:r>
          </w:p>
        </w:tc>
        <w:tc>
          <w:tcPr>
            <w:tcW w:w="1601" w:type="dxa"/>
            <w:noWrap w:val="0"/>
            <w:vAlign w:val="center"/>
          </w:tcPr>
          <w:p>
            <w:pPr>
              <w:pStyle w:val="38"/>
              <w:bidi w:val="0"/>
              <w:rPr>
                <w:rFonts w:hint="default"/>
                <w:color w:val="auto"/>
                <w:lang w:val="en-US" w:eastAsia="zh-CN"/>
              </w:rPr>
            </w:pPr>
            <w:r>
              <w:rPr>
                <w:rFonts w:hint="eastAsia"/>
                <w:color w:val="auto"/>
                <w:lang w:val="en-US" w:eastAsia="zh-CN"/>
              </w:rPr>
              <w:t>站址未选在城市干道的交叉路口</w:t>
            </w:r>
          </w:p>
        </w:tc>
        <w:tc>
          <w:tcPr>
            <w:tcW w:w="656"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3"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3</w:t>
            </w:r>
          </w:p>
        </w:tc>
        <w:tc>
          <w:tcPr>
            <w:tcW w:w="4693" w:type="dxa"/>
            <w:noWrap w:val="0"/>
            <w:vAlign w:val="center"/>
          </w:tcPr>
          <w:p>
            <w:pPr>
              <w:pStyle w:val="38"/>
              <w:bidi w:val="0"/>
              <w:rPr>
                <w:rFonts w:hint="eastAsia"/>
                <w:color w:val="auto"/>
                <w:lang w:val="en-US" w:eastAsia="zh-CN"/>
              </w:rPr>
            </w:pPr>
            <w:r>
              <w:rPr>
                <w:rFonts w:hint="eastAsia"/>
                <w:color w:val="auto"/>
                <w:lang w:val="en-US" w:eastAsia="zh-CN"/>
              </w:rPr>
              <w:t>充电站站址的选择应与城市中低压配电网的规划和建设密切结合，以满足供电可靠性、电能质量和自动化的要求。</w:t>
            </w:r>
          </w:p>
        </w:tc>
        <w:tc>
          <w:tcPr>
            <w:tcW w:w="183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3.2.3</w:t>
            </w:r>
          </w:p>
        </w:tc>
        <w:tc>
          <w:tcPr>
            <w:tcW w:w="1601" w:type="dxa"/>
            <w:noWrap w:val="0"/>
            <w:vAlign w:val="center"/>
          </w:tcPr>
          <w:p>
            <w:pPr>
              <w:pStyle w:val="38"/>
              <w:bidi w:val="0"/>
              <w:rPr>
                <w:rFonts w:hint="eastAsia"/>
                <w:color w:val="auto"/>
              </w:rPr>
            </w:pPr>
            <w:r>
              <w:rPr>
                <w:rFonts w:hint="eastAsia"/>
                <w:color w:val="auto"/>
                <w:lang w:val="en-US" w:eastAsia="zh-CN"/>
              </w:rPr>
              <w:t>与城市中低压配电网的规划和建设密切结合</w:t>
            </w:r>
          </w:p>
        </w:tc>
        <w:tc>
          <w:tcPr>
            <w:tcW w:w="656"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222" w:hRule="atLeast"/>
          <w:jc w:val="center"/>
        </w:trPr>
        <w:tc>
          <w:tcPr>
            <w:tcW w:w="572" w:type="dxa"/>
            <w:noWrap w:val="0"/>
            <w:vAlign w:val="center"/>
          </w:tcPr>
          <w:p>
            <w:pPr>
              <w:pStyle w:val="38"/>
              <w:bidi w:val="0"/>
              <w:rPr>
                <w:rFonts w:hint="eastAsia"/>
                <w:b/>
                <w:bCs/>
                <w:color w:val="auto"/>
                <w:lang w:val="en-US" w:eastAsia="zh-CN"/>
              </w:rPr>
            </w:pPr>
            <w:r>
              <w:rPr>
                <w:rFonts w:hint="eastAsia"/>
                <w:b/>
                <w:bCs/>
                <w:color w:val="auto"/>
                <w:lang w:val="en-US" w:eastAsia="zh-CN"/>
              </w:rPr>
              <w:t>4</w:t>
            </w:r>
          </w:p>
        </w:tc>
        <w:tc>
          <w:tcPr>
            <w:tcW w:w="4693" w:type="dxa"/>
            <w:noWrap w:val="0"/>
            <w:vAlign w:val="center"/>
          </w:tcPr>
          <w:p>
            <w:pPr>
              <w:pStyle w:val="38"/>
              <w:bidi w:val="0"/>
              <w:rPr>
                <w:rFonts w:hint="eastAsia"/>
                <w:b/>
                <w:bCs/>
                <w:color w:val="auto"/>
                <w:lang w:val="en-US" w:eastAsia="zh-CN"/>
              </w:rPr>
            </w:pPr>
            <w:r>
              <w:rPr>
                <w:rFonts w:hint="eastAsia"/>
                <w:b/>
                <w:bCs/>
                <w:color w:val="auto"/>
                <w:lang w:val="en-US" w:eastAsia="zh-CN"/>
              </w:rPr>
              <w:t>充电站应满足环境保护和消防安全的要求。充电站的建(构)筑物火灾危险性分类应符合现行国家标准《火力发电厂与变电站设计防火规范》GB 50229和《建筑设计防火规范》GB 50016的有关规定。充电站内的充电区和配电室的建(构)筑物与站内外建筑之间的防火间距应符合现行国家标准《建筑设计防火规范》GB 50016和《高层民用建筑设计防火规范》GB 50045的有关规定，充电站建(构)筑物相应厂房类别划分应符合表3.2.4的规定。</w:t>
            </w:r>
          </w:p>
          <w:p>
            <w:pPr>
              <w:pStyle w:val="38"/>
              <w:bidi w:val="0"/>
              <w:rPr>
                <w:rFonts w:hint="eastAsia"/>
                <w:b/>
                <w:bCs/>
                <w:color w:val="auto"/>
              </w:rPr>
            </w:pPr>
            <w:r>
              <w:rPr>
                <w:rFonts w:hint="eastAsia"/>
                <w:b/>
                <w:bCs/>
                <w:color w:val="auto"/>
              </w:rPr>
              <w:t>表3.2.4  充电站建(构)筑物相应厂房类别划分</w:t>
            </w:r>
          </w:p>
          <w:p>
            <w:pPr>
              <w:pStyle w:val="38"/>
              <w:bidi w:val="0"/>
              <w:rPr>
                <w:rFonts w:hint="eastAsia"/>
                <w:b/>
                <w:bCs/>
                <w:color w:val="auto"/>
              </w:rPr>
            </w:pPr>
            <w:r>
              <w:rPr>
                <w:rFonts w:hint="eastAsia"/>
                <w:b/>
                <w:bCs/>
                <w:color w:val="auto"/>
                <w:lang w:val="en-US" w:eastAsia="zh-CN"/>
              </w:rPr>
              <w:drawing>
                <wp:inline distT="0" distB="0" distL="114300" distR="114300">
                  <wp:extent cx="2875915" cy="391160"/>
                  <wp:effectExtent l="0" t="0" r="635" b="8890"/>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17"/>
                          <a:stretch>
                            <a:fillRect/>
                          </a:stretch>
                        </pic:blipFill>
                        <pic:spPr>
                          <a:xfrm>
                            <a:off x="0" y="0"/>
                            <a:ext cx="2875915" cy="391160"/>
                          </a:xfrm>
                          <a:prstGeom prst="rect">
                            <a:avLst/>
                          </a:prstGeom>
                          <a:noFill/>
                          <a:ln w="9525">
                            <a:noFill/>
                          </a:ln>
                        </pic:spPr>
                      </pic:pic>
                    </a:graphicData>
                  </a:graphic>
                </wp:inline>
              </w:drawing>
            </w:r>
          </w:p>
          <w:p>
            <w:pPr>
              <w:pStyle w:val="38"/>
              <w:bidi w:val="0"/>
              <w:rPr>
                <w:rFonts w:hint="eastAsia"/>
                <w:b/>
                <w:bCs/>
                <w:color w:val="auto"/>
              </w:rPr>
            </w:pPr>
            <w:r>
              <w:rPr>
                <w:rFonts w:hint="eastAsia"/>
                <w:b/>
                <w:bCs/>
                <w:color w:val="auto"/>
                <w:lang w:val="en-US" w:eastAsia="zh-CN"/>
              </w:rPr>
              <w:drawing>
                <wp:inline distT="0" distB="0" distL="114300" distR="114300">
                  <wp:extent cx="2832100" cy="455930"/>
                  <wp:effectExtent l="0" t="0" r="6350" b="1270"/>
                  <wp:docPr id="2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7"/>
                          <pic:cNvPicPr>
                            <a:picLocks noChangeAspect="1"/>
                          </pic:cNvPicPr>
                        </pic:nvPicPr>
                        <pic:blipFill>
                          <a:blip r:embed="rId18"/>
                          <a:stretch>
                            <a:fillRect/>
                          </a:stretch>
                        </pic:blipFill>
                        <pic:spPr>
                          <a:xfrm>
                            <a:off x="0" y="0"/>
                            <a:ext cx="2832100" cy="455930"/>
                          </a:xfrm>
                          <a:prstGeom prst="rect">
                            <a:avLst/>
                          </a:prstGeom>
                          <a:noFill/>
                          <a:ln w="9525">
                            <a:noFill/>
                          </a:ln>
                        </pic:spPr>
                      </pic:pic>
                    </a:graphicData>
                  </a:graphic>
                </wp:inline>
              </w:drawing>
            </w:r>
          </w:p>
          <w:p>
            <w:pPr>
              <w:pStyle w:val="38"/>
              <w:bidi w:val="0"/>
              <w:rPr>
                <w:rFonts w:hint="eastAsia"/>
                <w:b/>
                <w:bCs/>
                <w:color w:val="auto"/>
                <w:lang w:val="en-US" w:eastAsia="zh-CN"/>
              </w:rPr>
            </w:pPr>
            <w:r>
              <w:rPr>
                <w:rFonts w:hint="eastAsia"/>
                <w:b/>
                <w:bCs/>
                <w:color w:val="auto"/>
                <w:lang w:val="en-US" w:eastAsia="zh-CN"/>
              </w:rPr>
              <w:t>注：干式变压器包括SF6气体变压器和环氧树脂浇铸变压器等。</w:t>
            </w:r>
          </w:p>
        </w:tc>
        <w:tc>
          <w:tcPr>
            <w:tcW w:w="1837" w:type="dxa"/>
            <w:noWrap w:val="0"/>
            <w:vAlign w:val="center"/>
          </w:tcPr>
          <w:p>
            <w:pPr>
              <w:pStyle w:val="38"/>
              <w:bidi w:val="0"/>
              <w:rPr>
                <w:rFonts w:hint="eastAsia"/>
                <w:b/>
                <w:bCs/>
                <w:color w:val="auto"/>
                <w:lang w:val="en-US" w:eastAsia="zh-CN"/>
              </w:rPr>
            </w:pPr>
            <w:r>
              <w:rPr>
                <w:rFonts w:hint="eastAsia"/>
                <w:b/>
                <w:bCs/>
                <w:color w:val="auto"/>
                <w:lang w:eastAsia="zh-CN"/>
              </w:rPr>
              <w:t>《</w:t>
            </w:r>
            <w:r>
              <w:rPr>
                <w:rFonts w:hint="eastAsia"/>
                <w:b/>
                <w:bCs/>
                <w:color w:val="auto"/>
                <w:lang w:val="en-US" w:eastAsia="zh-CN"/>
              </w:rPr>
              <w:t>电动汽车充电站设计规范</w:t>
            </w:r>
            <w:r>
              <w:rPr>
                <w:rFonts w:hint="eastAsia"/>
                <w:b/>
                <w:bCs/>
                <w:color w:val="auto"/>
                <w:lang w:eastAsia="zh-CN"/>
              </w:rPr>
              <w:t>》</w:t>
            </w:r>
            <w:r>
              <w:rPr>
                <w:rFonts w:hint="eastAsia"/>
                <w:b/>
                <w:bCs/>
                <w:color w:val="auto"/>
                <w:lang w:val="en-US" w:eastAsia="zh-CN"/>
              </w:rPr>
              <w:t>GB50966-2014</w:t>
            </w:r>
          </w:p>
          <w:p>
            <w:pPr>
              <w:pStyle w:val="38"/>
              <w:bidi w:val="0"/>
              <w:rPr>
                <w:rFonts w:hint="eastAsia"/>
                <w:b/>
                <w:bCs/>
                <w:color w:val="auto"/>
                <w:lang w:val="en-US" w:eastAsia="zh-CN"/>
              </w:rPr>
            </w:pPr>
            <w:r>
              <w:rPr>
                <w:rFonts w:hint="eastAsia"/>
                <w:b/>
                <w:bCs/>
                <w:color w:val="auto"/>
                <w:lang w:val="en-US" w:eastAsia="zh-CN"/>
              </w:rPr>
              <w:t>3.2.4</w:t>
            </w:r>
          </w:p>
        </w:tc>
        <w:tc>
          <w:tcPr>
            <w:tcW w:w="1601" w:type="dxa"/>
            <w:noWrap w:val="0"/>
            <w:vAlign w:val="center"/>
          </w:tcPr>
          <w:p>
            <w:pPr>
              <w:pStyle w:val="38"/>
              <w:bidi w:val="0"/>
              <w:rPr>
                <w:rFonts w:hint="default"/>
                <w:b/>
                <w:bCs/>
                <w:color w:val="auto"/>
                <w:lang w:val="en-US" w:eastAsia="zh-CN"/>
              </w:rPr>
            </w:pPr>
            <w:r>
              <w:rPr>
                <w:rFonts w:hint="eastAsia"/>
                <w:b/>
                <w:bCs/>
                <w:color w:val="auto"/>
                <w:lang w:val="en-US" w:eastAsia="zh-CN"/>
              </w:rPr>
              <w:t>与站外建筑之间的防火间距符合GB50016的有关规定</w:t>
            </w:r>
          </w:p>
        </w:tc>
        <w:tc>
          <w:tcPr>
            <w:tcW w:w="656"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16"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5</w:t>
            </w:r>
          </w:p>
        </w:tc>
        <w:tc>
          <w:tcPr>
            <w:tcW w:w="4693" w:type="dxa"/>
            <w:noWrap w:val="0"/>
            <w:vAlign w:val="center"/>
          </w:tcPr>
          <w:p>
            <w:pPr>
              <w:pStyle w:val="38"/>
              <w:bidi w:val="0"/>
              <w:rPr>
                <w:rFonts w:hint="eastAsia"/>
                <w:color w:val="auto"/>
                <w:lang w:val="en-US" w:eastAsia="zh-CN"/>
              </w:rPr>
            </w:pPr>
            <w:r>
              <w:rPr>
                <w:rFonts w:hint="eastAsia"/>
                <w:color w:val="auto"/>
                <w:lang w:val="en-US" w:eastAsia="zh-CN"/>
              </w:rPr>
              <w:t>充电站不应靠近有潜在火灾或爆炸危险的地方，当与有爆炸危险的建筑物毗邻时，应符合现行国家标准《爆炸危险环境电力装置设计规范》GB 50058的有关规定。</w:t>
            </w:r>
          </w:p>
        </w:tc>
        <w:tc>
          <w:tcPr>
            <w:tcW w:w="183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3.2.5</w:t>
            </w:r>
          </w:p>
        </w:tc>
        <w:tc>
          <w:tcPr>
            <w:tcW w:w="1601" w:type="dxa"/>
            <w:noWrap w:val="0"/>
            <w:vAlign w:val="center"/>
          </w:tcPr>
          <w:p>
            <w:pPr>
              <w:pStyle w:val="38"/>
              <w:bidi w:val="0"/>
              <w:rPr>
                <w:rFonts w:hint="default"/>
                <w:color w:val="auto"/>
                <w:lang w:val="en-US" w:eastAsia="zh-CN"/>
              </w:rPr>
            </w:pPr>
            <w:r>
              <w:rPr>
                <w:rFonts w:hint="eastAsia"/>
                <w:color w:val="auto"/>
                <w:lang w:val="en-US" w:eastAsia="zh-CN"/>
              </w:rPr>
              <w:t>符合GB50058的有关规定</w:t>
            </w:r>
          </w:p>
        </w:tc>
        <w:tc>
          <w:tcPr>
            <w:tcW w:w="656"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3"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6</w:t>
            </w:r>
          </w:p>
        </w:tc>
        <w:tc>
          <w:tcPr>
            <w:tcW w:w="4693" w:type="dxa"/>
            <w:noWrap w:val="0"/>
            <w:vAlign w:val="center"/>
          </w:tcPr>
          <w:p>
            <w:pPr>
              <w:pStyle w:val="38"/>
              <w:bidi w:val="0"/>
              <w:rPr>
                <w:rFonts w:hint="eastAsia"/>
                <w:color w:val="auto"/>
                <w:lang w:val="en-US" w:eastAsia="zh-CN"/>
              </w:rPr>
            </w:pPr>
            <w:r>
              <w:rPr>
                <w:rFonts w:hint="eastAsia"/>
                <w:color w:val="auto"/>
                <w:lang w:val="en-US" w:eastAsia="zh-CN"/>
              </w:rPr>
              <w:t>充电站不宜设在多尘或有腐蚀性气体的场所，当无法远离时，不应设在污染源盛行风向的下风侧。</w:t>
            </w:r>
          </w:p>
        </w:tc>
        <w:tc>
          <w:tcPr>
            <w:tcW w:w="183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3.2.6</w:t>
            </w:r>
          </w:p>
        </w:tc>
        <w:tc>
          <w:tcPr>
            <w:tcW w:w="1601" w:type="dxa"/>
            <w:noWrap w:val="0"/>
            <w:vAlign w:val="center"/>
          </w:tcPr>
          <w:p>
            <w:pPr>
              <w:pStyle w:val="38"/>
              <w:bidi w:val="0"/>
              <w:rPr>
                <w:rFonts w:hint="default"/>
                <w:color w:val="auto"/>
                <w:lang w:val="en-US" w:eastAsia="zh-CN"/>
              </w:rPr>
            </w:pPr>
            <w:r>
              <w:rPr>
                <w:rFonts w:hint="eastAsia"/>
                <w:color w:val="auto"/>
                <w:lang w:val="en-US" w:eastAsia="zh-CN"/>
              </w:rPr>
              <w:t>未设在多尘或有腐蚀性气体的场所</w:t>
            </w:r>
          </w:p>
        </w:tc>
        <w:tc>
          <w:tcPr>
            <w:tcW w:w="656"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3"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7</w:t>
            </w:r>
          </w:p>
        </w:tc>
        <w:tc>
          <w:tcPr>
            <w:tcW w:w="4693" w:type="dxa"/>
            <w:noWrap w:val="0"/>
            <w:vAlign w:val="center"/>
          </w:tcPr>
          <w:p>
            <w:pPr>
              <w:pStyle w:val="38"/>
              <w:bidi w:val="0"/>
              <w:rPr>
                <w:rFonts w:hint="eastAsia"/>
                <w:color w:val="auto"/>
                <w:lang w:val="en-US" w:eastAsia="zh-CN"/>
              </w:rPr>
            </w:pPr>
            <w:r>
              <w:rPr>
                <w:rFonts w:hint="eastAsia"/>
                <w:color w:val="auto"/>
                <w:lang w:val="en-US" w:eastAsia="zh-CN"/>
              </w:rPr>
              <w:t>充电站不应设在有剧烈振动的场所。</w:t>
            </w:r>
          </w:p>
        </w:tc>
        <w:tc>
          <w:tcPr>
            <w:tcW w:w="183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3.2.7</w:t>
            </w:r>
          </w:p>
        </w:tc>
        <w:tc>
          <w:tcPr>
            <w:tcW w:w="1601" w:type="dxa"/>
            <w:noWrap w:val="0"/>
            <w:vAlign w:val="center"/>
          </w:tcPr>
          <w:p>
            <w:pPr>
              <w:pStyle w:val="38"/>
              <w:bidi w:val="0"/>
              <w:rPr>
                <w:rFonts w:hint="default"/>
                <w:color w:val="auto"/>
                <w:lang w:val="en-US" w:eastAsia="zh-CN"/>
              </w:rPr>
            </w:pPr>
            <w:r>
              <w:rPr>
                <w:rFonts w:hint="eastAsia"/>
                <w:color w:val="auto"/>
                <w:lang w:val="en-US" w:eastAsia="zh-CN"/>
              </w:rPr>
              <w:t>未设置有剧烈振动的场所</w:t>
            </w:r>
          </w:p>
        </w:tc>
        <w:tc>
          <w:tcPr>
            <w:tcW w:w="656"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53"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8</w:t>
            </w:r>
          </w:p>
        </w:tc>
        <w:tc>
          <w:tcPr>
            <w:tcW w:w="4693" w:type="dxa"/>
            <w:noWrap w:val="0"/>
            <w:vAlign w:val="center"/>
          </w:tcPr>
          <w:p>
            <w:pPr>
              <w:pStyle w:val="38"/>
              <w:bidi w:val="0"/>
              <w:rPr>
                <w:rFonts w:hint="eastAsia"/>
                <w:color w:val="auto"/>
                <w:lang w:val="en-US" w:eastAsia="zh-CN"/>
              </w:rPr>
            </w:pPr>
            <w:r>
              <w:rPr>
                <w:rFonts w:hint="eastAsia"/>
                <w:color w:val="auto"/>
                <w:lang w:val="en-US" w:eastAsia="zh-CN"/>
              </w:rPr>
              <w:t>充电站的环境温度应满足为电动汽车动力蓄电池正常充电的要求。</w:t>
            </w:r>
          </w:p>
        </w:tc>
        <w:tc>
          <w:tcPr>
            <w:tcW w:w="183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3.2.8</w:t>
            </w:r>
          </w:p>
        </w:tc>
        <w:tc>
          <w:tcPr>
            <w:tcW w:w="1601" w:type="dxa"/>
            <w:noWrap w:val="0"/>
            <w:vAlign w:val="center"/>
          </w:tcPr>
          <w:p>
            <w:pPr>
              <w:pStyle w:val="38"/>
              <w:bidi w:val="0"/>
              <w:rPr>
                <w:rFonts w:hint="default"/>
                <w:color w:val="auto"/>
                <w:lang w:val="en-US" w:eastAsia="zh-CN"/>
              </w:rPr>
            </w:pPr>
            <w:r>
              <w:rPr>
                <w:rFonts w:hint="eastAsia"/>
                <w:color w:val="auto"/>
                <w:lang w:val="en-US" w:eastAsia="zh-CN"/>
              </w:rPr>
              <w:t>环境温度满足正常充电的要求</w:t>
            </w:r>
          </w:p>
        </w:tc>
        <w:tc>
          <w:tcPr>
            <w:tcW w:w="656"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46"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9</w:t>
            </w:r>
          </w:p>
        </w:tc>
        <w:tc>
          <w:tcPr>
            <w:tcW w:w="4693" w:type="dxa"/>
            <w:noWrap w:val="0"/>
            <w:vAlign w:val="center"/>
          </w:tcPr>
          <w:p>
            <w:pPr>
              <w:pStyle w:val="38"/>
              <w:bidi w:val="0"/>
              <w:rPr>
                <w:rFonts w:hint="eastAsia"/>
                <w:color w:val="auto"/>
                <w:lang w:val="en-US" w:eastAsia="zh-CN"/>
              </w:rPr>
            </w:pPr>
            <w:r>
              <w:rPr>
                <w:rFonts w:hint="eastAsia"/>
                <w:color w:val="auto"/>
                <w:lang w:val="en-US" w:eastAsia="zh-CN"/>
              </w:rPr>
              <w:t>充电站与党政机关办公楼、中小学校、幼儿园、医院门诊楼和住院楼、大型图书馆、文物古迹、博物 馆、大型体育馆、影剧院等重要或人员密集的公共建筑应具有合理的安全距离。</w:t>
            </w:r>
          </w:p>
        </w:tc>
        <w:tc>
          <w:tcPr>
            <w:tcW w:w="1837" w:type="dxa"/>
            <w:noWrap w:val="0"/>
            <w:vAlign w:val="center"/>
          </w:tcPr>
          <w:p>
            <w:pPr>
              <w:pStyle w:val="38"/>
              <w:bidi w:val="0"/>
              <w:rPr>
                <w:rFonts w:hint="eastAsia"/>
                <w:color w:val="auto"/>
                <w:lang w:val="en-US" w:eastAsia="zh-CN"/>
              </w:rPr>
            </w:pPr>
            <w:r>
              <w:rPr>
                <w:rFonts w:hint="eastAsia"/>
                <w:color w:val="auto"/>
                <w:lang w:val="en-US" w:eastAsia="zh-CN"/>
              </w:rPr>
              <w:t>《电动汽车充电站通用要求》GB/T29781-2013</w:t>
            </w:r>
          </w:p>
          <w:p>
            <w:pPr>
              <w:pStyle w:val="38"/>
              <w:bidi w:val="0"/>
              <w:rPr>
                <w:rFonts w:hint="default"/>
                <w:color w:val="auto"/>
                <w:lang w:val="en-US" w:eastAsia="zh-CN"/>
              </w:rPr>
            </w:pPr>
            <w:r>
              <w:rPr>
                <w:rFonts w:hint="eastAsia"/>
                <w:color w:val="auto"/>
                <w:lang w:val="en-US" w:eastAsia="zh-CN"/>
              </w:rPr>
              <w:t>5.1</w:t>
            </w:r>
          </w:p>
        </w:tc>
        <w:tc>
          <w:tcPr>
            <w:tcW w:w="1601" w:type="dxa"/>
            <w:noWrap w:val="0"/>
            <w:vAlign w:val="center"/>
          </w:tcPr>
          <w:p>
            <w:pPr>
              <w:pStyle w:val="38"/>
              <w:bidi w:val="0"/>
              <w:rPr>
                <w:rFonts w:hint="eastAsia"/>
                <w:color w:val="auto"/>
                <w:lang w:val="en-US" w:eastAsia="zh-CN"/>
              </w:rPr>
            </w:pPr>
            <w:r>
              <w:rPr>
                <w:rFonts w:hint="eastAsia"/>
                <w:color w:val="auto"/>
                <w:lang w:val="en-US" w:eastAsia="zh-CN"/>
              </w:rPr>
              <w:t>周边无重要或人员密集的公共建筑</w:t>
            </w:r>
          </w:p>
        </w:tc>
        <w:tc>
          <w:tcPr>
            <w:tcW w:w="656" w:type="dxa"/>
            <w:noWrap w:val="0"/>
            <w:vAlign w:val="center"/>
          </w:tcPr>
          <w:p>
            <w:pPr>
              <w:pStyle w:val="38"/>
              <w:bidi w:val="0"/>
              <w:rPr>
                <w:rFonts w:hint="default"/>
                <w:color w:val="auto"/>
                <w:lang w:val="en-US" w:eastAsia="zh-CN"/>
              </w:rPr>
            </w:pPr>
            <w:r>
              <w:rPr>
                <w:rFonts w:hint="eastAsia"/>
                <w:color w:val="auto"/>
                <w:lang w:val="en-US" w:eastAsia="zh-CN"/>
              </w:rPr>
              <w:t>符合</w:t>
            </w:r>
          </w:p>
        </w:tc>
      </w:tr>
    </w:tbl>
    <w:p>
      <w:pPr>
        <w:bidi w:val="0"/>
        <w:rPr>
          <w:rFonts w:hint="eastAsia"/>
          <w:b/>
          <w:bCs/>
          <w:color w:val="auto"/>
          <w:lang w:val="en-US" w:eastAsia="zh-CN"/>
        </w:rPr>
      </w:pPr>
      <w:r>
        <w:rPr>
          <w:rFonts w:hint="eastAsia"/>
          <w:b/>
          <w:bCs/>
          <w:color w:val="auto"/>
          <w:lang w:val="en-US" w:eastAsia="zh-CN"/>
        </w:rPr>
        <w:t>评价小结：</w:t>
      </w:r>
    </w:p>
    <w:p>
      <w:pPr>
        <w:ind w:firstLine="560" w:firstLineChars="200"/>
        <w:rPr>
          <w:rFonts w:hint="default"/>
          <w:color w:val="auto"/>
          <w:lang w:val="en-US" w:eastAsia="zh-CN"/>
        </w:rPr>
      </w:pPr>
      <w:r>
        <w:rPr>
          <w:rFonts w:hint="eastAsia"/>
          <w:color w:val="auto"/>
          <w:lang w:val="en-US" w:eastAsia="zh-CN"/>
        </w:rPr>
        <w:t>由上表可知，本单元共检查9项，9项符合，本项目选址满足《汽车加油加气加氢站技术标准》（GB50156-2021）、</w:t>
      </w:r>
      <w:r>
        <w:rPr>
          <w:rFonts w:hint="eastAsia"/>
          <w:color w:val="auto"/>
          <w:sz w:val="28"/>
          <w:szCs w:val="28"/>
        </w:rPr>
        <w:t>《电动汽车充电站设计规范》GB</w:t>
      </w:r>
      <w:r>
        <w:rPr>
          <w:color w:val="auto"/>
          <w:sz w:val="28"/>
          <w:szCs w:val="28"/>
        </w:rPr>
        <w:t>50966-2014的</w:t>
      </w:r>
      <w:r>
        <w:rPr>
          <w:rFonts w:hint="eastAsia"/>
          <w:color w:val="auto"/>
          <w:sz w:val="28"/>
          <w:szCs w:val="28"/>
        </w:rPr>
        <w:t>规定。</w:t>
      </w:r>
      <w:r>
        <w:rPr>
          <w:rFonts w:hint="eastAsia"/>
          <w:color w:val="auto"/>
          <w:sz w:val="28"/>
          <w:szCs w:val="28"/>
          <w:lang w:val="en-US" w:eastAsia="zh-CN"/>
        </w:rPr>
        <w:t>与充电区域外建构筑物的</w:t>
      </w:r>
      <w:r>
        <w:rPr>
          <w:rFonts w:hint="eastAsia"/>
          <w:color w:val="auto"/>
          <w:lang w:val="en-US" w:eastAsia="zh-CN"/>
        </w:rPr>
        <w:t>防火间距</w:t>
      </w:r>
      <w:r>
        <w:rPr>
          <w:rFonts w:hint="eastAsia"/>
          <w:color w:val="auto"/>
          <w:sz w:val="28"/>
          <w:szCs w:val="28"/>
          <w:lang w:val="en-US" w:eastAsia="zh-CN"/>
        </w:rPr>
        <w:t>满足《建筑设计防火规范》GB50016-2014（2018年版）</w:t>
      </w:r>
      <w:r>
        <w:rPr>
          <w:rFonts w:hint="eastAsia"/>
          <w:color w:val="auto"/>
          <w:lang w:val="en-US" w:eastAsia="zh-CN"/>
        </w:rPr>
        <w:t>的规定。</w:t>
      </w:r>
    </w:p>
    <w:p>
      <w:pPr>
        <w:pStyle w:val="3"/>
        <w:bidi w:val="0"/>
        <w:rPr>
          <w:rFonts w:hint="default"/>
          <w:color w:val="auto"/>
          <w:lang w:val="en-US" w:eastAsia="zh-CN"/>
        </w:rPr>
      </w:pPr>
      <w:bookmarkStart w:id="111" w:name="_Toc7043"/>
      <w:r>
        <w:rPr>
          <w:rFonts w:hint="eastAsia"/>
          <w:color w:val="auto"/>
          <w:lang w:val="en-US" w:eastAsia="zh-CN"/>
        </w:rPr>
        <w:t>6.2总平面布置符合性评价</w:t>
      </w:r>
      <w:bookmarkEnd w:id="111"/>
    </w:p>
    <w:p>
      <w:pPr>
        <w:ind w:firstLine="560" w:firstLineChars="200"/>
        <w:rPr>
          <w:rFonts w:hint="eastAsia"/>
          <w:color w:val="auto"/>
          <w:sz w:val="28"/>
          <w:szCs w:val="28"/>
          <w:lang w:val="en-US" w:eastAsia="zh-CN"/>
        </w:rPr>
      </w:pPr>
      <w:r>
        <w:rPr>
          <w:rFonts w:hint="eastAsia"/>
          <w:color w:val="auto"/>
          <w:sz w:val="28"/>
          <w:szCs w:val="28"/>
          <w:lang w:val="en-US" w:eastAsia="zh-CN"/>
        </w:rPr>
        <w:t>根据《电动汽车充电站设计规范》GB50966-2014、《电动汽车充电站通用要求》GB/T29781-2013等相关规定，对站内平面布置进行符合性评价，见下表：</w:t>
      </w:r>
    </w:p>
    <w:p>
      <w:pPr>
        <w:pStyle w:val="43"/>
        <w:bidi w:val="0"/>
        <w:rPr>
          <w:rFonts w:hint="default"/>
          <w:color w:val="auto"/>
          <w:lang w:val="en-US" w:eastAsia="zh-CN"/>
        </w:rPr>
      </w:pPr>
      <w:r>
        <w:rPr>
          <w:rFonts w:hint="eastAsia"/>
          <w:color w:val="auto"/>
          <w:lang w:val="en-US" w:eastAsia="zh-CN"/>
        </w:rPr>
        <w:t>表6.2-1总平面布置及建筑物单元符合性检查表</w:t>
      </w:r>
    </w:p>
    <w:tbl>
      <w:tblPr>
        <w:tblStyle w:val="29"/>
        <w:tblW w:w="93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2"/>
        <w:gridCol w:w="4685"/>
        <w:gridCol w:w="1807"/>
        <w:gridCol w:w="1608"/>
        <w:gridCol w:w="6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572" w:type="dxa"/>
            <w:noWrap w:val="0"/>
            <w:vAlign w:val="center"/>
          </w:tcPr>
          <w:p>
            <w:pPr>
              <w:pStyle w:val="38"/>
              <w:bidi w:val="0"/>
              <w:rPr>
                <w:rFonts w:hint="eastAsia"/>
                <w:color w:val="auto"/>
                <w:lang w:val="en-US" w:eastAsia="zh-CN"/>
              </w:rPr>
            </w:pPr>
          </w:p>
        </w:tc>
        <w:tc>
          <w:tcPr>
            <w:tcW w:w="8729" w:type="dxa"/>
            <w:gridSpan w:val="4"/>
            <w:noWrap w:val="0"/>
            <w:vAlign w:val="center"/>
          </w:tcPr>
          <w:p>
            <w:pPr>
              <w:pStyle w:val="38"/>
              <w:bidi w:val="0"/>
              <w:rPr>
                <w:rFonts w:hint="default"/>
                <w:color w:val="auto"/>
                <w:lang w:val="en-US" w:eastAsia="zh-CN"/>
              </w:rPr>
            </w:pPr>
            <w:r>
              <w:rPr>
                <w:rFonts w:hint="eastAsia"/>
                <w:color w:val="auto"/>
                <w:lang w:val="en-US" w:eastAsia="zh-CN"/>
              </w:rPr>
              <w:t>总平面布置及建筑物单元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572" w:type="dxa"/>
            <w:noWrap w:val="0"/>
            <w:vAlign w:val="center"/>
          </w:tcPr>
          <w:p>
            <w:pPr>
              <w:pStyle w:val="38"/>
              <w:bidi w:val="0"/>
              <w:rPr>
                <w:rFonts w:hint="eastAsia"/>
                <w:color w:val="auto"/>
              </w:rPr>
            </w:pPr>
            <w:r>
              <w:rPr>
                <w:rFonts w:hint="eastAsia"/>
                <w:color w:val="auto"/>
              </w:rPr>
              <w:t>序号</w:t>
            </w:r>
          </w:p>
        </w:tc>
        <w:tc>
          <w:tcPr>
            <w:tcW w:w="4685" w:type="dxa"/>
            <w:noWrap w:val="0"/>
            <w:vAlign w:val="center"/>
          </w:tcPr>
          <w:p>
            <w:pPr>
              <w:pStyle w:val="38"/>
              <w:bidi w:val="0"/>
              <w:rPr>
                <w:rFonts w:hint="eastAsia"/>
                <w:color w:val="auto"/>
              </w:rPr>
            </w:pPr>
            <w:r>
              <w:rPr>
                <w:rFonts w:hint="eastAsia"/>
                <w:color w:val="auto"/>
              </w:rPr>
              <w:t>检查内容</w:t>
            </w:r>
          </w:p>
        </w:tc>
        <w:tc>
          <w:tcPr>
            <w:tcW w:w="1807" w:type="dxa"/>
            <w:noWrap w:val="0"/>
            <w:vAlign w:val="center"/>
          </w:tcPr>
          <w:p>
            <w:pPr>
              <w:pStyle w:val="38"/>
              <w:bidi w:val="0"/>
              <w:rPr>
                <w:rFonts w:hint="eastAsia"/>
                <w:color w:val="auto"/>
                <w:lang w:val="en-US" w:eastAsia="zh-CN"/>
              </w:rPr>
            </w:pPr>
            <w:r>
              <w:rPr>
                <w:rFonts w:hint="eastAsia"/>
                <w:color w:val="auto"/>
                <w:lang w:val="en-US" w:eastAsia="zh-CN"/>
              </w:rPr>
              <w:t>依据</w:t>
            </w:r>
          </w:p>
        </w:tc>
        <w:tc>
          <w:tcPr>
            <w:tcW w:w="1608" w:type="dxa"/>
            <w:noWrap w:val="0"/>
            <w:vAlign w:val="center"/>
          </w:tcPr>
          <w:p>
            <w:pPr>
              <w:pStyle w:val="38"/>
              <w:bidi w:val="0"/>
              <w:rPr>
                <w:rFonts w:hint="eastAsia"/>
                <w:color w:val="auto"/>
              </w:rPr>
            </w:pPr>
            <w:r>
              <w:rPr>
                <w:rFonts w:hint="eastAsia"/>
                <w:color w:val="auto"/>
              </w:rPr>
              <w:t>检查记录</w:t>
            </w:r>
          </w:p>
        </w:tc>
        <w:tc>
          <w:tcPr>
            <w:tcW w:w="629" w:type="dxa"/>
            <w:noWrap w:val="0"/>
            <w:vAlign w:val="center"/>
          </w:tcPr>
          <w:p>
            <w:pPr>
              <w:pStyle w:val="38"/>
              <w:bidi w:val="0"/>
              <w:rPr>
                <w:rFonts w:hint="eastAsia"/>
                <w:color w:val="auto"/>
              </w:rPr>
            </w:pPr>
            <w:r>
              <w:rPr>
                <w:rFonts w:hint="eastAsia"/>
                <w:color w:val="auto"/>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eastAsia"/>
                <w:color w:val="auto"/>
              </w:rPr>
            </w:pPr>
            <w:r>
              <w:rPr>
                <w:rFonts w:hint="eastAsia"/>
                <w:color w:val="auto"/>
              </w:rPr>
              <w:t>1</w:t>
            </w:r>
          </w:p>
        </w:tc>
        <w:tc>
          <w:tcPr>
            <w:tcW w:w="4685" w:type="dxa"/>
            <w:noWrap w:val="0"/>
            <w:vAlign w:val="center"/>
          </w:tcPr>
          <w:p>
            <w:pPr>
              <w:pStyle w:val="38"/>
              <w:bidi w:val="0"/>
              <w:rPr>
                <w:rFonts w:hint="eastAsia"/>
                <w:color w:val="auto"/>
                <w:lang w:val="en-US" w:eastAsia="zh-CN"/>
              </w:rPr>
            </w:pPr>
            <w:r>
              <w:rPr>
                <w:rFonts w:hint="eastAsia"/>
                <w:color w:val="auto"/>
              </w:rPr>
              <w:t>充电站包括站内建筑、站内外行车道、充电区、临时停车区及供配电设施等。站区总布置应满足总体规划要求，并应符合站内工艺布置合理、功能分区明确、交通便利和节约用地的原则。</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4.1.1</w:t>
            </w:r>
          </w:p>
        </w:tc>
        <w:tc>
          <w:tcPr>
            <w:tcW w:w="1608" w:type="dxa"/>
            <w:noWrap w:val="0"/>
            <w:vAlign w:val="center"/>
          </w:tcPr>
          <w:p>
            <w:pPr>
              <w:pStyle w:val="38"/>
              <w:bidi w:val="0"/>
              <w:rPr>
                <w:rFonts w:hint="eastAsia"/>
                <w:color w:val="auto"/>
              </w:rPr>
            </w:pPr>
            <w:r>
              <w:rPr>
                <w:rFonts w:hint="eastAsia"/>
                <w:color w:val="auto"/>
              </w:rPr>
              <w:t>站内工艺布置合理、功能分区明确、交通便利和节约用地</w:t>
            </w:r>
          </w:p>
        </w:tc>
        <w:tc>
          <w:tcPr>
            <w:tcW w:w="629" w:type="dxa"/>
            <w:noWrap w:val="0"/>
            <w:vAlign w:val="center"/>
          </w:tcPr>
          <w:p>
            <w:pPr>
              <w:pStyle w:val="38"/>
              <w:bidi w:val="0"/>
              <w:rPr>
                <w:rFonts w:hint="eastAsia"/>
                <w:color w:val="auto"/>
                <w:lang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2</w:t>
            </w:r>
          </w:p>
        </w:tc>
        <w:tc>
          <w:tcPr>
            <w:tcW w:w="4685" w:type="dxa"/>
            <w:noWrap w:val="0"/>
            <w:vAlign w:val="center"/>
          </w:tcPr>
          <w:p>
            <w:pPr>
              <w:pStyle w:val="38"/>
              <w:bidi w:val="0"/>
              <w:rPr>
                <w:rFonts w:hint="eastAsia"/>
                <w:color w:val="auto"/>
              </w:rPr>
            </w:pPr>
            <w:r>
              <w:rPr>
                <w:rFonts w:hint="eastAsia"/>
                <w:color w:val="auto"/>
              </w:rPr>
              <w:t>总平面布置宜按最终规模进行规划设计。</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4.1.2</w:t>
            </w:r>
          </w:p>
        </w:tc>
        <w:tc>
          <w:tcPr>
            <w:tcW w:w="1608" w:type="dxa"/>
            <w:noWrap w:val="0"/>
            <w:vAlign w:val="center"/>
          </w:tcPr>
          <w:p>
            <w:pPr>
              <w:pStyle w:val="38"/>
              <w:bidi w:val="0"/>
              <w:rPr>
                <w:rFonts w:hint="eastAsia"/>
                <w:color w:val="auto"/>
              </w:rPr>
            </w:pPr>
            <w:r>
              <w:rPr>
                <w:rFonts w:hint="eastAsia"/>
                <w:color w:val="auto"/>
              </w:rPr>
              <w:t>按最终规模进行规划设计</w:t>
            </w:r>
          </w:p>
        </w:tc>
        <w:tc>
          <w:tcPr>
            <w:tcW w:w="629"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3</w:t>
            </w:r>
          </w:p>
        </w:tc>
        <w:tc>
          <w:tcPr>
            <w:tcW w:w="4685" w:type="dxa"/>
            <w:noWrap w:val="0"/>
            <w:vAlign w:val="center"/>
          </w:tcPr>
          <w:p>
            <w:pPr>
              <w:pStyle w:val="38"/>
              <w:bidi w:val="0"/>
              <w:rPr>
                <w:rFonts w:hint="eastAsia"/>
                <w:color w:val="auto"/>
              </w:rPr>
            </w:pPr>
            <w:r>
              <w:rPr>
                <w:rFonts w:hint="eastAsia"/>
                <w:color w:val="auto"/>
              </w:rPr>
              <w:t>在保证交通组织顺畅、工艺布置合理的前提下，应根据自然地形布置充电站，尽量减少土石方量。</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4.1.3</w:t>
            </w:r>
          </w:p>
        </w:tc>
        <w:tc>
          <w:tcPr>
            <w:tcW w:w="1608" w:type="dxa"/>
            <w:noWrap w:val="0"/>
            <w:vAlign w:val="center"/>
          </w:tcPr>
          <w:p>
            <w:pPr>
              <w:pStyle w:val="38"/>
              <w:bidi w:val="0"/>
              <w:rPr>
                <w:rFonts w:hint="eastAsia"/>
                <w:color w:val="auto"/>
              </w:rPr>
            </w:pPr>
            <w:r>
              <w:rPr>
                <w:rFonts w:hint="eastAsia"/>
                <w:color w:val="auto"/>
              </w:rPr>
              <w:t>根据自然地形布置充电站</w:t>
            </w:r>
          </w:p>
        </w:tc>
        <w:tc>
          <w:tcPr>
            <w:tcW w:w="629"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4</w:t>
            </w:r>
          </w:p>
        </w:tc>
        <w:tc>
          <w:tcPr>
            <w:tcW w:w="4685" w:type="dxa"/>
            <w:noWrap w:val="0"/>
            <w:vAlign w:val="center"/>
          </w:tcPr>
          <w:p>
            <w:pPr>
              <w:pStyle w:val="38"/>
              <w:bidi w:val="0"/>
              <w:rPr>
                <w:rFonts w:hint="eastAsia"/>
                <w:color w:val="auto"/>
              </w:rPr>
            </w:pPr>
            <w:r>
              <w:rPr>
                <w:rFonts w:hint="eastAsia"/>
                <w:color w:val="auto"/>
              </w:rPr>
              <w:t>充电站宜单独设置车辆出入口。</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4.1.4</w:t>
            </w:r>
          </w:p>
        </w:tc>
        <w:tc>
          <w:tcPr>
            <w:tcW w:w="1608" w:type="dxa"/>
            <w:noWrap w:val="0"/>
            <w:vAlign w:val="center"/>
          </w:tcPr>
          <w:p>
            <w:pPr>
              <w:pStyle w:val="38"/>
              <w:bidi w:val="0"/>
              <w:rPr>
                <w:rFonts w:hint="eastAsia"/>
                <w:color w:val="auto"/>
              </w:rPr>
            </w:pPr>
            <w:r>
              <w:rPr>
                <w:rFonts w:hint="eastAsia"/>
                <w:color w:val="auto"/>
              </w:rPr>
              <w:t>单独设置车辆出入口</w:t>
            </w:r>
          </w:p>
        </w:tc>
        <w:tc>
          <w:tcPr>
            <w:tcW w:w="629" w:type="dxa"/>
            <w:noWrap w:val="0"/>
            <w:vAlign w:val="center"/>
          </w:tcPr>
          <w:p>
            <w:pPr>
              <w:pStyle w:val="38"/>
              <w:bidi w:val="0"/>
              <w:rPr>
                <w:rFonts w:hint="eastAsia"/>
                <w:color w:val="auto"/>
              </w:rPr>
            </w:pPr>
            <w:r>
              <w:rPr>
                <w:rFonts w:hint="eastAsia"/>
                <w:color w:val="auto"/>
                <w:lang w:val="en-US" w:eastAsia="zh-CN"/>
              </w:rPr>
              <w:t>符合</w:t>
            </w:r>
          </w:p>
        </w:tc>
      </w:tr>
      <w:tr>
        <w:tblPrEx>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5</w:t>
            </w:r>
          </w:p>
        </w:tc>
        <w:tc>
          <w:tcPr>
            <w:tcW w:w="4685" w:type="dxa"/>
            <w:noWrap w:val="0"/>
            <w:vAlign w:val="center"/>
          </w:tcPr>
          <w:p>
            <w:pPr>
              <w:pStyle w:val="38"/>
              <w:bidi w:val="0"/>
              <w:rPr>
                <w:rFonts w:hint="eastAsia"/>
                <w:color w:val="auto"/>
              </w:rPr>
            </w:pPr>
            <w:r>
              <w:rPr>
                <w:rFonts w:hint="eastAsia"/>
                <w:color w:val="auto"/>
              </w:rPr>
              <w:t>充电设备应靠近充电位布置，以便于充电，设备外廓距充电位边缘的净距不宜小于0.4m。充电设备的布置不应妨碍其他车辆的充电和通行，同时应采取保护充电设备及操作人员安全的措施。</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4.2.1</w:t>
            </w:r>
          </w:p>
        </w:tc>
        <w:tc>
          <w:tcPr>
            <w:tcW w:w="1608" w:type="dxa"/>
            <w:noWrap w:val="0"/>
            <w:vAlign w:val="center"/>
          </w:tcPr>
          <w:p>
            <w:pPr>
              <w:pStyle w:val="38"/>
              <w:bidi w:val="0"/>
              <w:rPr>
                <w:rFonts w:hint="eastAsia"/>
                <w:color w:val="auto"/>
              </w:rPr>
            </w:pPr>
            <w:r>
              <w:rPr>
                <w:rFonts w:hint="eastAsia"/>
                <w:color w:val="auto"/>
              </w:rPr>
              <w:t>充电设备靠近充电位布置</w:t>
            </w:r>
          </w:p>
        </w:tc>
        <w:tc>
          <w:tcPr>
            <w:tcW w:w="629" w:type="dxa"/>
            <w:noWrap w:val="0"/>
            <w:vAlign w:val="center"/>
          </w:tcPr>
          <w:p>
            <w:pPr>
              <w:pStyle w:val="38"/>
              <w:bidi w:val="0"/>
              <w:rPr>
                <w:rFonts w:hint="eastAsia"/>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6</w:t>
            </w:r>
          </w:p>
        </w:tc>
        <w:tc>
          <w:tcPr>
            <w:tcW w:w="4685" w:type="dxa"/>
            <w:noWrap w:val="0"/>
            <w:vAlign w:val="center"/>
          </w:tcPr>
          <w:p>
            <w:pPr>
              <w:pStyle w:val="38"/>
              <w:bidi w:val="0"/>
              <w:rPr>
                <w:rFonts w:hint="eastAsia"/>
                <w:color w:val="auto"/>
              </w:rPr>
            </w:pPr>
            <w:r>
              <w:rPr>
                <w:rFonts w:hint="eastAsia"/>
                <w:color w:val="auto"/>
              </w:rPr>
              <w:t> 在用地紧张的区域，充电站内的停车位可采用立体布置。</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4.2.2</w:t>
            </w:r>
          </w:p>
        </w:tc>
        <w:tc>
          <w:tcPr>
            <w:tcW w:w="1608" w:type="dxa"/>
            <w:noWrap w:val="0"/>
            <w:vAlign w:val="center"/>
          </w:tcPr>
          <w:p>
            <w:pPr>
              <w:pStyle w:val="38"/>
              <w:bidi w:val="0"/>
              <w:rPr>
                <w:rFonts w:hint="eastAsia"/>
                <w:color w:val="auto"/>
                <w:lang w:val="en-US" w:eastAsia="zh-CN"/>
              </w:rPr>
            </w:pPr>
            <w:r>
              <w:rPr>
                <w:rFonts w:hint="eastAsia"/>
                <w:color w:val="auto"/>
                <w:lang w:val="en-US" w:eastAsia="zh-CN"/>
              </w:rPr>
              <w:t>-</w:t>
            </w:r>
          </w:p>
        </w:tc>
        <w:tc>
          <w:tcPr>
            <w:tcW w:w="629" w:type="dxa"/>
            <w:noWrap w:val="0"/>
            <w:vAlign w:val="center"/>
          </w:tcPr>
          <w:p>
            <w:pPr>
              <w:pStyle w:val="38"/>
              <w:bidi w:val="0"/>
              <w:rPr>
                <w:rFonts w:hint="eastAsia"/>
                <w:color w:val="auto"/>
                <w:lang w:val="en-US" w:eastAsia="zh-CN"/>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7</w:t>
            </w:r>
          </w:p>
        </w:tc>
        <w:tc>
          <w:tcPr>
            <w:tcW w:w="4685" w:type="dxa"/>
            <w:noWrap w:val="0"/>
            <w:vAlign w:val="center"/>
          </w:tcPr>
          <w:p>
            <w:pPr>
              <w:pStyle w:val="38"/>
              <w:bidi w:val="0"/>
              <w:rPr>
                <w:rFonts w:hint="eastAsia"/>
                <w:color w:val="auto"/>
              </w:rPr>
            </w:pPr>
            <w:r>
              <w:rPr>
                <w:rFonts w:hint="eastAsia"/>
                <w:color w:val="auto"/>
              </w:rPr>
              <w:t>充电设备的布置宜靠近上级供配电设备，以缩短供电电缆的路径。</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4.2.3</w:t>
            </w:r>
          </w:p>
        </w:tc>
        <w:tc>
          <w:tcPr>
            <w:tcW w:w="1608" w:type="dxa"/>
            <w:noWrap w:val="0"/>
            <w:vAlign w:val="center"/>
          </w:tcPr>
          <w:p>
            <w:pPr>
              <w:pStyle w:val="38"/>
              <w:bidi w:val="0"/>
              <w:rPr>
                <w:rFonts w:hint="eastAsia"/>
                <w:color w:val="auto"/>
              </w:rPr>
            </w:pPr>
            <w:r>
              <w:rPr>
                <w:rFonts w:hint="eastAsia"/>
                <w:color w:val="auto"/>
              </w:rPr>
              <w:t>充电设备的布置靠近上级供配电设备</w:t>
            </w:r>
          </w:p>
        </w:tc>
        <w:tc>
          <w:tcPr>
            <w:tcW w:w="629" w:type="dxa"/>
            <w:noWrap w:val="0"/>
            <w:vAlign w:val="center"/>
          </w:tcPr>
          <w:p>
            <w:pPr>
              <w:pStyle w:val="38"/>
              <w:bidi w:val="0"/>
              <w:rPr>
                <w:rFonts w:hint="eastAsia"/>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8</w:t>
            </w:r>
          </w:p>
        </w:tc>
        <w:tc>
          <w:tcPr>
            <w:tcW w:w="4685" w:type="dxa"/>
            <w:noWrap w:val="0"/>
            <w:vAlign w:val="center"/>
          </w:tcPr>
          <w:p>
            <w:pPr>
              <w:pStyle w:val="38"/>
              <w:bidi w:val="0"/>
              <w:rPr>
                <w:rFonts w:hint="eastAsia"/>
                <w:color w:val="auto"/>
              </w:rPr>
            </w:pPr>
            <w:r>
              <w:rPr>
                <w:rFonts w:hint="eastAsia"/>
                <w:color w:val="auto"/>
              </w:rPr>
              <w:t>充电站内建筑的布置应方便观察充电区域。</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4.2.4</w:t>
            </w:r>
          </w:p>
        </w:tc>
        <w:tc>
          <w:tcPr>
            <w:tcW w:w="1608" w:type="dxa"/>
            <w:noWrap w:val="0"/>
            <w:vAlign w:val="center"/>
          </w:tcPr>
          <w:p>
            <w:pPr>
              <w:pStyle w:val="38"/>
              <w:bidi w:val="0"/>
              <w:rPr>
                <w:rFonts w:hint="eastAsia"/>
                <w:color w:val="auto"/>
              </w:rPr>
            </w:pPr>
            <w:r>
              <w:rPr>
                <w:rFonts w:hint="eastAsia"/>
                <w:color w:val="auto"/>
                <w:lang w:val="en-US" w:eastAsia="zh-CN"/>
              </w:rPr>
              <w:t>站房</w:t>
            </w:r>
            <w:r>
              <w:rPr>
                <w:rFonts w:hint="eastAsia"/>
                <w:color w:val="auto"/>
              </w:rPr>
              <w:t>方便观察充电区域</w:t>
            </w:r>
          </w:p>
        </w:tc>
        <w:tc>
          <w:tcPr>
            <w:tcW w:w="629" w:type="dxa"/>
            <w:noWrap w:val="0"/>
            <w:vAlign w:val="center"/>
          </w:tcPr>
          <w:p>
            <w:pPr>
              <w:pStyle w:val="38"/>
              <w:bidi w:val="0"/>
              <w:rPr>
                <w:rFonts w:hint="eastAsia"/>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eastAsia"/>
                <w:color w:val="auto"/>
                <w:lang w:val="en-US" w:eastAsia="zh-CN"/>
              </w:rPr>
            </w:pPr>
            <w:r>
              <w:rPr>
                <w:rFonts w:hint="eastAsia"/>
                <w:color w:val="auto"/>
                <w:lang w:val="en-US" w:eastAsia="zh-CN"/>
              </w:rPr>
              <w:t>9</w:t>
            </w:r>
          </w:p>
        </w:tc>
        <w:tc>
          <w:tcPr>
            <w:tcW w:w="4685" w:type="dxa"/>
            <w:noWrap w:val="0"/>
            <w:vAlign w:val="center"/>
          </w:tcPr>
          <w:p>
            <w:pPr>
              <w:pStyle w:val="38"/>
              <w:bidi w:val="0"/>
              <w:rPr>
                <w:rFonts w:hint="eastAsia"/>
                <w:color w:val="auto"/>
                <w:lang w:val="en-US" w:eastAsia="zh-CN"/>
              </w:rPr>
            </w:pPr>
            <w:r>
              <w:rPr>
                <w:rFonts w:hint="eastAsia"/>
                <w:color w:val="auto"/>
              </w:rPr>
              <w:t>充电站宜设置临时停车位置。</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4.2.5</w:t>
            </w:r>
          </w:p>
        </w:tc>
        <w:tc>
          <w:tcPr>
            <w:tcW w:w="1608" w:type="dxa"/>
            <w:noWrap w:val="0"/>
            <w:vAlign w:val="center"/>
          </w:tcPr>
          <w:p>
            <w:pPr>
              <w:pStyle w:val="38"/>
              <w:bidi w:val="0"/>
              <w:rPr>
                <w:rFonts w:hint="default"/>
                <w:color w:val="auto"/>
                <w:lang w:val="en-US" w:eastAsia="zh-CN"/>
              </w:rPr>
            </w:pPr>
            <w:r>
              <w:rPr>
                <w:rFonts w:hint="eastAsia"/>
                <w:color w:val="auto"/>
                <w:lang w:val="en-US" w:eastAsia="zh-CN"/>
              </w:rPr>
              <w:t>有临时停车位置</w:t>
            </w:r>
          </w:p>
        </w:tc>
        <w:tc>
          <w:tcPr>
            <w:tcW w:w="629" w:type="dxa"/>
            <w:noWrap w:val="0"/>
            <w:vAlign w:val="center"/>
          </w:tcPr>
          <w:p>
            <w:pPr>
              <w:pStyle w:val="38"/>
              <w:bidi w:val="0"/>
              <w:rPr>
                <w:rFonts w:hint="default"/>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10</w:t>
            </w:r>
          </w:p>
        </w:tc>
        <w:tc>
          <w:tcPr>
            <w:tcW w:w="4685" w:type="dxa"/>
            <w:noWrap w:val="0"/>
            <w:vAlign w:val="center"/>
          </w:tcPr>
          <w:p>
            <w:pPr>
              <w:pStyle w:val="38"/>
              <w:bidi w:val="0"/>
              <w:rPr>
                <w:rFonts w:hint="eastAsia"/>
                <w:color w:val="auto"/>
              </w:rPr>
            </w:pPr>
            <w:r>
              <w:rPr>
                <w:rFonts w:hint="eastAsia"/>
                <w:color w:val="auto"/>
              </w:rPr>
              <w:t>充电站内道路的设置应满足消防及服务车辆通行的要求。充电站的出入口不宜少于2个，当充电站的车位不超过50个时，可设置1个出入口。入口和出口宜分开设置，并应明确指示标识。</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4.3.1</w:t>
            </w:r>
          </w:p>
        </w:tc>
        <w:tc>
          <w:tcPr>
            <w:tcW w:w="1608" w:type="dxa"/>
            <w:noWrap w:val="0"/>
            <w:vAlign w:val="center"/>
          </w:tcPr>
          <w:p>
            <w:pPr>
              <w:pStyle w:val="38"/>
              <w:bidi w:val="0"/>
              <w:rPr>
                <w:rFonts w:hint="default"/>
                <w:color w:val="auto"/>
                <w:lang w:val="en-US" w:eastAsia="zh-CN"/>
              </w:rPr>
            </w:pPr>
            <w:r>
              <w:rPr>
                <w:rFonts w:hint="eastAsia"/>
                <w:color w:val="auto"/>
                <w:lang w:val="en-US" w:eastAsia="zh-CN"/>
              </w:rPr>
              <w:t>拟设置1个入口、3个出口</w:t>
            </w:r>
          </w:p>
        </w:tc>
        <w:tc>
          <w:tcPr>
            <w:tcW w:w="629" w:type="dxa"/>
            <w:noWrap w:val="0"/>
            <w:vAlign w:val="center"/>
          </w:tcPr>
          <w:p>
            <w:pPr>
              <w:pStyle w:val="38"/>
              <w:bidi w:val="0"/>
              <w:rPr>
                <w:rFonts w:hint="eastAsia"/>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11</w:t>
            </w:r>
          </w:p>
        </w:tc>
        <w:tc>
          <w:tcPr>
            <w:tcW w:w="4685" w:type="dxa"/>
            <w:noWrap w:val="0"/>
            <w:vAlign w:val="center"/>
          </w:tcPr>
          <w:p>
            <w:pPr>
              <w:pStyle w:val="38"/>
              <w:bidi w:val="0"/>
              <w:rPr>
                <w:rFonts w:hint="eastAsia"/>
                <w:color w:val="auto"/>
              </w:rPr>
            </w:pPr>
            <w:r>
              <w:rPr>
                <w:rFonts w:hint="eastAsia"/>
                <w:color w:val="auto"/>
              </w:rPr>
              <w:t>充电站内双列布置充电位时，中间行车道宜按行驶车型双车道设置；单列布置充电位时，行车道宜按行驶车型双车道设置。充电站内的单车道宽度不应小于3.5m，双车道宽度不应小于6m。充电站内道路的转弯半径应按行驶车型确定，且不宜小于9m，道路坡度不应大于6％，且宜坡向站外。充电站内道路不宜采用沥青路面。</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4.3.2</w:t>
            </w:r>
          </w:p>
        </w:tc>
        <w:tc>
          <w:tcPr>
            <w:tcW w:w="1608" w:type="dxa"/>
            <w:noWrap w:val="0"/>
            <w:vAlign w:val="center"/>
          </w:tcPr>
          <w:p>
            <w:pPr>
              <w:pStyle w:val="38"/>
              <w:bidi w:val="0"/>
              <w:rPr>
                <w:rFonts w:hint="default"/>
                <w:color w:val="auto"/>
                <w:lang w:val="en-US" w:eastAsia="zh-CN"/>
              </w:rPr>
            </w:pPr>
            <w:r>
              <w:rPr>
                <w:rFonts w:hint="eastAsia"/>
                <w:color w:val="auto"/>
                <w:lang w:val="en-US" w:eastAsia="zh-CN"/>
              </w:rPr>
              <w:t>站内拟设置单车道宽度不小于6m</w:t>
            </w:r>
          </w:p>
        </w:tc>
        <w:tc>
          <w:tcPr>
            <w:tcW w:w="629" w:type="dxa"/>
            <w:noWrap w:val="0"/>
            <w:vAlign w:val="center"/>
          </w:tcPr>
          <w:p>
            <w:pPr>
              <w:pStyle w:val="38"/>
              <w:bidi w:val="0"/>
              <w:rPr>
                <w:rFonts w:hint="eastAsia"/>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12</w:t>
            </w:r>
          </w:p>
        </w:tc>
        <w:tc>
          <w:tcPr>
            <w:tcW w:w="4685" w:type="dxa"/>
            <w:noWrap w:val="0"/>
            <w:vAlign w:val="center"/>
          </w:tcPr>
          <w:p>
            <w:pPr>
              <w:pStyle w:val="38"/>
              <w:bidi w:val="0"/>
              <w:rPr>
                <w:rFonts w:hint="eastAsia"/>
                <w:color w:val="auto"/>
              </w:rPr>
            </w:pPr>
            <w:r>
              <w:rPr>
                <w:rFonts w:hint="eastAsia"/>
                <w:color w:val="auto"/>
              </w:rPr>
              <w:t>充电站的道路设计宜采用城市型道路。</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4.3.3</w:t>
            </w:r>
          </w:p>
        </w:tc>
        <w:tc>
          <w:tcPr>
            <w:tcW w:w="1608" w:type="dxa"/>
            <w:noWrap w:val="0"/>
            <w:vAlign w:val="center"/>
          </w:tcPr>
          <w:p>
            <w:pPr>
              <w:pStyle w:val="38"/>
              <w:bidi w:val="0"/>
              <w:rPr>
                <w:rFonts w:hint="default"/>
                <w:color w:val="auto"/>
                <w:lang w:val="en-US" w:eastAsia="zh-CN"/>
              </w:rPr>
            </w:pPr>
            <w:r>
              <w:rPr>
                <w:rFonts w:hint="eastAsia"/>
                <w:color w:val="auto"/>
              </w:rPr>
              <w:t>采用城市型道路</w:t>
            </w:r>
          </w:p>
        </w:tc>
        <w:tc>
          <w:tcPr>
            <w:tcW w:w="629" w:type="dxa"/>
            <w:noWrap w:val="0"/>
            <w:vAlign w:val="center"/>
          </w:tcPr>
          <w:p>
            <w:pPr>
              <w:pStyle w:val="38"/>
              <w:bidi w:val="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13</w:t>
            </w:r>
          </w:p>
        </w:tc>
        <w:tc>
          <w:tcPr>
            <w:tcW w:w="4685" w:type="dxa"/>
            <w:noWrap w:val="0"/>
            <w:vAlign w:val="center"/>
          </w:tcPr>
          <w:p>
            <w:pPr>
              <w:pStyle w:val="38"/>
              <w:bidi w:val="0"/>
              <w:rPr>
                <w:rFonts w:hint="eastAsia"/>
                <w:color w:val="auto"/>
              </w:rPr>
            </w:pPr>
            <w:r>
              <w:rPr>
                <w:rFonts w:hint="eastAsia"/>
                <w:color w:val="auto"/>
              </w:rPr>
              <w:t>充电站的进出站道路应与站外市政道路顺畅衔接。</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4.3.4</w:t>
            </w:r>
          </w:p>
        </w:tc>
        <w:tc>
          <w:tcPr>
            <w:tcW w:w="1608" w:type="dxa"/>
            <w:noWrap w:val="0"/>
            <w:vAlign w:val="center"/>
          </w:tcPr>
          <w:p>
            <w:pPr>
              <w:pStyle w:val="38"/>
              <w:bidi w:val="0"/>
              <w:rPr>
                <w:rFonts w:hint="eastAsia"/>
                <w:color w:val="auto"/>
              </w:rPr>
            </w:pPr>
            <w:r>
              <w:rPr>
                <w:rFonts w:hint="eastAsia"/>
                <w:color w:val="auto"/>
              </w:rPr>
              <w:t>进出站道路与站外市政道路顺畅衔接</w:t>
            </w:r>
          </w:p>
        </w:tc>
        <w:tc>
          <w:tcPr>
            <w:tcW w:w="629" w:type="dxa"/>
            <w:noWrap w:val="0"/>
            <w:vAlign w:val="center"/>
          </w:tcPr>
          <w:p>
            <w:pPr>
              <w:pStyle w:val="38"/>
              <w:bidi w:val="0"/>
              <w:rPr>
                <w:rFonts w:hint="eastAsia"/>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14</w:t>
            </w:r>
          </w:p>
        </w:tc>
        <w:tc>
          <w:tcPr>
            <w:tcW w:w="4685" w:type="dxa"/>
            <w:noWrap w:val="0"/>
            <w:vAlign w:val="center"/>
          </w:tcPr>
          <w:p>
            <w:pPr>
              <w:pStyle w:val="38"/>
              <w:bidi w:val="0"/>
              <w:rPr>
                <w:rFonts w:hint="eastAsia"/>
                <w:color w:val="auto"/>
              </w:rPr>
            </w:pPr>
            <w:r>
              <w:rPr>
                <w:rFonts w:hint="eastAsia"/>
                <w:color w:val="auto"/>
              </w:rPr>
              <w:t>充电站内的建筑应按工业建筑标准设计，宜统一型式，做好建筑节能、节地、节水、节材工作。</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default"/>
                <w:color w:val="auto"/>
                <w:lang w:val="en-US" w:eastAsia="zh-CN"/>
              </w:rPr>
            </w:pPr>
            <w:r>
              <w:rPr>
                <w:rFonts w:hint="eastAsia"/>
                <w:color w:val="auto"/>
                <w:lang w:val="en-US" w:eastAsia="zh-CN"/>
              </w:rPr>
              <w:t>10.1.1</w:t>
            </w:r>
          </w:p>
        </w:tc>
        <w:tc>
          <w:tcPr>
            <w:tcW w:w="1608" w:type="dxa"/>
            <w:noWrap w:val="0"/>
            <w:vAlign w:val="center"/>
          </w:tcPr>
          <w:p>
            <w:pPr>
              <w:pStyle w:val="38"/>
              <w:bidi w:val="0"/>
              <w:rPr>
                <w:rFonts w:hint="default"/>
                <w:color w:val="auto"/>
                <w:lang w:val="en-US"/>
              </w:rPr>
            </w:pPr>
            <w:r>
              <w:rPr>
                <w:rFonts w:hint="eastAsia"/>
                <w:color w:val="auto"/>
                <w:lang w:val="en-US" w:eastAsia="zh-CN"/>
              </w:rPr>
              <w:t>按工业建筑标准设计</w:t>
            </w:r>
          </w:p>
        </w:tc>
        <w:tc>
          <w:tcPr>
            <w:tcW w:w="629" w:type="dxa"/>
            <w:noWrap w:val="0"/>
            <w:vAlign w:val="center"/>
          </w:tcPr>
          <w:p>
            <w:pPr>
              <w:pStyle w:val="38"/>
              <w:bidi w:val="0"/>
              <w:rPr>
                <w:rFonts w:hint="default"/>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15</w:t>
            </w:r>
          </w:p>
        </w:tc>
        <w:tc>
          <w:tcPr>
            <w:tcW w:w="4685" w:type="dxa"/>
            <w:noWrap w:val="0"/>
            <w:vAlign w:val="center"/>
          </w:tcPr>
          <w:p>
            <w:pPr>
              <w:pStyle w:val="38"/>
              <w:bidi w:val="0"/>
              <w:rPr>
                <w:rFonts w:hint="eastAsia"/>
                <w:color w:val="auto"/>
              </w:rPr>
            </w:pPr>
            <w:r>
              <w:rPr>
                <w:rFonts w:hint="eastAsia"/>
                <w:color w:val="auto"/>
              </w:rPr>
              <w:t> 建筑物宜单层布置，可由监控室、配电室等功能房间组成。</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10.1.2</w:t>
            </w:r>
          </w:p>
        </w:tc>
        <w:tc>
          <w:tcPr>
            <w:tcW w:w="1608" w:type="dxa"/>
            <w:noWrap w:val="0"/>
            <w:vAlign w:val="center"/>
          </w:tcPr>
          <w:p>
            <w:pPr>
              <w:pStyle w:val="38"/>
              <w:bidi w:val="0"/>
              <w:rPr>
                <w:rFonts w:hint="default"/>
                <w:color w:val="auto"/>
                <w:lang w:val="en-US" w:eastAsia="zh-CN"/>
              </w:rPr>
            </w:pPr>
            <w:r>
              <w:rPr>
                <w:rFonts w:hint="eastAsia"/>
                <w:color w:val="auto"/>
                <w:lang w:val="en-US" w:eastAsia="zh-CN"/>
              </w:rPr>
              <w:t>不涉及建筑物</w:t>
            </w:r>
          </w:p>
        </w:tc>
        <w:tc>
          <w:tcPr>
            <w:tcW w:w="629" w:type="dxa"/>
            <w:noWrap w:val="0"/>
            <w:vAlign w:val="center"/>
          </w:tcPr>
          <w:p>
            <w:pPr>
              <w:pStyle w:val="38"/>
              <w:bidi w:val="0"/>
              <w:rPr>
                <w:rFonts w:hint="eastAsia"/>
                <w:color w:val="auto"/>
              </w:rPr>
            </w:pPr>
            <w:r>
              <w:rPr>
                <w:rFonts w:hint="eastAsia"/>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16</w:t>
            </w:r>
          </w:p>
        </w:tc>
        <w:tc>
          <w:tcPr>
            <w:tcW w:w="4685" w:type="dxa"/>
            <w:noWrap w:val="0"/>
            <w:vAlign w:val="center"/>
          </w:tcPr>
          <w:p>
            <w:pPr>
              <w:pStyle w:val="38"/>
              <w:bidi w:val="0"/>
              <w:rPr>
                <w:rFonts w:hint="eastAsia"/>
                <w:color w:val="auto"/>
              </w:rPr>
            </w:pPr>
            <w:r>
              <w:rPr>
                <w:rFonts w:hint="eastAsia"/>
                <w:color w:val="auto"/>
              </w:rPr>
              <w:t> 充电站内建(构)筑物的耐火等级应符合现行国家标准《建筑设计防火规范》GB 50016的有关规定。当罩棚顶棚的承重构件为钢结构时，其耐火极限可为0.25h，顶棚其他部分不得采用可燃烧体建造。</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10.1.3</w:t>
            </w:r>
          </w:p>
        </w:tc>
        <w:tc>
          <w:tcPr>
            <w:tcW w:w="1608" w:type="dxa"/>
            <w:noWrap w:val="0"/>
            <w:vAlign w:val="center"/>
          </w:tcPr>
          <w:p>
            <w:pPr>
              <w:pStyle w:val="38"/>
              <w:bidi w:val="0"/>
              <w:rPr>
                <w:rFonts w:hint="default"/>
                <w:color w:val="auto"/>
                <w:lang w:val="en-US"/>
              </w:rPr>
            </w:pPr>
            <w:r>
              <w:rPr>
                <w:rFonts w:hint="eastAsia"/>
                <w:color w:val="auto"/>
                <w:lang w:val="en-US" w:eastAsia="zh-CN"/>
              </w:rPr>
              <w:t>箱变采用非可燃烧体建造</w:t>
            </w:r>
          </w:p>
        </w:tc>
        <w:tc>
          <w:tcPr>
            <w:tcW w:w="629" w:type="dxa"/>
            <w:noWrap w:val="0"/>
            <w:vAlign w:val="center"/>
          </w:tcPr>
          <w:p>
            <w:pPr>
              <w:pStyle w:val="38"/>
              <w:bidi w:val="0"/>
              <w:rPr>
                <w:rFonts w:hint="default"/>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17</w:t>
            </w:r>
          </w:p>
        </w:tc>
        <w:tc>
          <w:tcPr>
            <w:tcW w:w="4685" w:type="dxa"/>
            <w:noWrap w:val="0"/>
            <w:vAlign w:val="center"/>
          </w:tcPr>
          <w:p>
            <w:pPr>
              <w:pStyle w:val="38"/>
              <w:bidi w:val="0"/>
              <w:rPr>
                <w:rFonts w:hint="eastAsia"/>
                <w:color w:val="auto"/>
              </w:rPr>
            </w:pPr>
            <w:r>
              <w:rPr>
                <w:rFonts w:hint="eastAsia"/>
                <w:color w:val="auto"/>
              </w:rPr>
              <w:t>充电站的建筑物宜与周边环境相协调，体型宜规整，凹凸面不宜过多。</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10.1.4</w:t>
            </w:r>
          </w:p>
        </w:tc>
        <w:tc>
          <w:tcPr>
            <w:tcW w:w="1608" w:type="dxa"/>
            <w:noWrap w:val="0"/>
            <w:vAlign w:val="center"/>
          </w:tcPr>
          <w:p>
            <w:pPr>
              <w:pStyle w:val="38"/>
              <w:bidi w:val="0"/>
              <w:rPr>
                <w:rFonts w:hint="eastAsia"/>
                <w:color w:val="auto"/>
              </w:rPr>
            </w:pPr>
            <w:r>
              <w:rPr>
                <w:rFonts w:hint="eastAsia"/>
                <w:color w:val="auto"/>
              </w:rPr>
              <w:t>充电站的建筑物与周边环境相协调</w:t>
            </w:r>
          </w:p>
        </w:tc>
        <w:tc>
          <w:tcPr>
            <w:tcW w:w="629" w:type="dxa"/>
            <w:noWrap w:val="0"/>
            <w:vAlign w:val="center"/>
          </w:tcPr>
          <w:p>
            <w:pPr>
              <w:pStyle w:val="38"/>
              <w:bidi w:val="0"/>
              <w:rPr>
                <w:rFonts w:hint="eastAsia"/>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72" w:type="dxa"/>
            <w:noWrap w:val="0"/>
            <w:vAlign w:val="center"/>
          </w:tcPr>
          <w:p>
            <w:pPr>
              <w:pStyle w:val="38"/>
              <w:bidi w:val="0"/>
              <w:rPr>
                <w:rFonts w:hint="default"/>
                <w:color w:val="auto"/>
                <w:lang w:val="en-US" w:eastAsia="zh-CN"/>
              </w:rPr>
            </w:pPr>
            <w:r>
              <w:rPr>
                <w:rFonts w:hint="eastAsia"/>
                <w:color w:val="auto"/>
                <w:lang w:val="en-US" w:eastAsia="zh-CN"/>
              </w:rPr>
              <w:t>18</w:t>
            </w:r>
          </w:p>
        </w:tc>
        <w:tc>
          <w:tcPr>
            <w:tcW w:w="4685" w:type="dxa"/>
            <w:noWrap w:val="0"/>
            <w:vAlign w:val="center"/>
          </w:tcPr>
          <w:p>
            <w:pPr>
              <w:pStyle w:val="38"/>
              <w:bidi w:val="0"/>
              <w:rPr>
                <w:rFonts w:hint="eastAsia"/>
                <w:color w:val="auto"/>
              </w:rPr>
            </w:pPr>
            <w:r>
              <w:rPr>
                <w:rFonts w:hint="eastAsia"/>
                <w:color w:val="auto"/>
              </w:rPr>
              <w:t> 监控室的设计应符合下列规定：</w:t>
            </w:r>
            <w:r>
              <w:rPr>
                <w:rFonts w:hint="eastAsia"/>
                <w:color w:val="auto"/>
              </w:rPr>
              <w:br w:type="textWrapping"/>
            </w:r>
            <w:r>
              <w:rPr>
                <w:rFonts w:hint="eastAsia"/>
                <w:color w:val="auto"/>
              </w:rPr>
              <w:t>   1 监控室宜单独设置。当组成综合建筑物时，监控室宜设置在地上一层。</w:t>
            </w:r>
            <w:r>
              <w:rPr>
                <w:rFonts w:hint="eastAsia"/>
                <w:color w:val="auto"/>
              </w:rPr>
              <w:br w:type="textWrapping"/>
            </w:r>
            <w:r>
              <w:rPr>
                <w:rFonts w:hint="eastAsia"/>
                <w:color w:val="auto"/>
              </w:rPr>
              <w:t>   2 监控室地面宜采取防静电措施。</w:t>
            </w:r>
          </w:p>
        </w:tc>
        <w:tc>
          <w:tcPr>
            <w:tcW w:w="1807" w:type="dxa"/>
            <w:noWrap w:val="0"/>
            <w:vAlign w:val="center"/>
          </w:tcPr>
          <w:p>
            <w:pPr>
              <w:pStyle w:val="38"/>
              <w:bidi w:val="0"/>
              <w:rPr>
                <w:rFonts w:hint="eastAsia"/>
                <w:color w:val="auto"/>
                <w:lang w:val="en-US" w:eastAsia="zh-CN"/>
              </w:rPr>
            </w:pPr>
            <w:r>
              <w:rPr>
                <w:rFonts w:hint="eastAsia"/>
                <w:color w:val="auto"/>
                <w:lang w:eastAsia="zh-CN"/>
              </w:rPr>
              <w:t>《</w:t>
            </w:r>
            <w:r>
              <w:rPr>
                <w:rFonts w:hint="eastAsia"/>
                <w:color w:val="auto"/>
                <w:lang w:val="en-US" w:eastAsia="zh-CN"/>
              </w:rPr>
              <w:t>电动汽车充电站设计规范</w:t>
            </w:r>
            <w:r>
              <w:rPr>
                <w:rFonts w:hint="eastAsia"/>
                <w:color w:val="auto"/>
                <w:lang w:eastAsia="zh-CN"/>
              </w:rPr>
              <w:t>》</w:t>
            </w:r>
            <w:r>
              <w:rPr>
                <w:rFonts w:hint="eastAsia"/>
                <w:color w:val="auto"/>
                <w:lang w:val="en-US" w:eastAsia="zh-CN"/>
              </w:rPr>
              <w:t>GB50966-2014</w:t>
            </w:r>
          </w:p>
          <w:p>
            <w:pPr>
              <w:pStyle w:val="38"/>
              <w:bidi w:val="0"/>
              <w:rPr>
                <w:rFonts w:hint="eastAsia"/>
                <w:color w:val="auto"/>
                <w:lang w:val="en-US" w:eastAsia="zh-CN"/>
              </w:rPr>
            </w:pPr>
            <w:r>
              <w:rPr>
                <w:rFonts w:hint="eastAsia"/>
                <w:color w:val="auto"/>
                <w:lang w:val="en-US" w:eastAsia="zh-CN"/>
              </w:rPr>
              <w:t>10.1.5</w:t>
            </w:r>
          </w:p>
        </w:tc>
        <w:tc>
          <w:tcPr>
            <w:tcW w:w="1608" w:type="dxa"/>
            <w:noWrap w:val="0"/>
            <w:vAlign w:val="center"/>
          </w:tcPr>
          <w:p>
            <w:pPr>
              <w:pStyle w:val="38"/>
              <w:bidi w:val="0"/>
              <w:rPr>
                <w:rFonts w:hint="default"/>
                <w:color w:val="auto"/>
                <w:lang w:val="en-US"/>
              </w:rPr>
            </w:pPr>
            <w:r>
              <w:rPr>
                <w:rFonts w:hint="eastAsia"/>
                <w:color w:val="auto"/>
                <w:lang w:val="en-US" w:eastAsia="zh-CN"/>
              </w:rPr>
              <w:t>监控室设置在加油站站房</w:t>
            </w:r>
          </w:p>
        </w:tc>
        <w:tc>
          <w:tcPr>
            <w:tcW w:w="629" w:type="dxa"/>
            <w:noWrap w:val="0"/>
            <w:vAlign w:val="center"/>
          </w:tcPr>
          <w:p>
            <w:pPr>
              <w:pStyle w:val="38"/>
              <w:bidi w:val="0"/>
              <w:rPr>
                <w:rFonts w:hint="default"/>
                <w:color w:val="auto"/>
                <w:lang w:val="en-US" w:eastAsia="zh-CN"/>
              </w:rPr>
            </w:pPr>
            <w:r>
              <w:rPr>
                <w:rFonts w:hint="eastAsia"/>
                <w:color w:val="auto"/>
                <w:lang w:val="en-US" w:eastAsia="zh-CN"/>
              </w:rPr>
              <w:t>符合</w:t>
            </w:r>
          </w:p>
        </w:tc>
      </w:tr>
    </w:tbl>
    <w:p>
      <w:pPr>
        <w:bidi w:val="0"/>
        <w:rPr>
          <w:rFonts w:hint="eastAsia"/>
          <w:b/>
          <w:bCs/>
          <w:color w:val="auto"/>
          <w:lang w:val="en-US" w:eastAsia="zh-CN"/>
        </w:rPr>
      </w:pPr>
      <w:r>
        <w:rPr>
          <w:rFonts w:hint="eastAsia"/>
          <w:b/>
          <w:bCs/>
          <w:color w:val="auto"/>
          <w:lang w:val="en-US" w:eastAsia="zh-CN"/>
        </w:rPr>
        <w:t>评价小结：</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rPr>
      </w:pPr>
      <w:r>
        <w:rPr>
          <w:rFonts w:hint="eastAsia"/>
          <w:color w:val="auto"/>
          <w:sz w:val="28"/>
          <w:szCs w:val="28"/>
        </w:rPr>
        <w:t>本项目总平面布置</w:t>
      </w:r>
      <w:r>
        <w:rPr>
          <w:rFonts w:hint="eastAsia"/>
          <w:color w:val="auto"/>
          <w:sz w:val="28"/>
          <w:szCs w:val="28"/>
          <w:lang w:val="en-US" w:eastAsia="zh-CN"/>
        </w:rPr>
        <w:t>及建筑</w:t>
      </w:r>
      <w:r>
        <w:rPr>
          <w:color w:val="auto"/>
          <w:sz w:val="28"/>
          <w:szCs w:val="28"/>
          <w:lang w:val="zh-CN"/>
        </w:rPr>
        <w:t>满足</w:t>
      </w:r>
      <w:r>
        <w:rPr>
          <w:rFonts w:hint="eastAsia"/>
          <w:color w:val="auto"/>
          <w:sz w:val="28"/>
          <w:szCs w:val="28"/>
        </w:rPr>
        <w:t>《电动汽车充电站设计规范》GB</w:t>
      </w:r>
      <w:r>
        <w:rPr>
          <w:color w:val="auto"/>
          <w:sz w:val="28"/>
          <w:szCs w:val="28"/>
        </w:rPr>
        <w:t>50966-2014</w:t>
      </w:r>
      <w:r>
        <w:rPr>
          <w:rFonts w:hint="eastAsia"/>
          <w:color w:val="auto"/>
          <w:sz w:val="28"/>
          <w:szCs w:val="28"/>
          <w:lang w:eastAsia="zh-CN"/>
        </w:rPr>
        <w:t>、</w:t>
      </w:r>
      <w:r>
        <w:rPr>
          <w:rFonts w:hint="eastAsia"/>
          <w:color w:val="auto"/>
          <w:sz w:val="28"/>
          <w:szCs w:val="28"/>
          <w:lang w:val="en-US" w:eastAsia="zh-CN"/>
        </w:rPr>
        <w:t>《电动汽车充电站通用要求》GB/T29781-2013</w:t>
      </w:r>
      <w:r>
        <w:rPr>
          <w:color w:val="auto"/>
          <w:sz w:val="28"/>
        </w:rPr>
        <w:t>的要求</w:t>
      </w:r>
      <w:r>
        <w:rPr>
          <w:rFonts w:hint="eastAsia"/>
          <w:color w:val="auto"/>
          <w:sz w:val="28"/>
        </w:rPr>
        <w:t>。</w:t>
      </w:r>
    </w:p>
    <w:p>
      <w:pPr>
        <w:pStyle w:val="3"/>
        <w:bidi w:val="0"/>
        <w:rPr>
          <w:rFonts w:hint="default"/>
          <w:color w:val="auto"/>
          <w:lang w:val="en-US" w:eastAsia="zh-CN"/>
        </w:rPr>
      </w:pPr>
      <w:bookmarkStart w:id="112" w:name="_Toc6112"/>
      <w:r>
        <w:rPr>
          <w:rFonts w:hint="eastAsia"/>
          <w:color w:val="auto"/>
          <w:lang w:val="en-US" w:eastAsia="zh-CN"/>
        </w:rPr>
        <w:t>6.3建设项目与加油站相互间的影响</w:t>
      </w:r>
      <w:bookmarkEnd w:id="112"/>
    </w:p>
    <w:p>
      <w:pPr>
        <w:widowControl/>
        <w:spacing w:line="600" w:lineRule="exact"/>
        <w:ind w:firstLine="560" w:firstLineChars="200"/>
        <w:rPr>
          <w:color w:val="auto"/>
          <w:kern w:val="0"/>
          <w:sz w:val="28"/>
          <w:szCs w:val="28"/>
        </w:rPr>
      </w:pPr>
      <w:r>
        <w:rPr>
          <w:color w:val="auto"/>
          <w:kern w:val="0"/>
          <w:sz w:val="28"/>
          <w:szCs w:val="28"/>
        </w:rPr>
        <w:t>1</w:t>
      </w:r>
      <w:r>
        <w:rPr>
          <w:rFonts w:hint="eastAsia"/>
          <w:color w:val="auto"/>
          <w:kern w:val="0"/>
          <w:sz w:val="28"/>
          <w:szCs w:val="28"/>
        </w:rPr>
        <w:t>、</w:t>
      </w:r>
      <w:r>
        <w:rPr>
          <w:color w:val="auto"/>
          <w:kern w:val="0"/>
          <w:sz w:val="28"/>
          <w:szCs w:val="28"/>
        </w:rPr>
        <w:t>建设项目对</w:t>
      </w:r>
      <w:r>
        <w:rPr>
          <w:rFonts w:hint="eastAsia"/>
          <w:color w:val="auto"/>
          <w:kern w:val="0"/>
          <w:sz w:val="28"/>
          <w:szCs w:val="28"/>
          <w:lang w:val="en-US" w:eastAsia="zh-CN"/>
        </w:rPr>
        <w:t>原有</w:t>
      </w:r>
      <w:r>
        <w:rPr>
          <w:color w:val="auto"/>
          <w:sz w:val="28"/>
          <w:szCs w:val="28"/>
        </w:rPr>
        <w:t>加油站</w:t>
      </w:r>
      <w:r>
        <w:rPr>
          <w:color w:val="auto"/>
          <w:kern w:val="0"/>
          <w:sz w:val="28"/>
          <w:szCs w:val="28"/>
        </w:rPr>
        <w:t>的影响</w:t>
      </w:r>
    </w:p>
    <w:p>
      <w:pPr>
        <w:widowControl/>
        <w:spacing w:line="600" w:lineRule="exact"/>
        <w:ind w:firstLine="560" w:firstLineChars="200"/>
        <w:rPr>
          <w:color w:val="auto"/>
          <w:kern w:val="0"/>
          <w:sz w:val="28"/>
          <w:szCs w:val="28"/>
        </w:rPr>
      </w:pPr>
      <w:r>
        <w:rPr>
          <w:color w:val="auto"/>
          <w:kern w:val="0"/>
          <w:sz w:val="28"/>
          <w:szCs w:val="28"/>
        </w:rPr>
        <w:t>该项目布置在</w:t>
      </w:r>
      <w:r>
        <w:rPr>
          <w:rFonts w:hint="eastAsia"/>
          <w:color w:val="auto"/>
          <w:kern w:val="0"/>
          <w:sz w:val="28"/>
          <w:szCs w:val="28"/>
          <w:lang w:val="en-US" w:eastAsia="zh-CN"/>
        </w:rPr>
        <w:t>中石化江西上饶石油分公司胜利</w:t>
      </w:r>
      <w:r>
        <w:rPr>
          <w:rFonts w:hint="eastAsia"/>
          <w:color w:val="auto"/>
          <w:kern w:val="0"/>
          <w:sz w:val="28"/>
          <w:szCs w:val="28"/>
        </w:rPr>
        <w:t>加油站</w:t>
      </w:r>
      <w:r>
        <w:rPr>
          <w:rFonts w:hint="eastAsia"/>
          <w:color w:val="auto"/>
          <w:kern w:val="0"/>
          <w:sz w:val="28"/>
          <w:szCs w:val="28"/>
          <w:lang w:val="en-US" w:eastAsia="zh-CN"/>
        </w:rPr>
        <w:t>站区预留区域</w:t>
      </w:r>
      <w:r>
        <w:rPr>
          <w:color w:val="auto"/>
          <w:kern w:val="0"/>
          <w:sz w:val="28"/>
          <w:szCs w:val="28"/>
        </w:rPr>
        <w:t>，靠近原有</w:t>
      </w:r>
      <w:r>
        <w:rPr>
          <w:color w:val="auto"/>
          <w:sz w:val="28"/>
          <w:szCs w:val="28"/>
        </w:rPr>
        <w:t>加油站</w:t>
      </w:r>
      <w:r>
        <w:rPr>
          <w:rFonts w:hint="eastAsia"/>
          <w:color w:val="auto"/>
          <w:sz w:val="28"/>
          <w:szCs w:val="28"/>
        </w:rPr>
        <w:t>设施</w:t>
      </w:r>
      <w:r>
        <w:rPr>
          <w:color w:val="auto"/>
          <w:kern w:val="0"/>
          <w:sz w:val="28"/>
          <w:szCs w:val="28"/>
        </w:rPr>
        <w:t>，如果该项目装置发生火灾事故，则会对该项目经营活动造成人员伤害或财产损失。</w:t>
      </w:r>
    </w:p>
    <w:p>
      <w:pPr>
        <w:widowControl/>
        <w:spacing w:line="600" w:lineRule="exact"/>
        <w:ind w:firstLine="560" w:firstLineChars="200"/>
        <w:rPr>
          <w:color w:val="auto"/>
          <w:kern w:val="0"/>
          <w:sz w:val="28"/>
          <w:szCs w:val="28"/>
        </w:rPr>
      </w:pPr>
      <w:r>
        <w:rPr>
          <w:color w:val="auto"/>
          <w:kern w:val="0"/>
          <w:sz w:val="28"/>
          <w:szCs w:val="28"/>
        </w:rPr>
        <w:t>2</w:t>
      </w:r>
      <w:r>
        <w:rPr>
          <w:rFonts w:hint="eastAsia"/>
          <w:color w:val="auto"/>
          <w:kern w:val="0"/>
          <w:sz w:val="28"/>
          <w:szCs w:val="28"/>
        </w:rPr>
        <w:t>、</w:t>
      </w:r>
      <w:r>
        <w:rPr>
          <w:color w:val="auto"/>
          <w:kern w:val="0"/>
          <w:sz w:val="28"/>
          <w:szCs w:val="28"/>
        </w:rPr>
        <w:t>原有</w:t>
      </w:r>
      <w:r>
        <w:rPr>
          <w:color w:val="auto"/>
          <w:sz w:val="28"/>
          <w:szCs w:val="28"/>
        </w:rPr>
        <w:t>加油站</w:t>
      </w:r>
      <w:r>
        <w:rPr>
          <w:color w:val="auto"/>
          <w:kern w:val="0"/>
          <w:sz w:val="28"/>
          <w:szCs w:val="28"/>
        </w:rPr>
        <w:t>对该项目的影响</w:t>
      </w:r>
    </w:p>
    <w:p>
      <w:pPr>
        <w:widowControl/>
        <w:spacing w:line="600" w:lineRule="exact"/>
        <w:ind w:firstLine="560" w:firstLineChars="200"/>
        <w:rPr>
          <w:color w:val="auto"/>
          <w:kern w:val="0"/>
          <w:sz w:val="28"/>
          <w:szCs w:val="28"/>
        </w:rPr>
      </w:pPr>
      <w:r>
        <w:rPr>
          <w:color w:val="auto"/>
          <w:kern w:val="0"/>
          <w:sz w:val="28"/>
          <w:szCs w:val="28"/>
        </w:rPr>
        <w:t>该项目布置在</w:t>
      </w:r>
      <w:r>
        <w:rPr>
          <w:rFonts w:hint="eastAsia"/>
          <w:color w:val="auto"/>
          <w:kern w:val="0"/>
          <w:sz w:val="28"/>
          <w:szCs w:val="28"/>
          <w:lang w:val="en-US" w:eastAsia="zh-CN"/>
        </w:rPr>
        <w:t>中国石化销售股份有限公司江西上饶市广信石油分公司第五</w:t>
      </w:r>
      <w:r>
        <w:rPr>
          <w:rFonts w:hint="eastAsia"/>
          <w:color w:val="auto"/>
          <w:kern w:val="0"/>
          <w:sz w:val="28"/>
          <w:szCs w:val="28"/>
        </w:rPr>
        <w:t>加油站</w:t>
      </w:r>
      <w:r>
        <w:rPr>
          <w:rFonts w:hint="eastAsia"/>
          <w:color w:val="auto"/>
          <w:kern w:val="0"/>
          <w:sz w:val="28"/>
          <w:szCs w:val="28"/>
          <w:lang w:val="en-US" w:eastAsia="zh-CN"/>
        </w:rPr>
        <w:t>站区预留区域</w:t>
      </w:r>
      <w:r>
        <w:rPr>
          <w:color w:val="auto"/>
          <w:kern w:val="0"/>
          <w:sz w:val="28"/>
          <w:szCs w:val="28"/>
        </w:rPr>
        <w:t>，靠近原有</w:t>
      </w:r>
      <w:r>
        <w:rPr>
          <w:color w:val="auto"/>
          <w:sz w:val="28"/>
          <w:szCs w:val="28"/>
        </w:rPr>
        <w:t>加油站</w:t>
      </w:r>
      <w:r>
        <w:rPr>
          <w:rFonts w:hint="eastAsia"/>
          <w:color w:val="auto"/>
          <w:sz w:val="28"/>
          <w:szCs w:val="28"/>
        </w:rPr>
        <w:t>设施</w:t>
      </w:r>
      <w:r>
        <w:rPr>
          <w:color w:val="auto"/>
          <w:kern w:val="0"/>
          <w:sz w:val="28"/>
          <w:szCs w:val="28"/>
        </w:rPr>
        <w:t>，如果</w:t>
      </w:r>
      <w:r>
        <w:rPr>
          <w:rFonts w:hint="eastAsia"/>
          <w:color w:val="auto"/>
          <w:kern w:val="0"/>
          <w:sz w:val="28"/>
          <w:szCs w:val="28"/>
          <w:lang w:val="en-US" w:eastAsia="zh-CN"/>
        </w:rPr>
        <w:t>中石化上饶市广信石油分公司第五</w:t>
      </w:r>
      <w:r>
        <w:rPr>
          <w:rFonts w:hint="eastAsia"/>
          <w:color w:val="auto"/>
          <w:kern w:val="0"/>
          <w:sz w:val="28"/>
          <w:szCs w:val="28"/>
        </w:rPr>
        <w:t>加油站</w:t>
      </w:r>
      <w:r>
        <w:rPr>
          <w:color w:val="auto"/>
          <w:kern w:val="0"/>
          <w:sz w:val="28"/>
          <w:szCs w:val="28"/>
        </w:rPr>
        <w:t>生产</w:t>
      </w:r>
      <w:r>
        <w:rPr>
          <w:rFonts w:hint="eastAsia"/>
          <w:color w:val="auto"/>
          <w:kern w:val="0"/>
          <w:sz w:val="28"/>
          <w:szCs w:val="28"/>
        </w:rPr>
        <w:t>储存</w:t>
      </w:r>
      <w:r>
        <w:rPr>
          <w:color w:val="auto"/>
          <w:kern w:val="0"/>
          <w:sz w:val="28"/>
          <w:szCs w:val="28"/>
        </w:rPr>
        <w:t>装置发生火灾、爆炸事故，则会对该项目经营活动造成人员伤害或财产损失。</w:t>
      </w:r>
    </w:p>
    <w:p>
      <w:pPr>
        <w:spacing w:line="600" w:lineRule="exact"/>
        <w:ind w:firstLine="560" w:firstLineChars="200"/>
        <w:rPr>
          <w:color w:val="auto"/>
          <w:sz w:val="28"/>
          <w:szCs w:val="28"/>
        </w:rPr>
      </w:pPr>
      <w:r>
        <w:rPr>
          <w:color w:val="auto"/>
          <w:sz w:val="28"/>
          <w:szCs w:val="28"/>
        </w:rPr>
        <w:t>该项目与</w:t>
      </w:r>
      <w:r>
        <w:rPr>
          <w:rFonts w:hint="eastAsia"/>
          <w:color w:val="auto"/>
          <w:kern w:val="0"/>
          <w:sz w:val="28"/>
          <w:szCs w:val="28"/>
          <w:lang w:val="en-US" w:eastAsia="zh-CN"/>
        </w:rPr>
        <w:t>中国石化销售股份有限公司江西上饶市广信石油分公司第五</w:t>
      </w:r>
      <w:r>
        <w:rPr>
          <w:rFonts w:hint="eastAsia"/>
          <w:color w:val="auto"/>
          <w:kern w:val="0"/>
          <w:sz w:val="28"/>
          <w:szCs w:val="28"/>
        </w:rPr>
        <w:t>加油站</w:t>
      </w:r>
      <w:r>
        <w:rPr>
          <w:rFonts w:hint="eastAsia"/>
          <w:color w:val="auto"/>
          <w:sz w:val="28"/>
          <w:szCs w:val="28"/>
        </w:rPr>
        <w:t>设施之间的</w:t>
      </w:r>
      <w:r>
        <w:rPr>
          <w:color w:val="auto"/>
          <w:sz w:val="28"/>
          <w:szCs w:val="28"/>
        </w:rPr>
        <w:t>安全距离满足</w:t>
      </w:r>
      <w:r>
        <w:rPr>
          <w:rFonts w:hint="eastAsia"/>
          <w:color w:val="auto"/>
          <w:sz w:val="28"/>
          <w:szCs w:val="28"/>
        </w:rPr>
        <w:t>规范</w:t>
      </w:r>
      <w:r>
        <w:rPr>
          <w:color w:val="auto"/>
          <w:sz w:val="28"/>
          <w:szCs w:val="28"/>
        </w:rPr>
        <w:t>要求，该项目</w:t>
      </w:r>
      <w:r>
        <w:rPr>
          <w:rFonts w:hint="eastAsia"/>
          <w:color w:val="auto"/>
          <w:sz w:val="28"/>
          <w:szCs w:val="28"/>
          <w:lang w:val="en-US" w:eastAsia="zh-CN"/>
        </w:rPr>
        <w:t>依托</w:t>
      </w:r>
      <w:r>
        <w:rPr>
          <w:color w:val="auto"/>
          <w:sz w:val="28"/>
          <w:szCs w:val="28"/>
        </w:rPr>
        <w:t>加油站</w:t>
      </w:r>
      <w:r>
        <w:rPr>
          <w:rFonts w:hint="eastAsia"/>
          <w:color w:val="auto"/>
          <w:sz w:val="28"/>
          <w:szCs w:val="28"/>
          <w:lang w:val="en-US" w:eastAsia="zh-CN"/>
        </w:rPr>
        <w:t>现有组织架构进行</w:t>
      </w:r>
      <w:r>
        <w:rPr>
          <w:color w:val="auto"/>
          <w:sz w:val="28"/>
          <w:szCs w:val="28"/>
        </w:rPr>
        <w:t>管理，该</w:t>
      </w:r>
      <w:r>
        <w:rPr>
          <w:rFonts w:hint="eastAsia"/>
          <w:color w:val="auto"/>
          <w:sz w:val="28"/>
          <w:szCs w:val="28"/>
          <w:lang w:val="en-US" w:eastAsia="zh-CN"/>
        </w:rPr>
        <w:t>加油站应</w:t>
      </w:r>
      <w:r>
        <w:rPr>
          <w:color w:val="auto"/>
          <w:sz w:val="28"/>
          <w:szCs w:val="28"/>
        </w:rPr>
        <w:t>建立</w:t>
      </w:r>
      <w:r>
        <w:rPr>
          <w:rFonts w:hint="eastAsia"/>
          <w:color w:val="auto"/>
          <w:sz w:val="28"/>
          <w:szCs w:val="28"/>
          <w:lang w:val="en-US" w:eastAsia="zh-CN"/>
        </w:rPr>
        <w:t>综合应急处置</w:t>
      </w:r>
      <w:r>
        <w:rPr>
          <w:color w:val="auto"/>
          <w:sz w:val="28"/>
          <w:szCs w:val="28"/>
        </w:rPr>
        <w:t>机制</w:t>
      </w:r>
      <w:r>
        <w:rPr>
          <w:rFonts w:hint="eastAsia"/>
          <w:color w:val="auto"/>
          <w:sz w:val="28"/>
          <w:szCs w:val="28"/>
          <w:lang w:eastAsia="zh-CN"/>
        </w:rPr>
        <w:t>，</w:t>
      </w:r>
      <w:r>
        <w:rPr>
          <w:rFonts w:hint="eastAsia"/>
          <w:color w:val="auto"/>
          <w:sz w:val="28"/>
          <w:szCs w:val="28"/>
          <w:lang w:val="en-US" w:eastAsia="zh-CN"/>
        </w:rPr>
        <w:t>编制电动汽车充电服务网络应急预案，加强应急预案培训和演练，促使岗位运行人员熟悉和掌握；</w:t>
      </w:r>
      <w:r>
        <w:rPr>
          <w:color w:val="auto"/>
          <w:sz w:val="28"/>
          <w:szCs w:val="28"/>
        </w:rPr>
        <w:t>加强对气体监测报警、应急器材等装置的维护，保养和检测，确保装置保持良好工作状态。</w:t>
      </w:r>
    </w:p>
    <w:p>
      <w:pPr>
        <w:bidi w:val="0"/>
        <w:rPr>
          <w:rFonts w:hint="eastAsia"/>
          <w:color w:val="auto"/>
          <w:lang w:val="en-US" w:eastAsia="zh-CN"/>
        </w:rPr>
      </w:pPr>
    </w:p>
    <w:bookmarkEnd w:id="110"/>
    <w:p>
      <w:pPr>
        <w:rPr>
          <w:rFonts w:hint="eastAsia"/>
          <w:color w:val="auto"/>
          <w:lang w:eastAsia="zh-CN"/>
        </w:rPr>
      </w:pPr>
      <w:bookmarkStart w:id="113" w:name="_Toc27691"/>
      <w:bookmarkStart w:id="114" w:name="_Toc31997"/>
      <w:bookmarkStart w:id="115" w:name="_Toc10892"/>
      <w:bookmarkStart w:id="116" w:name="_Toc8053"/>
      <w:bookmarkStart w:id="117" w:name="_Toc350517391"/>
      <w:r>
        <w:rPr>
          <w:rFonts w:hint="eastAsia"/>
          <w:color w:val="auto"/>
          <w:lang w:eastAsia="zh-CN"/>
        </w:rPr>
        <w:br w:type="page"/>
      </w:r>
    </w:p>
    <w:p>
      <w:pPr>
        <w:pStyle w:val="2"/>
        <w:bidi w:val="0"/>
        <w:rPr>
          <w:rFonts w:hint="eastAsia"/>
          <w:color w:val="auto"/>
          <w:lang w:eastAsia="zh-CN"/>
        </w:rPr>
      </w:pPr>
      <w:r>
        <w:rPr>
          <w:rFonts w:hint="eastAsia"/>
          <w:color w:val="auto"/>
          <w:lang w:eastAsia="zh-CN"/>
        </w:rPr>
        <w:t xml:space="preserve">7 </w:t>
      </w:r>
      <w:r>
        <w:rPr>
          <w:color w:val="auto"/>
          <w:lang w:eastAsia="zh-CN"/>
        </w:rPr>
        <w:t>安全对策措施</w:t>
      </w:r>
      <w:r>
        <w:rPr>
          <w:rFonts w:hint="eastAsia"/>
          <w:color w:val="auto"/>
          <w:lang w:eastAsia="zh-CN"/>
        </w:rPr>
        <w:t>建议</w:t>
      </w:r>
      <w:bookmarkEnd w:id="113"/>
      <w:bookmarkEnd w:id="114"/>
      <w:bookmarkEnd w:id="115"/>
    </w:p>
    <w:p>
      <w:pPr>
        <w:pStyle w:val="3"/>
        <w:bidi w:val="0"/>
        <w:rPr>
          <w:color w:val="auto"/>
        </w:rPr>
      </w:pPr>
      <w:bookmarkStart w:id="118" w:name="_Toc8477"/>
      <w:bookmarkStart w:id="119" w:name="_Toc21662"/>
      <w:r>
        <w:rPr>
          <w:rFonts w:hint="eastAsia"/>
          <w:color w:val="auto"/>
        </w:rPr>
        <w:t>7.</w:t>
      </w:r>
      <w:r>
        <w:rPr>
          <w:color w:val="auto"/>
        </w:rPr>
        <w:t>1总平面布置</w:t>
      </w:r>
      <w:r>
        <w:rPr>
          <w:rFonts w:hint="eastAsia"/>
          <w:color w:val="auto"/>
        </w:rPr>
        <w:t>及建（构）筑物</w:t>
      </w:r>
      <w:r>
        <w:rPr>
          <w:color w:val="auto"/>
        </w:rPr>
        <w:t>安全对策措施建议</w:t>
      </w:r>
      <w:bookmarkEnd w:id="118"/>
      <w:bookmarkEnd w:id="119"/>
    </w:p>
    <w:p>
      <w:pPr>
        <w:bidi w:val="0"/>
        <w:rPr>
          <w:rFonts w:hint="eastAsia"/>
          <w:color w:val="auto"/>
        </w:rPr>
      </w:pPr>
      <w:bookmarkStart w:id="120" w:name="_Toc25148"/>
      <w:bookmarkStart w:id="121" w:name="_Toc6939"/>
      <w:r>
        <w:rPr>
          <w:rFonts w:hint="eastAsia"/>
          <w:color w:val="auto"/>
          <w:lang w:val="en-US" w:eastAsia="zh-CN"/>
        </w:rPr>
        <w:t>1</w:t>
      </w:r>
      <w:r>
        <w:rPr>
          <w:rFonts w:hint="eastAsia"/>
          <w:color w:val="auto"/>
        </w:rPr>
        <w:t>、充电站包括站内外行车道、充电区及供配电设施等。站区总布置应满足总体规划要求，并应符合站内工艺布置合理、功能分区明确、交通便利和节约用地的原则。</w:t>
      </w:r>
    </w:p>
    <w:p>
      <w:pPr>
        <w:bidi w:val="0"/>
        <w:rPr>
          <w:rFonts w:hint="eastAsia"/>
          <w:color w:val="auto"/>
        </w:rPr>
      </w:pPr>
      <w:r>
        <w:rPr>
          <w:rFonts w:hint="eastAsia"/>
          <w:color w:val="auto"/>
          <w:lang w:val="en-US" w:eastAsia="zh-CN"/>
        </w:rPr>
        <w:t>2</w:t>
      </w:r>
      <w:r>
        <w:rPr>
          <w:rFonts w:hint="eastAsia"/>
          <w:color w:val="auto"/>
        </w:rPr>
        <w:t>、总平面布置宜按最终规模进行规划设计。</w:t>
      </w:r>
    </w:p>
    <w:p>
      <w:pPr>
        <w:bidi w:val="0"/>
        <w:rPr>
          <w:color w:val="auto"/>
        </w:rPr>
      </w:pPr>
      <w:r>
        <w:rPr>
          <w:rFonts w:hint="eastAsia"/>
          <w:color w:val="auto"/>
          <w:lang w:val="en-US" w:eastAsia="zh-CN"/>
        </w:rPr>
        <w:t>3</w:t>
      </w:r>
      <w:r>
        <w:rPr>
          <w:rFonts w:hint="eastAsia"/>
          <w:color w:val="auto"/>
        </w:rPr>
        <w:t>、充电站的道路设计宜采用城市型道路。</w:t>
      </w:r>
    </w:p>
    <w:p>
      <w:pPr>
        <w:bidi w:val="0"/>
        <w:rPr>
          <w:rFonts w:hint="eastAsia"/>
          <w:color w:val="auto"/>
        </w:rPr>
      </w:pPr>
      <w:r>
        <w:rPr>
          <w:rFonts w:hint="eastAsia"/>
          <w:color w:val="auto"/>
          <w:lang w:val="en-US" w:eastAsia="zh-CN"/>
        </w:rPr>
        <w:t>4</w:t>
      </w:r>
      <w:r>
        <w:rPr>
          <w:rFonts w:hint="eastAsia"/>
          <w:color w:val="auto"/>
        </w:rPr>
        <w:t>、充电站内的建筑应按工业建筑标准设计，宜统一型式，做好建筑节能、节地、节水、节材工作。</w:t>
      </w:r>
    </w:p>
    <w:p>
      <w:pPr>
        <w:bidi w:val="0"/>
        <w:rPr>
          <w:color w:val="auto"/>
        </w:rPr>
      </w:pPr>
      <w:r>
        <w:rPr>
          <w:rFonts w:hint="eastAsia"/>
          <w:color w:val="auto"/>
          <w:lang w:val="en-US" w:eastAsia="zh-CN"/>
        </w:rPr>
        <w:t>5、</w:t>
      </w:r>
      <w:r>
        <w:rPr>
          <w:color w:val="auto"/>
        </w:rPr>
        <w:t>总图布置严格执行国家有关防火安全规范，并且考虑风向的影响。</w:t>
      </w:r>
    </w:p>
    <w:p>
      <w:pPr>
        <w:bidi w:val="0"/>
        <w:rPr>
          <w:rFonts w:hint="eastAsia"/>
          <w:color w:val="auto"/>
          <w:lang w:val="en-US" w:eastAsia="zh-CN"/>
        </w:rPr>
      </w:pPr>
      <w:r>
        <w:rPr>
          <w:rFonts w:hint="eastAsia"/>
          <w:color w:val="auto"/>
          <w:lang w:val="en-US" w:eastAsia="zh-CN"/>
        </w:rPr>
        <w:t> 6、户外安装的充电设备的基础应高于所在地坪200mm及以上。</w:t>
      </w:r>
    </w:p>
    <w:p>
      <w:pPr>
        <w:bidi w:val="0"/>
        <w:rPr>
          <w:rFonts w:hint="eastAsia"/>
          <w:color w:val="auto"/>
          <w:lang w:val="en-US" w:eastAsia="zh-CN"/>
        </w:rPr>
      </w:pPr>
      <w:r>
        <w:rPr>
          <w:rFonts w:hint="eastAsia"/>
          <w:color w:val="auto"/>
          <w:lang w:val="en-US" w:eastAsia="zh-CN"/>
        </w:rPr>
        <w:t>7、户外安装的直流充电桩和交流充电桩的防护等级不应低于IP54。</w:t>
      </w:r>
    </w:p>
    <w:p>
      <w:pPr>
        <w:bidi w:val="0"/>
        <w:rPr>
          <w:rFonts w:hint="eastAsia"/>
          <w:color w:val="auto"/>
          <w:lang w:val="en-US" w:eastAsia="zh-CN"/>
        </w:rPr>
      </w:pPr>
      <w:r>
        <w:rPr>
          <w:rFonts w:hint="eastAsia"/>
          <w:color w:val="auto"/>
          <w:lang w:val="en-US" w:eastAsia="zh-CN"/>
        </w:rPr>
        <w:t>8、直流充电桩或交流充电桩与站内汽车通道或充电车位相邻一侧应设置车挡或防撞（柱）栏，防撞（柱）栏的高度不应小于0.5m。</w:t>
      </w:r>
    </w:p>
    <w:p>
      <w:pPr>
        <w:bidi w:val="0"/>
        <w:rPr>
          <w:rFonts w:hint="eastAsia"/>
          <w:color w:val="auto"/>
        </w:rPr>
      </w:pPr>
      <w:r>
        <w:rPr>
          <w:rFonts w:hint="eastAsia"/>
          <w:color w:val="auto"/>
          <w:lang w:val="en-US" w:eastAsia="zh-CN"/>
        </w:rPr>
        <w:t>9、</w:t>
      </w:r>
      <w:r>
        <w:rPr>
          <w:rFonts w:hint="eastAsia"/>
          <w:color w:val="auto"/>
        </w:rPr>
        <w:t>监控室的设计应符合下列规定：</w:t>
      </w:r>
      <w:r>
        <w:rPr>
          <w:rFonts w:hint="eastAsia"/>
          <w:color w:val="auto"/>
        </w:rPr>
        <w:br w:type="textWrapping"/>
      </w:r>
      <w:r>
        <w:rPr>
          <w:rFonts w:hint="eastAsia"/>
          <w:color w:val="auto"/>
        </w:rPr>
        <w:t xml:space="preserve">  </w:t>
      </w:r>
      <w:r>
        <w:rPr>
          <w:rFonts w:hint="eastAsia"/>
          <w:color w:val="auto"/>
          <w:lang w:val="en-US" w:eastAsia="zh-CN"/>
        </w:rPr>
        <w:t xml:space="preserve"> （1）</w:t>
      </w:r>
      <w:r>
        <w:rPr>
          <w:rFonts w:hint="eastAsia"/>
          <w:color w:val="auto"/>
        </w:rPr>
        <w:t>监控室宜单独设置。当组成综合建筑物时，监控室宜设置在地上一层。</w:t>
      </w:r>
      <w:r>
        <w:rPr>
          <w:rFonts w:hint="eastAsia"/>
          <w:color w:val="auto"/>
        </w:rPr>
        <w:br w:type="textWrapping"/>
      </w:r>
      <w:r>
        <w:rPr>
          <w:rFonts w:hint="eastAsia"/>
          <w:color w:val="auto"/>
        </w:rPr>
        <w:t xml:space="preserve">  </w:t>
      </w:r>
      <w:r>
        <w:rPr>
          <w:rFonts w:hint="eastAsia"/>
          <w:color w:val="auto"/>
          <w:lang w:val="en-US" w:eastAsia="zh-CN"/>
        </w:rPr>
        <w:t xml:space="preserve"> （2）</w:t>
      </w:r>
      <w:r>
        <w:rPr>
          <w:rFonts w:hint="eastAsia"/>
          <w:color w:val="auto"/>
        </w:rPr>
        <w:t>监控室地面宜采取防静电措施。</w:t>
      </w:r>
    </w:p>
    <w:p>
      <w:pPr>
        <w:bidi w:val="0"/>
        <w:rPr>
          <w:rFonts w:hint="eastAsia"/>
          <w:color w:val="auto"/>
          <w:lang w:val="en-US" w:eastAsia="zh-CN"/>
        </w:rPr>
      </w:pPr>
      <w:r>
        <w:rPr>
          <w:rFonts w:hint="eastAsia"/>
          <w:color w:val="auto"/>
          <w:lang w:val="en-US" w:eastAsia="zh-CN"/>
        </w:rPr>
        <w:t>10、充电站生活给水和排水的设计应符合现行国家标准《建筑给水排水设计规范》GB 50015的有关规定。</w:t>
      </w:r>
    </w:p>
    <w:p>
      <w:pPr>
        <w:bidi w:val="0"/>
        <w:rPr>
          <w:rFonts w:hint="eastAsia"/>
          <w:color w:val="auto"/>
          <w:lang w:val="en-US" w:eastAsia="zh-CN"/>
        </w:rPr>
      </w:pPr>
      <w:r>
        <w:rPr>
          <w:rFonts w:hint="eastAsia"/>
          <w:color w:val="auto"/>
          <w:lang w:val="en-US" w:eastAsia="zh-CN"/>
        </w:rPr>
        <w:t>11、站区雨水可通过截水沟或雨水口收集后排入市政雨水系统。雨水排水系统宜采用有组织排水方式。当不具备集中排水条件时，站内地面雨水可散流排出站外。</w:t>
      </w:r>
    </w:p>
    <w:p>
      <w:pPr>
        <w:bidi w:val="0"/>
        <w:rPr>
          <w:rFonts w:hint="eastAsia"/>
          <w:color w:val="auto"/>
          <w:lang w:val="en-US" w:eastAsia="zh-CN"/>
        </w:rPr>
      </w:pPr>
      <w:r>
        <w:rPr>
          <w:rFonts w:hint="eastAsia"/>
          <w:color w:val="auto"/>
          <w:lang w:val="en-US" w:eastAsia="zh-CN"/>
        </w:rPr>
        <w:t> 12、充电站的采暖、通风与空气调节设计应符合现行国家标准《采暖通风与空气调节设计规范》GB 50019的有关规定。</w:t>
      </w:r>
    </w:p>
    <w:p>
      <w:pPr>
        <w:bidi w:val="0"/>
        <w:rPr>
          <w:rFonts w:hint="eastAsia"/>
          <w:color w:val="auto"/>
          <w:lang w:val="en-US" w:eastAsia="zh-CN"/>
        </w:rPr>
      </w:pPr>
      <w:r>
        <w:rPr>
          <w:rFonts w:hint="eastAsia"/>
          <w:color w:val="auto"/>
          <w:lang w:val="en-US" w:eastAsia="zh-CN"/>
        </w:rPr>
        <w:t>13、建筑物的房间宜采用自然通风方式，有特殊通风要求的房间可采用机械通风。</w:t>
      </w:r>
    </w:p>
    <w:p>
      <w:pPr>
        <w:bidi w:val="0"/>
        <w:rPr>
          <w:rFonts w:hint="eastAsia"/>
          <w:color w:val="auto"/>
          <w:lang w:val="en-US" w:eastAsia="zh-CN"/>
        </w:rPr>
      </w:pPr>
      <w:r>
        <w:rPr>
          <w:rFonts w:hint="eastAsia"/>
          <w:color w:val="auto"/>
          <w:lang w:val="en-US" w:eastAsia="zh-CN"/>
        </w:rPr>
        <w:t>14、空调房间宜采用分体式空调机，空调设备应符合环保和国家能效等级标准的规定。</w:t>
      </w:r>
    </w:p>
    <w:p>
      <w:pPr>
        <w:bidi w:val="0"/>
        <w:rPr>
          <w:rFonts w:hint="eastAsia"/>
          <w:color w:val="auto"/>
          <w:lang w:val="en-US" w:eastAsia="zh-CN"/>
        </w:rPr>
      </w:pPr>
      <w:r>
        <w:rPr>
          <w:rFonts w:hint="eastAsia"/>
          <w:color w:val="auto"/>
          <w:lang w:val="en-US" w:eastAsia="zh-CN"/>
        </w:rPr>
        <w:t>15、充电站的防雷接地、防静电接地、电气设备的工作接地、保护接地及信息系统的接地宜共用接地装置，接地电阻不应大于4Ω。</w:t>
      </w:r>
    </w:p>
    <w:p>
      <w:pPr>
        <w:bidi w:val="0"/>
        <w:rPr>
          <w:rFonts w:hint="default"/>
          <w:color w:val="auto"/>
          <w:lang w:val="en-US" w:eastAsia="zh-CN"/>
        </w:rPr>
      </w:pPr>
      <w:r>
        <w:rPr>
          <w:rFonts w:hint="eastAsia"/>
          <w:color w:val="auto"/>
          <w:lang w:val="en-US" w:eastAsia="zh-CN"/>
        </w:rPr>
        <w:t>16、</w:t>
      </w:r>
      <w:r>
        <w:rPr>
          <w:rFonts w:hint="default"/>
          <w:color w:val="auto"/>
          <w:lang w:val="en-US" w:eastAsia="zh-CN"/>
        </w:rPr>
        <w:t>充电站工作场所工作面上的照度标准值不应低于</w:t>
      </w:r>
      <w:r>
        <w:rPr>
          <w:rFonts w:hint="eastAsia"/>
          <w:color w:val="auto"/>
          <w:lang w:val="en-US" w:eastAsia="zh-CN"/>
        </w:rPr>
        <w:t>GB50966-2014</w:t>
      </w:r>
      <w:r>
        <w:rPr>
          <w:rFonts w:hint="default"/>
          <w:color w:val="auto"/>
          <w:lang w:val="en-US" w:eastAsia="zh-CN"/>
        </w:rPr>
        <w:t>表10.4.3规定的数值。</w:t>
      </w:r>
    </w:p>
    <w:p>
      <w:pPr>
        <w:bidi w:val="0"/>
        <w:rPr>
          <w:rFonts w:hint="eastAsia"/>
          <w:color w:val="auto"/>
          <w:lang w:val="en-US" w:eastAsia="zh-CN"/>
        </w:rPr>
      </w:pPr>
      <w:r>
        <w:rPr>
          <w:rFonts w:hint="eastAsia"/>
          <w:color w:val="auto"/>
          <w:lang w:val="en-US" w:eastAsia="zh-CN"/>
        </w:rPr>
        <w:t>17、充电站内的照明灯具应选用配光合理、效率高、寿命长的节能灯具。室内开启式灯具的效率不应低于75％，带格栅灯具的效率不应低于60％。</w:t>
      </w:r>
    </w:p>
    <w:p>
      <w:pPr>
        <w:bidi w:val="0"/>
        <w:rPr>
          <w:rFonts w:hint="default"/>
          <w:color w:val="auto"/>
          <w:lang w:val="en-US" w:eastAsia="zh-CN"/>
        </w:rPr>
      </w:pPr>
      <w:r>
        <w:rPr>
          <w:rFonts w:hint="eastAsia"/>
          <w:color w:val="auto"/>
          <w:lang w:val="en-US" w:eastAsia="zh-CN"/>
        </w:rPr>
        <w:t>18、室内照明宜采用荧光灯。室外照明宜选用金属卤化物灯或高压钠灯。</w:t>
      </w:r>
    </w:p>
    <w:p>
      <w:pPr>
        <w:bidi w:val="0"/>
        <w:rPr>
          <w:rFonts w:hint="eastAsia"/>
          <w:color w:val="auto"/>
          <w:lang w:val="en-US" w:eastAsia="zh-CN"/>
        </w:rPr>
      </w:pPr>
      <w:r>
        <w:rPr>
          <w:rFonts w:hint="eastAsia"/>
          <w:color w:val="auto"/>
          <w:lang w:val="en-US" w:eastAsia="zh-CN"/>
        </w:rPr>
        <w:t>19、室内外照明器的安装位置应便于维修。照明器与带电导体或带电设备间应有足够的安全距离，对工作时有可能损坏灯罩的场所，应采用有保护罩的照明器，金属保护罩应与保护地线可靠连接。</w:t>
      </w:r>
    </w:p>
    <w:p>
      <w:pPr>
        <w:bidi w:val="0"/>
        <w:rPr>
          <w:rFonts w:hint="eastAsia"/>
          <w:color w:val="auto"/>
          <w:lang w:val="en-US" w:eastAsia="zh-CN"/>
        </w:rPr>
      </w:pPr>
      <w:r>
        <w:rPr>
          <w:rFonts w:hint="eastAsia"/>
          <w:color w:val="auto"/>
          <w:lang w:val="en-US" w:eastAsia="zh-CN"/>
        </w:rPr>
        <w:t>20、监控室、配电室宜装设事故应急照明装置。疏散通道应设置疏散照明装置，疏散通道及出入口应设置疏散指示标志灯。</w:t>
      </w:r>
    </w:p>
    <w:p>
      <w:pPr>
        <w:bidi w:val="0"/>
        <w:rPr>
          <w:rFonts w:hint="eastAsia"/>
          <w:color w:val="auto"/>
          <w:lang w:val="en-US" w:eastAsia="zh-CN"/>
        </w:rPr>
      </w:pPr>
      <w:r>
        <w:rPr>
          <w:rFonts w:hint="eastAsia"/>
          <w:color w:val="auto"/>
          <w:lang w:val="en-US" w:eastAsia="zh-CN"/>
        </w:rPr>
        <w:t>21</w:t>
      </w:r>
      <w:r>
        <w:rPr>
          <w:color w:val="auto"/>
        </w:rPr>
        <w:t>、</w:t>
      </w:r>
      <w:r>
        <w:rPr>
          <w:rFonts w:hint="eastAsia"/>
          <w:color w:val="auto"/>
          <w:lang w:val="en-US" w:eastAsia="zh-CN"/>
        </w:rPr>
        <w:t>充电站内建(构)筑物的耐火等级应符合现行国家标准《建筑设计防火规范》GB 50016的有关规定。</w:t>
      </w:r>
    </w:p>
    <w:p>
      <w:pPr>
        <w:bidi w:val="0"/>
        <w:rPr>
          <w:rFonts w:hint="default" w:eastAsia="宋体"/>
          <w:color w:val="auto"/>
          <w:lang w:val="en-US" w:eastAsia="zh-CN"/>
        </w:rPr>
      </w:pPr>
      <w:r>
        <w:rPr>
          <w:rFonts w:hint="eastAsia"/>
          <w:color w:val="auto"/>
          <w:lang w:val="en-US" w:eastAsia="zh-CN"/>
        </w:rPr>
        <w:t>22、充电区宜考虑安装防雨顶棚。充电站的防雨顶棚、安装在平台上的充电机以及暴露在外的部件应能承受GB/T4797.5-2008中表9规定的不同地区、不同高度处相对风速的侵袭。</w:t>
      </w:r>
    </w:p>
    <w:p>
      <w:pPr>
        <w:pStyle w:val="3"/>
        <w:bidi w:val="0"/>
        <w:rPr>
          <w:color w:val="auto"/>
        </w:rPr>
      </w:pPr>
      <w:bookmarkStart w:id="122" w:name="_Toc2980"/>
      <w:bookmarkStart w:id="123" w:name="_Toc12976"/>
      <w:r>
        <w:rPr>
          <w:rFonts w:hint="eastAsia"/>
          <w:color w:val="auto"/>
        </w:rPr>
        <w:t>7.2</w:t>
      </w:r>
      <w:r>
        <w:rPr>
          <w:color w:val="auto"/>
        </w:rPr>
        <w:t>工艺及设</w:t>
      </w:r>
      <w:r>
        <w:rPr>
          <w:rFonts w:hint="eastAsia"/>
          <w:color w:val="auto"/>
        </w:rPr>
        <w:t>备</w:t>
      </w:r>
      <w:r>
        <w:rPr>
          <w:color w:val="auto"/>
        </w:rPr>
        <w:t>安全对策措施建议</w:t>
      </w:r>
      <w:bookmarkEnd w:id="120"/>
      <w:bookmarkEnd w:id="121"/>
      <w:bookmarkEnd w:id="122"/>
      <w:bookmarkEnd w:id="123"/>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rPr>
      </w:pPr>
      <w:bookmarkStart w:id="124" w:name="_Toc17285"/>
      <w:bookmarkStart w:id="125" w:name="_Toc31477"/>
      <w:r>
        <w:rPr>
          <w:rFonts w:hint="eastAsia"/>
          <w:color w:val="auto"/>
          <w:sz w:val="28"/>
          <w:szCs w:val="28"/>
          <w:shd w:val="clear" w:color="auto" w:fill="FFFFFF"/>
          <w:lang w:val="en-US" w:eastAsia="zh-CN"/>
        </w:rPr>
        <w:t>1、</w:t>
      </w:r>
      <w:r>
        <w:rPr>
          <w:rFonts w:hint="eastAsia"/>
          <w:color w:val="auto"/>
          <w:sz w:val="28"/>
          <w:szCs w:val="28"/>
          <w:shd w:val="clear" w:color="auto" w:fill="FFFFFF"/>
        </w:rPr>
        <w:t>供配电装置的布置应符合现行国家标准《20kV及以下变电所设计规范》GB 50053的有关规定，遵循安全、可靠、适用的原则，便于安装、操作、搬运、检修和调试。</w:t>
      </w:r>
    </w:p>
    <w:p>
      <w:pPr>
        <w:keepNext w:val="0"/>
        <w:keepLines w:val="0"/>
        <w:pageBreakBefore w:val="0"/>
        <w:widowControl w:val="0"/>
        <w:kinsoku/>
        <w:wordWrap/>
        <w:overflowPunct/>
        <w:topLinePunct w:val="0"/>
        <w:autoSpaceDE/>
        <w:autoSpaceDN/>
        <w:bidi w:val="0"/>
        <w:adjustRightInd/>
        <w:snapToGrid/>
        <w:spacing w:line="600" w:lineRule="exact"/>
        <w:ind w:left="372" w:leftChars="133" w:firstLine="280" w:firstLineChars="100"/>
        <w:textAlignment w:val="auto"/>
        <w:rPr>
          <w:rFonts w:hint="eastAsia"/>
          <w:color w:val="auto"/>
          <w:sz w:val="28"/>
          <w:szCs w:val="28"/>
          <w:shd w:val="clear" w:color="auto" w:fill="FFFFFF"/>
        </w:rPr>
      </w:pPr>
      <w:r>
        <w:rPr>
          <w:rFonts w:hint="eastAsia"/>
          <w:color w:val="auto"/>
          <w:sz w:val="28"/>
          <w:szCs w:val="28"/>
          <w:shd w:val="clear" w:color="auto" w:fill="FFFFFF"/>
          <w:lang w:val="en-US" w:eastAsia="zh-CN"/>
        </w:rPr>
        <w:t>2、</w:t>
      </w:r>
      <w:r>
        <w:rPr>
          <w:rFonts w:hint="eastAsia"/>
          <w:color w:val="auto"/>
          <w:sz w:val="28"/>
          <w:szCs w:val="28"/>
          <w:shd w:val="clear" w:color="auto" w:fill="FFFFFF"/>
        </w:rPr>
        <w:t>配电系统应符合下列要求：</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rPr>
      </w:pPr>
      <w:r>
        <w:rPr>
          <w:rFonts w:hint="eastAsia"/>
          <w:color w:val="auto"/>
          <w:sz w:val="28"/>
          <w:szCs w:val="28"/>
          <w:shd w:val="clear" w:color="auto" w:fill="FFFFFF"/>
          <w:lang w:eastAsia="zh-CN"/>
        </w:rPr>
        <w:t>（</w:t>
      </w:r>
      <w:r>
        <w:rPr>
          <w:rFonts w:hint="eastAsia"/>
          <w:color w:val="auto"/>
          <w:sz w:val="28"/>
          <w:szCs w:val="28"/>
          <w:shd w:val="clear" w:color="auto" w:fill="FFFFFF"/>
          <w:lang w:val="en-US" w:eastAsia="zh-CN"/>
        </w:rPr>
        <w:t>1</w:t>
      </w:r>
      <w:r>
        <w:rPr>
          <w:rFonts w:hint="eastAsia"/>
          <w:color w:val="auto"/>
          <w:sz w:val="28"/>
          <w:szCs w:val="28"/>
          <w:shd w:val="clear" w:color="auto" w:fill="FFFFFF"/>
          <w:lang w:eastAsia="zh-CN"/>
        </w:rPr>
        <w:t>）</w:t>
      </w:r>
      <w:r>
        <w:rPr>
          <w:rFonts w:hint="eastAsia"/>
          <w:color w:val="auto"/>
          <w:sz w:val="28"/>
          <w:szCs w:val="28"/>
          <w:shd w:val="clear" w:color="auto" w:fill="FFFFFF"/>
        </w:rPr>
        <w:t>中低压配电系统宜采用单母线或单母线分段接线，低压接地系统宜采用TN-S系统。</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rPr>
      </w:pPr>
      <w:r>
        <w:rPr>
          <w:rFonts w:hint="eastAsia"/>
          <w:color w:val="auto"/>
          <w:sz w:val="28"/>
          <w:szCs w:val="28"/>
          <w:shd w:val="clear" w:color="auto" w:fill="FFFFFF"/>
          <w:lang w:eastAsia="zh-CN"/>
        </w:rPr>
        <w:t>（</w:t>
      </w:r>
      <w:r>
        <w:rPr>
          <w:rFonts w:hint="eastAsia"/>
          <w:color w:val="auto"/>
          <w:sz w:val="28"/>
          <w:szCs w:val="28"/>
          <w:shd w:val="clear" w:color="auto" w:fill="FFFFFF"/>
          <w:lang w:val="en-US" w:eastAsia="zh-CN"/>
        </w:rPr>
        <w:t>2</w:t>
      </w:r>
      <w:r>
        <w:rPr>
          <w:rFonts w:hint="eastAsia"/>
          <w:color w:val="auto"/>
          <w:sz w:val="28"/>
          <w:szCs w:val="28"/>
          <w:shd w:val="clear" w:color="auto" w:fill="FFFFFF"/>
          <w:lang w:eastAsia="zh-CN"/>
        </w:rPr>
        <w:t>）</w:t>
      </w:r>
      <w:r>
        <w:rPr>
          <w:rFonts w:hint="eastAsia"/>
          <w:color w:val="auto"/>
          <w:sz w:val="28"/>
          <w:szCs w:val="28"/>
          <w:shd w:val="clear" w:color="auto" w:fill="FFFFFF"/>
        </w:rPr>
        <w:t>低压进出线开关、分段开关宜采用断路器。来自不同电源的低压进线断路器和低压分段断路器之间应设机械闭锁和电气联锁装置，防止不同电源并联运行。</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rPr>
      </w:pPr>
      <w:r>
        <w:rPr>
          <w:rFonts w:hint="eastAsia"/>
          <w:color w:val="auto"/>
          <w:sz w:val="28"/>
          <w:szCs w:val="28"/>
          <w:shd w:val="clear" w:color="auto" w:fill="FFFFFF"/>
          <w:lang w:eastAsia="zh-CN"/>
        </w:rPr>
        <w:t>（</w:t>
      </w:r>
      <w:r>
        <w:rPr>
          <w:rFonts w:hint="eastAsia"/>
          <w:color w:val="auto"/>
          <w:sz w:val="28"/>
          <w:szCs w:val="28"/>
          <w:shd w:val="clear" w:color="auto" w:fill="FFFFFF"/>
          <w:lang w:val="en-US" w:eastAsia="zh-CN"/>
        </w:rPr>
        <w:t>3</w:t>
      </w:r>
      <w:r>
        <w:rPr>
          <w:rFonts w:hint="eastAsia"/>
          <w:color w:val="auto"/>
          <w:sz w:val="28"/>
          <w:szCs w:val="28"/>
          <w:shd w:val="clear" w:color="auto" w:fill="FFFFFF"/>
          <w:lang w:eastAsia="zh-CN"/>
        </w:rPr>
        <w:t>）</w:t>
      </w:r>
      <w:r>
        <w:rPr>
          <w:rFonts w:hint="eastAsia"/>
          <w:color w:val="auto"/>
          <w:sz w:val="28"/>
          <w:szCs w:val="28"/>
          <w:shd w:val="clear" w:color="auto" w:fill="FFFFFF"/>
        </w:rPr>
        <w:t>低压进线断路器宜具有短路瞬时、短路短延时、短路长延时和接地保护功能，宜设置分励脱扣装置，不宜设置失压脱扣装置或低压脱扣装置。</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lang w:eastAsia="zh-CN"/>
        </w:rPr>
      </w:pPr>
      <w:r>
        <w:rPr>
          <w:rFonts w:hint="eastAsia"/>
          <w:color w:val="auto"/>
          <w:sz w:val="28"/>
          <w:szCs w:val="28"/>
          <w:shd w:val="clear" w:color="auto" w:fill="FFFFFF"/>
          <w:lang w:eastAsia="zh-CN"/>
        </w:rPr>
        <w:t>（</w:t>
      </w:r>
      <w:r>
        <w:rPr>
          <w:rFonts w:hint="eastAsia"/>
          <w:color w:val="auto"/>
          <w:sz w:val="28"/>
          <w:szCs w:val="28"/>
          <w:shd w:val="clear" w:color="auto" w:fill="FFFFFF"/>
          <w:lang w:val="en-US" w:eastAsia="zh-CN"/>
        </w:rPr>
        <w:t>4</w:t>
      </w:r>
      <w:r>
        <w:rPr>
          <w:rFonts w:hint="eastAsia"/>
          <w:color w:val="auto"/>
          <w:sz w:val="28"/>
          <w:szCs w:val="28"/>
          <w:shd w:val="clear" w:color="auto" w:fill="FFFFFF"/>
          <w:lang w:eastAsia="zh-CN"/>
        </w:rPr>
        <w:t>）</w:t>
      </w:r>
      <w:r>
        <w:rPr>
          <w:rFonts w:hint="eastAsia"/>
          <w:color w:val="auto"/>
          <w:sz w:val="28"/>
          <w:szCs w:val="28"/>
          <w:shd w:val="clear" w:color="auto" w:fill="FFFFFF"/>
        </w:rPr>
        <w:t>非车载充电机、监控装置以及重要的用电设备宜采用放射式供电。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lang w:eastAsia="zh-CN"/>
        </w:rPr>
      </w:pPr>
      <w:r>
        <w:rPr>
          <w:rFonts w:hint="eastAsia"/>
          <w:color w:val="auto"/>
          <w:sz w:val="28"/>
          <w:szCs w:val="28"/>
          <w:shd w:val="clear" w:color="auto" w:fill="FFFFFF"/>
          <w:lang w:val="en-US" w:eastAsia="zh-CN"/>
        </w:rPr>
        <w:t>3、</w:t>
      </w:r>
      <w:r>
        <w:rPr>
          <w:rFonts w:hint="eastAsia"/>
          <w:color w:val="auto"/>
          <w:sz w:val="28"/>
          <w:szCs w:val="28"/>
          <w:shd w:val="clear" w:color="auto" w:fill="FFFFFF"/>
        </w:rPr>
        <w:t>开关柜宜选用小型化、无油化、免维修或少维护的产品。</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4、充电机应具备自动充电控制功能，可具备手动充电控制功能。充电机采用手动充电控制时，应具有明显的操作提示信息，仅限于专业人员在特殊情况下对充电机设备进行调试或维护时使用。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lang w:val="en-US" w:eastAsia="zh-CN"/>
        </w:rPr>
      </w:pPr>
      <w:r>
        <w:rPr>
          <w:rStyle w:val="33"/>
          <w:rFonts w:hint="eastAsia" w:ascii="宋体" w:hAnsi="宋体"/>
          <w:b w:val="0"/>
          <w:bCs w:val="0"/>
          <w:color w:val="auto"/>
          <w:sz w:val="28"/>
          <w:szCs w:val="28"/>
          <w:shd w:val="clear" w:color="auto" w:fill="FFFFFF"/>
          <w:lang w:val="en-US" w:eastAsia="zh-CN"/>
        </w:rPr>
        <w:t>5</w:t>
      </w:r>
      <w:r>
        <w:rPr>
          <w:rStyle w:val="33"/>
          <w:rFonts w:hint="eastAsia" w:ascii="宋体" w:hAnsi="宋体"/>
          <w:b w:val="0"/>
          <w:bCs w:val="0"/>
          <w:color w:val="auto"/>
          <w:sz w:val="28"/>
          <w:szCs w:val="28"/>
          <w:shd w:val="clear" w:color="auto" w:fill="FFFFFF"/>
          <w:lang w:eastAsia="zh-CN"/>
        </w:rPr>
        <w:t>、</w:t>
      </w:r>
      <w:r>
        <w:rPr>
          <w:rFonts w:hint="eastAsia"/>
          <w:color w:val="auto"/>
          <w:sz w:val="28"/>
          <w:szCs w:val="28"/>
          <w:shd w:val="clear" w:color="auto" w:fill="FFFFFF"/>
          <w:lang w:val="en-US" w:eastAsia="zh-CN"/>
        </w:rPr>
        <w:t>充电机应具有与电动汽车BMS或车辆控制器通信的功能，判断充电机是否与电动汽车动力蓄电池系统正确连接；获得电动汽车BMS或车辆控制器充电参数和充电实时数据。充电机与BMS或车辆控制器之间的通信协议应符合GB/T27930的规定。</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充电机宜具有与上级监控系统或运营管理系统通信的功能。</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充电机应具备对直流输出回路进行绝缘监测的功能，并且充电机的绝缘检测功能应与车辆绝缘检测功能相配合。充电机的绝缘检测功能应符合GB/T18487.1-2015中B.4.1和B.4.2的规定。充电机在进行绝缘检测前应检测直流输出接触器（K1、K2）的外侧电压，当此电压超过±10V时应停止绝缘检测流程并发出告警信息。</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充电机应具备对直流</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出回路进行短路检测的功能，充电机的短路检</w:t>
      </w:r>
      <w:r>
        <w:rPr>
          <w:rFonts w:hint="eastAsia"/>
          <w:color w:val="auto"/>
          <w:sz w:val="28"/>
          <w:szCs w:val="28"/>
          <w:shd w:val="clear" w:color="auto" w:fill="FFFFFF"/>
          <w:lang w:val="en-US" w:eastAsia="zh-CN"/>
        </w:rPr>
        <w:t>测</w:t>
      </w:r>
      <w:r>
        <w:rPr>
          <w:rFonts w:hint="default"/>
          <w:color w:val="auto"/>
          <w:sz w:val="28"/>
          <w:szCs w:val="28"/>
          <w:shd w:val="clear" w:color="auto" w:fill="FFFFFF"/>
          <w:lang w:val="en-US" w:eastAsia="zh-CN"/>
        </w:rPr>
        <w:t>在绝缘检</w:t>
      </w:r>
      <w:r>
        <w:rPr>
          <w:rFonts w:hint="eastAsia"/>
          <w:color w:val="auto"/>
          <w:sz w:val="28"/>
          <w:szCs w:val="28"/>
          <w:shd w:val="clear" w:color="auto" w:fill="FFFFFF"/>
          <w:lang w:val="en-US" w:eastAsia="zh-CN"/>
        </w:rPr>
        <w:t>测</w:t>
      </w:r>
      <w:r>
        <w:rPr>
          <w:rFonts w:hint="default"/>
          <w:color w:val="auto"/>
          <w:sz w:val="28"/>
          <w:szCs w:val="28"/>
          <w:shd w:val="clear" w:color="auto" w:fill="FFFFFF"/>
          <w:lang w:val="en-US" w:eastAsia="zh-CN"/>
        </w:rPr>
        <w:t>阶段进行，当</w:t>
      </w:r>
      <w:r>
        <w:rPr>
          <w:rFonts w:hint="eastAsia"/>
          <w:color w:val="auto"/>
          <w:sz w:val="28"/>
          <w:szCs w:val="28"/>
          <w:shd w:val="clear" w:color="auto" w:fill="FFFFFF"/>
          <w:lang w:val="en-US" w:eastAsia="zh-CN"/>
        </w:rPr>
        <w:t>直</w:t>
      </w:r>
      <w:r>
        <w:rPr>
          <w:rFonts w:hint="default"/>
          <w:color w:val="auto"/>
          <w:sz w:val="28"/>
          <w:szCs w:val="28"/>
          <w:shd w:val="clear" w:color="auto" w:fill="FFFFFF"/>
          <w:lang w:val="en-US" w:eastAsia="zh-CN"/>
        </w:rPr>
        <w:t>流输出回路出现短路故障时</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应停止充电过程并发出告警信息</w:t>
      </w:r>
      <w:r>
        <w:rPr>
          <w:rFonts w:hint="eastAsia"/>
          <w:color w:val="auto"/>
          <w:sz w:val="28"/>
          <w:szCs w:val="28"/>
          <w:shd w:val="clear" w:color="auto"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 xml:space="preserve">充电机车辆插头应具看犊止装置，其功能应符合：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a） GHT 18487.1—2015 中 9.6 的要求</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b） GB/T 20234.1—2015 中 6J 的要求</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c</w:t>
      </w:r>
      <w:r>
        <w:rPr>
          <w:rFonts w:hint="default"/>
          <w:color w:val="auto"/>
          <w:sz w:val="28"/>
          <w:szCs w:val="28"/>
          <w:shd w:val="clear" w:color="auto" w:fill="FFFFFF"/>
          <w:lang w:val="en-US" w:eastAsia="zh-CN"/>
        </w:rPr>
        <w:t>） GB/T 20234.3—2015 中附录 A 的要求</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在出现下列情况时，</w:t>
      </w:r>
      <w:r>
        <w:rPr>
          <w:rFonts w:hint="eastAsia"/>
          <w:color w:val="auto"/>
          <w:sz w:val="28"/>
          <w:szCs w:val="28"/>
          <w:shd w:val="clear" w:color="auto" w:fill="FFFFFF"/>
          <w:lang w:val="en-US" w:eastAsia="zh-CN"/>
        </w:rPr>
        <w:t>锁</w:t>
      </w:r>
      <w:r>
        <w:rPr>
          <w:rFonts w:hint="default"/>
          <w:color w:val="auto"/>
          <w:sz w:val="28"/>
          <w:szCs w:val="28"/>
          <w:shd w:val="clear" w:color="auto" w:fill="FFFFFF"/>
          <w:lang w:val="en-US" w:eastAsia="zh-CN"/>
        </w:rPr>
        <w:t>止装置应能解</w:t>
      </w:r>
      <w:r>
        <w:rPr>
          <w:rFonts w:hint="eastAsia"/>
          <w:color w:val="auto"/>
          <w:sz w:val="28"/>
          <w:szCs w:val="28"/>
          <w:shd w:val="clear" w:color="auto" w:fill="FFFFFF"/>
          <w:lang w:val="en-US" w:eastAsia="zh-CN"/>
        </w:rPr>
        <w:t>锁</w:t>
      </w:r>
      <w:r>
        <w:rPr>
          <w:rFonts w:hint="default"/>
          <w:color w:val="auto"/>
          <w:sz w:val="28"/>
          <w:szCs w:val="28"/>
          <w:shd w:val="clear" w:color="auto" w:fill="FFFFFF"/>
          <w:lang w:val="en-US" w:eastAsia="zh-CN"/>
        </w:rPr>
        <w:t>且解</w:t>
      </w:r>
      <w:r>
        <w:rPr>
          <w:rFonts w:hint="eastAsia"/>
          <w:color w:val="auto"/>
          <w:sz w:val="28"/>
          <w:szCs w:val="28"/>
          <w:shd w:val="clear" w:color="auto" w:fill="FFFFFF"/>
          <w:lang w:val="en-US" w:eastAsia="zh-CN"/>
        </w:rPr>
        <w:t>锁</w:t>
      </w:r>
      <w:r>
        <w:rPr>
          <w:rFonts w:hint="default"/>
          <w:color w:val="auto"/>
          <w:sz w:val="28"/>
          <w:szCs w:val="28"/>
          <w:shd w:val="clear" w:color="auto" w:fill="FFFFFF"/>
          <w:lang w:val="en-US" w:eastAsia="zh-CN"/>
        </w:rPr>
        <w:t>前车辆插头</w:t>
      </w:r>
      <w:r>
        <w:rPr>
          <w:rFonts w:hint="eastAsia"/>
          <w:color w:val="auto"/>
          <w:sz w:val="28"/>
          <w:szCs w:val="28"/>
          <w:shd w:val="clear" w:color="auto" w:fill="FFFFFF"/>
          <w:lang w:val="en-US" w:eastAsia="zh-CN"/>
        </w:rPr>
        <w:t>端</w:t>
      </w:r>
      <w:r>
        <w:rPr>
          <w:rFonts w:hint="default"/>
          <w:color w:val="auto"/>
          <w:sz w:val="28"/>
          <w:szCs w:val="28"/>
          <w:shd w:val="clear" w:color="auto" w:fill="FFFFFF"/>
          <w:lang w:val="en-US" w:eastAsia="zh-CN"/>
        </w:rPr>
        <w:t xml:space="preserve">口电压不应超过60V：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a） 故障不能继续充电</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b） 充电完成</w:t>
      </w:r>
      <w:r>
        <w:rPr>
          <w:rFonts w:hint="eastAsia"/>
          <w:color w:val="auto"/>
          <w:sz w:val="28"/>
          <w:szCs w:val="28"/>
          <w:shd w:val="clear" w:color="auto"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充电机</w:t>
      </w:r>
      <w:r>
        <w:rPr>
          <w:rFonts w:hint="eastAsia"/>
          <w:color w:val="auto"/>
          <w:sz w:val="28"/>
          <w:szCs w:val="28"/>
          <w:shd w:val="clear" w:color="auto" w:fill="FFFFFF"/>
          <w:lang w:val="en-US" w:eastAsia="zh-CN"/>
        </w:rPr>
        <w:t>应具备预</w:t>
      </w:r>
      <w:r>
        <w:rPr>
          <w:rFonts w:hint="default"/>
          <w:color w:val="auto"/>
          <w:sz w:val="28"/>
          <w:szCs w:val="28"/>
          <w:shd w:val="clear" w:color="auto" w:fill="FFFFFF"/>
          <w:lang w:val="en-US" w:eastAsia="zh-CN"/>
        </w:rPr>
        <w:t>充电功能</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启动充电阶段，电动汽车闭合车</w:t>
      </w:r>
      <w:r>
        <w:rPr>
          <w:rFonts w:hint="eastAsia"/>
          <w:color w:val="auto"/>
          <w:sz w:val="28"/>
          <w:szCs w:val="28"/>
          <w:shd w:val="clear" w:color="auto" w:fill="FFFFFF"/>
          <w:lang w:val="en-US" w:eastAsia="zh-CN"/>
        </w:rPr>
        <w:t>辆侧</w:t>
      </w:r>
      <w:r>
        <w:rPr>
          <w:rFonts w:hint="default"/>
          <w:color w:val="auto"/>
          <w:sz w:val="28"/>
          <w:szCs w:val="28"/>
          <w:shd w:val="clear" w:color="auto" w:fill="FFFFFF"/>
          <w:lang w:val="en-US" w:eastAsia="zh-CN"/>
        </w:rPr>
        <w:t>直流接触器后，充电机应检测电</w:t>
      </w:r>
      <w:r>
        <w:rPr>
          <w:rFonts w:hint="eastAsia"/>
          <w:color w:val="auto"/>
          <w:sz w:val="28"/>
          <w:szCs w:val="28"/>
          <w:shd w:val="clear" w:color="auto" w:fill="FFFFFF"/>
          <w:lang w:val="en-US" w:eastAsia="zh-CN"/>
        </w:rPr>
        <w:t>池</w:t>
      </w:r>
      <w:r>
        <w:rPr>
          <w:rFonts w:hint="default"/>
          <w:color w:val="auto"/>
          <w:sz w:val="28"/>
          <w:szCs w:val="28"/>
          <w:shd w:val="clear" w:color="auto" w:fill="FFFFFF"/>
          <w:lang w:val="en-US" w:eastAsia="zh-CN"/>
        </w:rPr>
        <w:t>电压并判断此电</w:t>
      </w:r>
      <w:r>
        <w:rPr>
          <w:rFonts w:hint="eastAsia"/>
          <w:color w:val="auto"/>
          <w:sz w:val="28"/>
          <w:szCs w:val="28"/>
          <w:shd w:val="clear" w:color="auto" w:fill="FFFFFF"/>
          <w:lang w:val="en-US" w:eastAsia="zh-CN"/>
        </w:rPr>
        <w:t>压</w:t>
      </w:r>
      <w:r>
        <w:rPr>
          <w:rFonts w:hint="default"/>
          <w:color w:val="auto"/>
          <w:sz w:val="28"/>
          <w:szCs w:val="28"/>
          <w:shd w:val="clear" w:color="auto" w:fill="FFFFFF"/>
          <w:lang w:val="en-US" w:eastAsia="zh-CN"/>
        </w:rPr>
        <w:t>是否正常</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当充电机检测到电池电压正常后，将</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出电压</w:t>
      </w:r>
      <w:r>
        <w:rPr>
          <w:rFonts w:hint="eastAsia"/>
          <w:color w:val="auto"/>
          <w:sz w:val="28"/>
          <w:szCs w:val="28"/>
          <w:shd w:val="clear" w:color="auto" w:fill="FFFFFF"/>
          <w:lang w:val="en-US" w:eastAsia="zh-CN"/>
        </w:rPr>
        <w:t>调</w:t>
      </w:r>
      <w:r>
        <w:rPr>
          <w:rFonts w:hint="default"/>
          <w:color w:val="auto"/>
          <w:sz w:val="28"/>
          <w:szCs w:val="28"/>
          <w:shd w:val="clear" w:color="auto" w:fill="FFFFFF"/>
          <w:lang w:val="en-US" w:eastAsia="zh-CN"/>
        </w:rPr>
        <w:t>整到当前电池端电压减</w:t>
      </w:r>
      <w:r>
        <w:rPr>
          <w:rFonts w:hint="eastAsia"/>
          <w:color w:val="auto"/>
          <w:sz w:val="28"/>
          <w:szCs w:val="28"/>
          <w:shd w:val="clear" w:color="auto" w:fill="FFFFFF"/>
          <w:lang w:val="en-US" w:eastAsia="zh-CN"/>
        </w:rPr>
        <w:t>去1</w:t>
      </w:r>
      <w:r>
        <w:rPr>
          <w:rFonts w:hint="default"/>
          <w:color w:val="auto"/>
          <w:sz w:val="28"/>
          <w:szCs w:val="28"/>
          <w:shd w:val="clear" w:color="auto" w:fill="FFFFFF"/>
          <w:lang w:val="en-US" w:eastAsia="zh-CN"/>
        </w:rPr>
        <w:t>V-10V</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再闭合充电机</w:t>
      </w:r>
      <w:r>
        <w:rPr>
          <w:rFonts w:hint="eastAsia"/>
          <w:color w:val="auto"/>
          <w:sz w:val="28"/>
          <w:szCs w:val="28"/>
          <w:shd w:val="clear" w:color="auto" w:fill="FFFFFF"/>
          <w:lang w:val="en-US" w:eastAsia="zh-CN"/>
        </w:rPr>
        <w:t>侧</w:t>
      </w:r>
      <w:r>
        <w:rPr>
          <w:rFonts w:hint="default"/>
          <w:color w:val="auto"/>
          <w:sz w:val="28"/>
          <w:szCs w:val="28"/>
          <w:shd w:val="clear" w:color="auto" w:fill="FFFFFF"/>
          <w:lang w:val="en-US" w:eastAsia="zh-CN"/>
        </w:rPr>
        <w:t>的直流</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出接触器</w:t>
      </w:r>
      <w:r>
        <w:rPr>
          <w:rFonts w:hint="eastAsia"/>
          <w:color w:val="auto"/>
          <w:sz w:val="28"/>
          <w:szCs w:val="28"/>
          <w:shd w:val="clear" w:color="auto"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 xml:space="preserve">充电机应显示下列状态信息：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 xml:space="preserve">a） 充电机的运行状态指示：待机、充电、告警：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 xml:space="preserve">b） 具有手动充电控制功能的充电机应显示人工看入信息.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 xml:space="preserve">充电机宜显示下列信息：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a） 电池当前荷电状态（ s</w:t>
      </w:r>
      <w:r>
        <w:rPr>
          <w:rFonts w:hint="eastAsia"/>
          <w:color w:val="auto"/>
          <w:sz w:val="28"/>
          <w:szCs w:val="28"/>
          <w:shd w:val="clear" w:color="auto" w:fill="FFFFFF"/>
          <w:lang w:val="en-US" w:eastAsia="zh-CN"/>
        </w:rPr>
        <w:t>ta</w:t>
      </w:r>
      <w:r>
        <w:rPr>
          <w:rFonts w:hint="default"/>
          <w:color w:val="auto"/>
          <w:sz w:val="28"/>
          <w:szCs w:val="28"/>
          <w:shd w:val="clear" w:color="auto" w:fill="FFFFFF"/>
          <w:lang w:val="en-US" w:eastAsia="zh-CN"/>
        </w:rPr>
        <w:t>te of charge</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SOC</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充电电压、充电电流、充电功率</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b） 已充电时间、己充电电量、已充电金</w:t>
      </w:r>
      <w:r>
        <w:rPr>
          <w:rFonts w:hint="eastAsia"/>
          <w:color w:val="auto"/>
          <w:sz w:val="28"/>
          <w:szCs w:val="28"/>
          <w:shd w:val="clear" w:color="auto" w:fill="FFFFFF"/>
          <w:lang w:val="en-US" w:eastAsia="zh-CN"/>
        </w:rPr>
        <w:t>额。</w:t>
      </w:r>
      <w:r>
        <w:rPr>
          <w:rFonts w:hint="default"/>
          <w:color w:val="auto"/>
          <w:sz w:val="28"/>
          <w:szCs w:val="28"/>
          <w:shd w:val="clear" w:color="auto" w:fill="FFFFFF"/>
          <w:lang w:val="en-US" w:eastAsia="zh-CN"/>
        </w:rPr>
        <w:t xml:space="preserve"> </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充电机宜具有手动</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入和控制的功能</w:t>
      </w:r>
      <w:r>
        <w:rPr>
          <w:rFonts w:hint="eastAsia"/>
          <w:color w:val="auto"/>
          <w:sz w:val="28"/>
          <w:szCs w:val="28"/>
          <w:shd w:val="clear" w:color="auto"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公用型充电机应具有对充电电能量进行计量的功能</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计量功能应符合GB/T29318的</w:t>
      </w:r>
      <w:r>
        <w:rPr>
          <w:rFonts w:hint="eastAsia"/>
          <w:color w:val="auto"/>
          <w:sz w:val="28"/>
          <w:szCs w:val="28"/>
          <w:shd w:val="clear" w:color="auto" w:fill="FFFFFF"/>
          <w:lang w:val="en-US" w:eastAsia="zh-CN"/>
        </w:rPr>
        <w:t>规</w:t>
      </w:r>
      <w:r>
        <w:rPr>
          <w:rFonts w:hint="default"/>
          <w:color w:val="auto"/>
          <w:sz w:val="28"/>
          <w:szCs w:val="28"/>
          <w:shd w:val="clear" w:color="auto" w:fill="FFFFFF"/>
          <w:lang w:val="en-US" w:eastAsia="zh-CN"/>
        </w:rPr>
        <w:t>定</w:t>
      </w:r>
      <w:r>
        <w:rPr>
          <w:rFonts w:hint="eastAsia"/>
          <w:color w:val="auto"/>
          <w:sz w:val="28"/>
          <w:szCs w:val="28"/>
          <w:shd w:val="clear" w:color="auto"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充电机应安装急停装置</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当启动急停装置时</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一体式充电机应同时切断动力电源输入和直流输出</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分体式充电机应切断相应充电终端的</w:t>
      </w:r>
      <w:r>
        <w:rPr>
          <w:rFonts w:hint="eastAsia"/>
          <w:color w:val="auto"/>
          <w:sz w:val="28"/>
          <w:szCs w:val="28"/>
          <w:shd w:val="clear" w:color="auto" w:fill="FFFFFF"/>
          <w:lang w:val="en-US" w:eastAsia="zh-CN"/>
        </w:rPr>
        <w:t>直</w:t>
      </w:r>
      <w:r>
        <w:rPr>
          <w:rFonts w:hint="default"/>
          <w:color w:val="auto"/>
          <w:sz w:val="28"/>
          <w:szCs w:val="28"/>
          <w:shd w:val="clear" w:color="auto" w:fill="FFFFFF"/>
          <w:lang w:val="en-US" w:eastAsia="zh-CN"/>
        </w:rPr>
        <w:t>流</w:t>
      </w:r>
      <w:r>
        <w:rPr>
          <w:rFonts w:hint="eastAsia"/>
          <w:color w:val="auto"/>
          <w:sz w:val="28"/>
          <w:szCs w:val="28"/>
          <w:shd w:val="clear" w:color="auto" w:fill="FFFFFF"/>
          <w:lang w:val="en-US" w:eastAsia="zh-CN"/>
        </w:rPr>
        <w:t>输出</w:t>
      </w:r>
      <w:r>
        <w:rPr>
          <w:rFonts w:hint="default"/>
          <w:color w:val="auto"/>
          <w:sz w:val="28"/>
          <w:szCs w:val="28"/>
          <w:shd w:val="clear" w:color="auto" w:fill="FFFFFF"/>
          <w:lang w:val="en-US" w:eastAsia="zh-CN"/>
        </w:rPr>
        <w:t>，也可同时切断充电机的动力电源输入</w:t>
      </w:r>
      <w:r>
        <w:rPr>
          <w:rFonts w:hint="eastAsia"/>
          <w:color w:val="auto"/>
          <w:sz w:val="28"/>
          <w:szCs w:val="28"/>
          <w:shd w:val="clear" w:color="auto" w:fill="FFFFFF"/>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保护功能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（1）</w:t>
      </w:r>
      <w:r>
        <w:rPr>
          <w:rFonts w:hint="default"/>
          <w:color w:val="auto"/>
          <w:sz w:val="28"/>
          <w:szCs w:val="28"/>
          <w:shd w:val="clear" w:color="auto" w:fill="FFFFFF"/>
          <w:lang w:val="en-US" w:eastAsia="zh-CN"/>
        </w:rPr>
        <w:t>充电机应具</w:t>
      </w:r>
      <w:r>
        <w:rPr>
          <w:rFonts w:hint="eastAsia"/>
          <w:color w:val="auto"/>
          <w:sz w:val="28"/>
          <w:szCs w:val="28"/>
          <w:shd w:val="clear" w:color="auto" w:fill="FFFFFF"/>
          <w:lang w:val="en-US" w:eastAsia="zh-CN"/>
        </w:rPr>
        <w:t>备</w:t>
      </w:r>
      <w:r>
        <w:rPr>
          <w:rFonts w:hint="default"/>
          <w:color w:val="auto"/>
          <w:sz w:val="28"/>
          <w:szCs w:val="28"/>
          <w:shd w:val="clear" w:color="auto" w:fill="FFFFFF"/>
          <w:lang w:val="en-US" w:eastAsia="zh-CN"/>
        </w:rPr>
        <w:t>电源</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入</w:t>
      </w:r>
      <w:r>
        <w:rPr>
          <w:rFonts w:hint="eastAsia"/>
          <w:color w:val="auto"/>
          <w:sz w:val="28"/>
          <w:szCs w:val="28"/>
          <w:shd w:val="clear" w:color="auto" w:fill="FFFFFF"/>
          <w:lang w:val="en-US" w:eastAsia="zh-CN"/>
        </w:rPr>
        <w:t>侧</w:t>
      </w:r>
      <w:r>
        <w:rPr>
          <w:rFonts w:hint="default"/>
          <w:color w:val="auto"/>
          <w:sz w:val="28"/>
          <w:szCs w:val="28"/>
          <w:shd w:val="clear" w:color="auto" w:fill="FFFFFF"/>
          <w:lang w:val="en-US" w:eastAsia="zh-CN"/>
        </w:rPr>
        <w:t>的过电</w:t>
      </w:r>
      <w:r>
        <w:rPr>
          <w:rFonts w:hint="eastAsia"/>
          <w:color w:val="auto"/>
          <w:sz w:val="28"/>
          <w:szCs w:val="28"/>
          <w:shd w:val="clear" w:color="auto" w:fill="FFFFFF"/>
          <w:lang w:val="en-US" w:eastAsia="zh-CN"/>
        </w:rPr>
        <w:t>压</w:t>
      </w:r>
      <w:r>
        <w:rPr>
          <w:rFonts w:hint="default"/>
          <w:color w:val="auto"/>
          <w:sz w:val="28"/>
          <w:szCs w:val="28"/>
          <w:shd w:val="clear" w:color="auto" w:fill="FFFFFF"/>
          <w:lang w:val="en-US" w:eastAsia="zh-CN"/>
        </w:rPr>
        <w:t>保护、欠电压保护</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（2）</w:t>
      </w:r>
      <w:r>
        <w:rPr>
          <w:rFonts w:hint="default"/>
          <w:color w:val="auto"/>
          <w:sz w:val="28"/>
          <w:szCs w:val="28"/>
          <w:shd w:val="clear" w:color="auto" w:fill="FFFFFF"/>
          <w:lang w:val="en-US" w:eastAsia="zh-CN"/>
        </w:rPr>
        <w:t>充电机应</w:t>
      </w:r>
      <w:r>
        <w:rPr>
          <w:rFonts w:hint="eastAsia"/>
          <w:color w:val="auto"/>
          <w:sz w:val="28"/>
          <w:szCs w:val="28"/>
          <w:shd w:val="clear" w:color="auto" w:fill="FFFFFF"/>
          <w:lang w:val="en-US" w:eastAsia="zh-CN"/>
        </w:rPr>
        <w:t>具备输</w:t>
      </w:r>
      <w:r>
        <w:rPr>
          <w:rFonts w:hint="default"/>
          <w:color w:val="auto"/>
          <w:sz w:val="28"/>
          <w:szCs w:val="28"/>
          <w:shd w:val="clear" w:color="auto" w:fill="FFFFFF"/>
          <w:lang w:val="en-US" w:eastAsia="zh-CN"/>
        </w:rPr>
        <w:t>出过电压保护</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（3）</w:t>
      </w:r>
      <w:r>
        <w:rPr>
          <w:rFonts w:hint="default"/>
          <w:color w:val="auto"/>
          <w:sz w:val="28"/>
          <w:szCs w:val="28"/>
          <w:shd w:val="clear" w:color="auto" w:fill="FFFFFF"/>
          <w:lang w:val="en-US" w:eastAsia="zh-CN"/>
        </w:rPr>
        <w:t>充电机应能</w:t>
      </w:r>
      <w:r>
        <w:rPr>
          <w:rFonts w:hint="eastAsia"/>
          <w:color w:val="auto"/>
          <w:sz w:val="28"/>
          <w:szCs w:val="28"/>
          <w:shd w:val="clear" w:color="auto" w:fill="FFFFFF"/>
          <w:lang w:val="en-US" w:eastAsia="zh-CN"/>
        </w:rPr>
        <w:t>够</w:t>
      </w:r>
      <w:r>
        <w:rPr>
          <w:rFonts w:hint="default"/>
          <w:color w:val="auto"/>
          <w:sz w:val="28"/>
          <w:szCs w:val="28"/>
          <w:shd w:val="clear" w:color="auto" w:fill="FFFFFF"/>
          <w:lang w:val="en-US" w:eastAsia="zh-CN"/>
        </w:rPr>
        <w:t>提供车辆</w:t>
      </w:r>
      <w:r>
        <w:rPr>
          <w:rFonts w:hint="eastAsia"/>
          <w:color w:val="auto"/>
          <w:sz w:val="28"/>
          <w:szCs w:val="28"/>
          <w:shd w:val="clear" w:color="auto" w:fill="FFFFFF"/>
          <w:lang w:val="en-US" w:eastAsia="zh-CN"/>
        </w:rPr>
        <w:t>侧</w:t>
      </w:r>
      <w:r>
        <w:rPr>
          <w:rFonts w:hint="default"/>
          <w:color w:val="auto"/>
          <w:sz w:val="28"/>
          <w:szCs w:val="28"/>
          <w:shd w:val="clear" w:color="auto" w:fill="FFFFFF"/>
          <w:lang w:val="en-US" w:eastAsia="zh-CN"/>
        </w:rPr>
        <w:t>供电</w:t>
      </w:r>
      <w:r>
        <w:rPr>
          <w:rFonts w:hint="eastAsia"/>
          <w:color w:val="auto"/>
          <w:sz w:val="28"/>
          <w:szCs w:val="28"/>
          <w:shd w:val="clear" w:color="auto" w:fill="FFFFFF"/>
          <w:lang w:val="en-US" w:eastAsia="zh-CN"/>
        </w:rPr>
        <w:t>回</w:t>
      </w:r>
      <w:r>
        <w:rPr>
          <w:rFonts w:hint="default"/>
          <w:color w:val="auto"/>
          <w:sz w:val="28"/>
          <w:szCs w:val="28"/>
          <w:shd w:val="clear" w:color="auto" w:fill="FFFFFF"/>
          <w:lang w:val="en-US" w:eastAsia="zh-CN"/>
        </w:rPr>
        <w:t>路及电</w:t>
      </w:r>
      <w:r>
        <w:rPr>
          <w:rFonts w:hint="eastAsia"/>
          <w:color w:val="auto"/>
          <w:sz w:val="28"/>
          <w:szCs w:val="28"/>
          <w:shd w:val="clear" w:color="auto" w:fill="FFFFFF"/>
          <w:lang w:val="en-US" w:eastAsia="zh-CN"/>
        </w:rPr>
        <w:t>缆</w:t>
      </w:r>
      <w:r>
        <w:rPr>
          <w:rFonts w:hint="default"/>
          <w:color w:val="auto"/>
          <w:sz w:val="28"/>
          <w:szCs w:val="28"/>
          <w:shd w:val="clear" w:color="auto" w:fill="FFFFFF"/>
          <w:lang w:val="en-US" w:eastAsia="zh-CN"/>
        </w:rPr>
        <w:t>的</w:t>
      </w:r>
      <w:r>
        <w:rPr>
          <w:rFonts w:hint="eastAsia"/>
          <w:color w:val="auto"/>
          <w:sz w:val="28"/>
          <w:szCs w:val="28"/>
          <w:shd w:val="clear" w:color="auto" w:fill="FFFFFF"/>
          <w:lang w:val="en-US" w:eastAsia="zh-CN"/>
        </w:rPr>
        <w:t>短路</w:t>
      </w:r>
      <w:r>
        <w:rPr>
          <w:rFonts w:hint="default"/>
          <w:color w:val="auto"/>
          <w:sz w:val="28"/>
          <w:szCs w:val="28"/>
          <w:shd w:val="clear" w:color="auto" w:fill="FFFFFF"/>
          <w:lang w:val="en-US" w:eastAsia="zh-CN"/>
        </w:rPr>
        <w:t>电流保护</w:t>
      </w:r>
      <w:r>
        <w:rPr>
          <w:rFonts w:hint="eastAsia"/>
          <w:color w:val="auto"/>
          <w:sz w:val="28"/>
          <w:szCs w:val="28"/>
          <w:shd w:val="clear" w:color="auto" w:fill="FFFFFF"/>
          <w:lang w:val="en-US" w:eastAsia="zh-CN"/>
        </w:rPr>
        <w:t>，短路</w:t>
      </w:r>
      <w:r>
        <w:rPr>
          <w:rFonts w:hint="default"/>
          <w:color w:val="auto"/>
          <w:sz w:val="28"/>
          <w:szCs w:val="28"/>
          <w:shd w:val="clear" w:color="auto" w:fill="FFFFFF"/>
          <w:lang w:val="en-US" w:eastAsia="zh-CN"/>
        </w:rPr>
        <w:t>保护</w:t>
      </w:r>
      <w:r>
        <w:rPr>
          <w:rFonts w:hint="eastAsia"/>
          <w:color w:val="auto"/>
          <w:sz w:val="28"/>
          <w:szCs w:val="28"/>
          <w:shd w:val="clear" w:color="auto" w:fill="FFFFFF"/>
          <w:lang w:val="en-US" w:eastAsia="zh-CN"/>
        </w:rPr>
        <w:t>设备</w:t>
      </w:r>
      <w:r>
        <w:rPr>
          <w:rFonts w:hint="default"/>
          <w:color w:val="auto"/>
          <w:sz w:val="28"/>
          <w:szCs w:val="28"/>
          <w:shd w:val="clear" w:color="auto" w:fill="FFFFFF"/>
          <w:lang w:val="en-US" w:eastAsia="zh-CN"/>
        </w:rPr>
        <w:t>的</w:t>
      </w:r>
      <w:r>
        <w:rPr>
          <w:rFonts w:hint="eastAsia"/>
          <w:color w:val="auto"/>
          <w:sz w:val="28"/>
          <w:szCs w:val="28"/>
          <w:shd w:val="clear" w:color="auto" w:fill="FFFFFF"/>
          <w:lang w:val="en-US" w:eastAsia="zh-CN"/>
        </w:rPr>
        <w:t>I</w:t>
      </w:r>
      <w:r>
        <w:rPr>
          <w:rFonts w:hint="eastAsia"/>
          <w:color w:val="auto"/>
          <w:sz w:val="28"/>
          <w:szCs w:val="28"/>
          <w:shd w:val="clear" w:color="auto" w:fill="FFFFFF"/>
          <w:vertAlign w:val="superscript"/>
          <w:lang w:val="en-US" w:eastAsia="zh-CN"/>
        </w:rPr>
        <w:t>2</w:t>
      </w:r>
      <w:r>
        <w:rPr>
          <w:rFonts w:hint="eastAsia"/>
          <w:color w:val="auto"/>
          <w:sz w:val="28"/>
          <w:szCs w:val="28"/>
          <w:shd w:val="clear" w:color="auto" w:fill="FFFFFF"/>
          <w:lang w:val="en-US" w:eastAsia="zh-CN"/>
        </w:rPr>
        <w:t>t</w:t>
      </w:r>
      <w:r>
        <w:rPr>
          <w:rFonts w:hint="default"/>
          <w:color w:val="auto"/>
          <w:sz w:val="28"/>
          <w:szCs w:val="28"/>
          <w:shd w:val="clear" w:color="auto" w:fill="FFFFFF"/>
          <w:lang w:val="en-US" w:eastAsia="zh-CN"/>
        </w:rPr>
        <w:t xml:space="preserve">值不应超过 </w:t>
      </w:r>
      <w:r>
        <w:rPr>
          <w:rFonts w:hint="eastAsia"/>
          <w:color w:val="auto"/>
          <w:sz w:val="28"/>
          <w:szCs w:val="28"/>
          <w:shd w:val="clear" w:color="auto" w:fill="FFFFFF"/>
          <w:lang w:val="en-US" w:eastAsia="zh-CN"/>
        </w:rPr>
        <w:t>500000A</w:t>
      </w:r>
      <w:r>
        <w:rPr>
          <w:rFonts w:hint="eastAsia"/>
          <w:color w:val="auto"/>
          <w:sz w:val="28"/>
          <w:szCs w:val="28"/>
          <w:shd w:val="clear" w:color="auto" w:fill="FFFFFF"/>
          <w:vertAlign w:val="superscript"/>
          <w:lang w:val="en-US" w:eastAsia="zh-CN"/>
        </w:rPr>
        <w:t>2</w:t>
      </w:r>
      <w:r>
        <w:rPr>
          <w:rFonts w:hint="eastAsia"/>
          <w:color w:val="auto"/>
          <w:sz w:val="28"/>
          <w:szCs w:val="28"/>
          <w:shd w:val="clear" w:color="auto" w:fill="FFFFFF"/>
          <w:lang w:val="en-US" w:eastAsia="zh-CN"/>
        </w:rPr>
        <w:t>s。</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（4）</w:t>
      </w:r>
      <w:r>
        <w:rPr>
          <w:rFonts w:hint="default"/>
          <w:color w:val="auto"/>
          <w:sz w:val="28"/>
          <w:szCs w:val="28"/>
          <w:shd w:val="clear" w:color="auto" w:fill="FFFFFF"/>
          <w:lang w:val="en-US" w:eastAsia="zh-CN"/>
        </w:rPr>
        <w:t>充电机</w:t>
      </w:r>
      <w:r>
        <w:rPr>
          <w:rFonts w:hint="eastAsia"/>
          <w:color w:val="auto"/>
          <w:sz w:val="28"/>
          <w:szCs w:val="28"/>
          <w:shd w:val="clear" w:color="auto" w:fill="FFFFFF"/>
          <w:lang w:val="en-US" w:eastAsia="zh-CN"/>
        </w:rPr>
        <w:t>应</w:t>
      </w:r>
      <w:r>
        <w:rPr>
          <w:rFonts w:hint="default"/>
          <w:color w:val="auto"/>
          <w:sz w:val="28"/>
          <w:szCs w:val="28"/>
          <w:shd w:val="clear" w:color="auto" w:fill="FFFFFF"/>
          <w:lang w:val="en-US" w:eastAsia="zh-CN"/>
        </w:rPr>
        <w:t>具备过</w:t>
      </w:r>
      <w:r>
        <w:rPr>
          <w:rFonts w:hint="eastAsia"/>
          <w:color w:val="auto"/>
          <w:sz w:val="28"/>
          <w:szCs w:val="28"/>
          <w:shd w:val="clear" w:color="auto" w:fill="FFFFFF"/>
          <w:lang w:val="en-US" w:eastAsia="zh-CN"/>
        </w:rPr>
        <w:t>温</w:t>
      </w:r>
      <w:r>
        <w:rPr>
          <w:rFonts w:hint="default"/>
          <w:color w:val="auto"/>
          <w:sz w:val="28"/>
          <w:szCs w:val="28"/>
          <w:shd w:val="clear" w:color="auto" w:fill="FFFFFF"/>
          <w:lang w:val="en-US" w:eastAsia="zh-CN"/>
        </w:rPr>
        <w:t>保护，</w:t>
      </w:r>
      <w:r>
        <w:rPr>
          <w:rFonts w:hint="eastAsia"/>
          <w:color w:val="auto"/>
          <w:sz w:val="28"/>
          <w:szCs w:val="28"/>
          <w:shd w:val="clear" w:color="auto" w:fill="FFFFFF"/>
          <w:lang w:val="en-US" w:eastAsia="zh-CN"/>
        </w:rPr>
        <w:t>当</w:t>
      </w:r>
      <w:r>
        <w:rPr>
          <w:rFonts w:hint="default"/>
          <w:color w:val="auto"/>
          <w:sz w:val="28"/>
          <w:szCs w:val="28"/>
          <w:shd w:val="clear" w:color="auto" w:fill="FFFFFF"/>
          <w:lang w:val="en-US" w:eastAsia="zh-CN"/>
        </w:rPr>
        <w:t>内部温度达到保护</w:t>
      </w:r>
      <w:r>
        <w:rPr>
          <w:rFonts w:hint="eastAsia"/>
          <w:color w:val="auto"/>
          <w:sz w:val="28"/>
          <w:szCs w:val="28"/>
          <w:shd w:val="clear" w:color="auto" w:fill="FFFFFF"/>
          <w:lang w:val="en-US" w:eastAsia="zh-CN"/>
        </w:rPr>
        <w:t>阈</w:t>
      </w:r>
      <w:r>
        <w:rPr>
          <w:rFonts w:hint="default"/>
          <w:color w:val="auto"/>
          <w:sz w:val="28"/>
          <w:szCs w:val="28"/>
          <w:shd w:val="clear" w:color="auto" w:fill="FFFFFF"/>
          <w:lang w:val="en-US" w:eastAsia="zh-CN"/>
        </w:rPr>
        <w:t>值时，采取降功率或停止输出</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（5）</w:t>
      </w:r>
      <w:r>
        <w:rPr>
          <w:rFonts w:hint="default"/>
          <w:color w:val="auto"/>
          <w:sz w:val="28"/>
          <w:szCs w:val="28"/>
          <w:shd w:val="clear" w:color="auto" w:fill="FFFFFF"/>
          <w:lang w:val="en-US" w:eastAsia="zh-CN"/>
        </w:rPr>
        <w:t xml:space="preserve"> 充电机应</w:t>
      </w:r>
      <w:r>
        <w:rPr>
          <w:rFonts w:hint="eastAsia"/>
          <w:color w:val="auto"/>
          <w:sz w:val="28"/>
          <w:szCs w:val="28"/>
          <w:shd w:val="clear" w:color="auto" w:fill="FFFFFF"/>
          <w:lang w:val="en-US" w:eastAsia="zh-CN"/>
        </w:rPr>
        <w:t>具备</w:t>
      </w:r>
      <w:r>
        <w:rPr>
          <w:rFonts w:hint="default"/>
          <w:color w:val="auto"/>
          <w:sz w:val="28"/>
          <w:szCs w:val="28"/>
          <w:shd w:val="clear" w:color="auto" w:fill="FFFFFF"/>
          <w:lang w:val="en-US" w:eastAsia="zh-CN"/>
        </w:rPr>
        <w:t>开门保护</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当充电机门打开造成带电</w:t>
      </w:r>
      <w:r>
        <w:rPr>
          <w:rFonts w:hint="eastAsia"/>
          <w:color w:val="auto"/>
          <w:sz w:val="28"/>
          <w:szCs w:val="28"/>
          <w:shd w:val="clear" w:color="auto" w:fill="FFFFFF"/>
          <w:lang w:val="en-US" w:eastAsia="zh-CN"/>
        </w:rPr>
        <w:t>部</w:t>
      </w:r>
      <w:r>
        <w:rPr>
          <w:rFonts w:hint="default"/>
          <w:color w:val="auto"/>
          <w:sz w:val="28"/>
          <w:szCs w:val="28"/>
          <w:shd w:val="clear" w:color="auto" w:fill="FFFFFF"/>
          <w:lang w:val="en-US" w:eastAsia="zh-CN"/>
        </w:rPr>
        <w:t>分</w:t>
      </w:r>
      <w:r>
        <w:rPr>
          <w:rFonts w:hint="eastAsia"/>
          <w:color w:val="auto"/>
          <w:sz w:val="28"/>
          <w:szCs w:val="28"/>
          <w:shd w:val="clear" w:color="auto" w:fill="FFFFFF"/>
          <w:lang w:val="en-US" w:eastAsia="zh-CN"/>
        </w:rPr>
        <w:t>露</w:t>
      </w:r>
      <w:r>
        <w:rPr>
          <w:rFonts w:hint="default"/>
          <w:color w:val="auto"/>
          <w:sz w:val="28"/>
          <w:szCs w:val="28"/>
          <w:shd w:val="clear" w:color="auto" w:fill="FFFFFF"/>
          <w:lang w:val="en-US" w:eastAsia="zh-CN"/>
        </w:rPr>
        <w:t>出时，一体式充电机应同时切断动力电源</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入和</w:t>
      </w:r>
      <w:r>
        <w:rPr>
          <w:rFonts w:hint="eastAsia"/>
          <w:color w:val="auto"/>
          <w:sz w:val="28"/>
          <w:szCs w:val="28"/>
          <w:shd w:val="clear" w:color="auto" w:fill="FFFFFF"/>
          <w:lang w:val="en-US" w:eastAsia="zh-CN"/>
        </w:rPr>
        <w:t>直</w:t>
      </w:r>
      <w:r>
        <w:rPr>
          <w:rFonts w:hint="default"/>
          <w:color w:val="auto"/>
          <w:sz w:val="28"/>
          <w:szCs w:val="28"/>
          <w:shd w:val="clear" w:color="auto" w:fill="FFFFFF"/>
          <w:lang w:val="en-US" w:eastAsia="zh-CN"/>
        </w:rPr>
        <w:t>流输出，分体式充电机应切断相应</w:t>
      </w:r>
      <w:r>
        <w:rPr>
          <w:rFonts w:hint="eastAsia"/>
          <w:color w:val="auto"/>
          <w:sz w:val="28"/>
          <w:szCs w:val="28"/>
          <w:shd w:val="clear" w:color="auto" w:fill="FFFFFF"/>
          <w:lang w:val="en-US" w:eastAsia="zh-CN"/>
        </w:rPr>
        <w:t>部</w:t>
      </w:r>
      <w:r>
        <w:rPr>
          <w:rFonts w:hint="default"/>
          <w:color w:val="auto"/>
          <w:sz w:val="28"/>
          <w:szCs w:val="28"/>
          <w:shd w:val="clear" w:color="auto" w:fill="FFFFFF"/>
          <w:lang w:val="en-US" w:eastAsia="zh-CN"/>
        </w:rPr>
        <w:t>分的电源</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入或</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出</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（6）</w:t>
      </w:r>
      <w:r>
        <w:rPr>
          <w:rFonts w:hint="default"/>
          <w:color w:val="auto"/>
          <w:sz w:val="28"/>
          <w:szCs w:val="28"/>
          <w:shd w:val="clear" w:color="auto" w:fill="FFFFFF"/>
          <w:lang w:val="en-US" w:eastAsia="zh-CN"/>
        </w:rPr>
        <w:t>充电过程中当发生下列情况时，充电机应能在100</w:t>
      </w:r>
      <w:r>
        <w:rPr>
          <w:rFonts w:hint="eastAsia"/>
          <w:color w:val="auto"/>
          <w:sz w:val="28"/>
          <w:szCs w:val="28"/>
          <w:shd w:val="clear" w:color="auto" w:fill="FFFFFF"/>
          <w:lang w:val="en-US" w:eastAsia="zh-CN"/>
        </w:rPr>
        <w:t>ms</w:t>
      </w:r>
      <w:r>
        <w:rPr>
          <w:rFonts w:hint="default"/>
          <w:color w:val="auto"/>
          <w:sz w:val="28"/>
          <w:szCs w:val="28"/>
          <w:shd w:val="clear" w:color="auto" w:fill="FFFFFF"/>
          <w:lang w:val="en-US" w:eastAsia="zh-CN"/>
        </w:rPr>
        <w:t>内断开</w:t>
      </w:r>
      <w:r>
        <w:rPr>
          <w:rFonts w:hint="eastAsia"/>
          <w:color w:val="auto"/>
          <w:sz w:val="28"/>
          <w:szCs w:val="28"/>
          <w:shd w:val="clear" w:color="auto" w:fill="FFFFFF"/>
          <w:lang w:val="en-US" w:eastAsia="zh-CN"/>
        </w:rPr>
        <w:t>直</w:t>
      </w:r>
      <w:r>
        <w:rPr>
          <w:rFonts w:hint="default"/>
          <w:color w:val="auto"/>
          <w:sz w:val="28"/>
          <w:szCs w:val="28"/>
          <w:shd w:val="clear" w:color="auto" w:fill="FFFFFF"/>
          <w:lang w:val="en-US" w:eastAsia="zh-CN"/>
        </w:rPr>
        <w:t>流</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出</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a</w:t>
      </w:r>
      <w:r>
        <w:rPr>
          <w:rFonts w:hint="default"/>
          <w:color w:val="auto"/>
          <w:sz w:val="28"/>
          <w:szCs w:val="28"/>
          <w:shd w:val="clear" w:color="auto" w:fill="FFFFFF"/>
          <w:lang w:val="en-US" w:eastAsia="zh-CN"/>
        </w:rPr>
        <w:t>）充电机启动</w:t>
      </w:r>
      <w:r>
        <w:rPr>
          <w:rFonts w:hint="eastAsia"/>
          <w:color w:val="auto"/>
          <w:sz w:val="28"/>
          <w:szCs w:val="28"/>
          <w:shd w:val="clear" w:color="auto" w:fill="FFFFFF"/>
          <w:lang w:val="en-US" w:eastAsia="zh-CN"/>
        </w:rPr>
        <w:t>急</w:t>
      </w:r>
      <w:r>
        <w:rPr>
          <w:rFonts w:hint="default"/>
          <w:color w:val="auto"/>
          <w:sz w:val="28"/>
          <w:szCs w:val="28"/>
          <w:shd w:val="clear" w:color="auto" w:fill="FFFFFF"/>
          <w:lang w:val="en-US" w:eastAsia="zh-CN"/>
        </w:rPr>
        <w:t>停装置</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b） 充电机与电动汽车间的保护接地线</w:t>
      </w:r>
      <w:r>
        <w:rPr>
          <w:rFonts w:hint="eastAsia"/>
          <w:color w:val="auto"/>
          <w:sz w:val="28"/>
          <w:szCs w:val="28"/>
          <w:shd w:val="clear" w:color="auto" w:fill="FFFFFF"/>
          <w:lang w:val="en-US" w:eastAsia="zh-CN"/>
        </w:rPr>
        <w:t>断</w:t>
      </w:r>
      <w:r>
        <w:rPr>
          <w:rFonts w:hint="default"/>
          <w:color w:val="auto"/>
          <w:sz w:val="28"/>
          <w:szCs w:val="28"/>
          <w:shd w:val="clear" w:color="auto" w:fill="FFFFFF"/>
          <w:lang w:val="en-US" w:eastAsia="zh-CN"/>
        </w:rPr>
        <w:t>开</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c） 充电机与电动汽车</w:t>
      </w:r>
      <w:r>
        <w:rPr>
          <w:rFonts w:hint="eastAsia"/>
          <w:color w:val="auto"/>
          <w:sz w:val="28"/>
          <w:szCs w:val="28"/>
          <w:shd w:val="clear" w:color="auto" w:fill="FFFFFF"/>
          <w:lang w:val="en-US" w:eastAsia="zh-CN"/>
        </w:rPr>
        <w:t>间</w:t>
      </w:r>
      <w:r>
        <w:rPr>
          <w:rFonts w:hint="default"/>
          <w:color w:val="auto"/>
          <w:sz w:val="28"/>
          <w:szCs w:val="28"/>
          <w:shd w:val="clear" w:color="auto" w:fill="FFFFFF"/>
          <w:lang w:val="en-US" w:eastAsia="zh-CN"/>
        </w:rPr>
        <w:t>的连接</w:t>
      </w:r>
      <w:r>
        <w:rPr>
          <w:rFonts w:hint="eastAsia"/>
          <w:color w:val="auto"/>
          <w:sz w:val="28"/>
          <w:szCs w:val="28"/>
          <w:shd w:val="clear" w:color="auto" w:fill="FFFFFF"/>
          <w:lang w:val="en-US" w:eastAsia="zh-CN"/>
        </w:rPr>
        <w:t>检测</w:t>
      </w:r>
      <w:r>
        <w:rPr>
          <w:rFonts w:hint="default"/>
          <w:color w:val="auto"/>
          <w:sz w:val="28"/>
          <w:szCs w:val="28"/>
          <w:shd w:val="clear" w:color="auto" w:fill="FFFFFF"/>
          <w:lang w:val="en-US" w:eastAsia="zh-CN"/>
        </w:rPr>
        <w:t>信号线断开</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（7）</w:t>
      </w:r>
      <w:r>
        <w:rPr>
          <w:rFonts w:hint="default"/>
          <w:color w:val="auto"/>
          <w:sz w:val="28"/>
          <w:szCs w:val="28"/>
          <w:shd w:val="clear" w:color="auto" w:fill="FFFFFF"/>
          <w:lang w:val="en-US" w:eastAsia="zh-CN"/>
        </w:rPr>
        <w:t>充电机应具</w:t>
      </w:r>
      <w:r>
        <w:rPr>
          <w:rFonts w:hint="eastAsia"/>
          <w:color w:val="auto"/>
          <w:sz w:val="28"/>
          <w:szCs w:val="28"/>
          <w:shd w:val="clear" w:color="auto" w:fill="FFFFFF"/>
          <w:lang w:val="en-US" w:eastAsia="zh-CN"/>
        </w:rPr>
        <w:t>备</w:t>
      </w:r>
      <w:r>
        <w:rPr>
          <w:rFonts w:hint="default"/>
          <w:color w:val="auto"/>
          <w:sz w:val="28"/>
          <w:szCs w:val="28"/>
          <w:shd w:val="clear" w:color="auto" w:fill="FFFFFF"/>
          <w:lang w:val="en-US" w:eastAsia="zh-CN"/>
        </w:rPr>
        <w:t>限制输入电流过冲的能力</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开机或启动充电时产生的输入电流过冲不</w:t>
      </w:r>
      <w:r>
        <w:rPr>
          <w:rFonts w:hint="eastAsia"/>
          <w:color w:val="auto"/>
          <w:sz w:val="28"/>
          <w:szCs w:val="28"/>
          <w:shd w:val="clear" w:color="auto" w:fill="FFFFFF"/>
          <w:lang w:val="en-US" w:eastAsia="zh-CN"/>
        </w:rPr>
        <w:t>应</w:t>
      </w:r>
      <w:r>
        <w:rPr>
          <w:rFonts w:hint="default"/>
          <w:color w:val="auto"/>
          <w:sz w:val="28"/>
          <w:szCs w:val="28"/>
          <w:shd w:val="clear" w:color="auto" w:fill="FFFFFF"/>
          <w:lang w:val="en-US" w:eastAsia="zh-CN"/>
        </w:rPr>
        <w:t>大于</w:t>
      </w:r>
      <w:r>
        <w:rPr>
          <w:rFonts w:hint="eastAsia"/>
          <w:color w:val="auto"/>
          <w:sz w:val="28"/>
          <w:szCs w:val="28"/>
          <w:shd w:val="clear" w:color="auto" w:fill="FFFFFF"/>
          <w:lang w:val="en-US" w:eastAsia="zh-CN"/>
        </w:rPr>
        <w:t>额</w:t>
      </w:r>
      <w:r>
        <w:rPr>
          <w:rFonts w:hint="default"/>
          <w:color w:val="auto"/>
          <w:sz w:val="28"/>
          <w:szCs w:val="28"/>
          <w:shd w:val="clear" w:color="auto" w:fill="FFFFFF"/>
          <w:lang w:val="en-US" w:eastAsia="zh-CN"/>
        </w:rPr>
        <w:t>定输入电流峰值的10%</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（8）</w:t>
      </w:r>
      <w:r>
        <w:rPr>
          <w:rFonts w:hint="default"/>
          <w:color w:val="auto"/>
          <w:sz w:val="28"/>
          <w:szCs w:val="28"/>
          <w:shd w:val="clear" w:color="auto" w:fill="FFFFFF"/>
          <w:lang w:val="en-US" w:eastAsia="zh-CN"/>
        </w:rPr>
        <w:t>充电机直流输出接触</w:t>
      </w:r>
      <w:r>
        <w:rPr>
          <w:rFonts w:hint="eastAsia"/>
          <w:color w:val="auto"/>
          <w:sz w:val="28"/>
          <w:szCs w:val="28"/>
          <w:shd w:val="clear" w:color="auto" w:fill="FFFFFF"/>
          <w:lang w:val="en-US" w:eastAsia="zh-CN"/>
        </w:rPr>
        <w:t>器接通</w:t>
      </w:r>
      <w:r>
        <w:rPr>
          <w:rFonts w:hint="default"/>
          <w:color w:val="auto"/>
          <w:sz w:val="28"/>
          <w:szCs w:val="28"/>
          <w:shd w:val="clear" w:color="auto" w:fill="FFFFFF"/>
          <w:lang w:val="en-US" w:eastAsia="zh-CN"/>
        </w:rPr>
        <w:t>时发生的车辆到充电设</w:t>
      </w:r>
      <w:r>
        <w:rPr>
          <w:rFonts w:hint="eastAsia"/>
          <w:color w:val="auto"/>
          <w:sz w:val="28"/>
          <w:szCs w:val="28"/>
          <w:shd w:val="clear" w:color="auto" w:fill="FFFFFF"/>
          <w:lang w:val="en-US" w:eastAsia="zh-CN"/>
        </w:rPr>
        <w:t>备</w:t>
      </w:r>
      <w:r>
        <w:rPr>
          <w:rFonts w:hint="default"/>
          <w:color w:val="auto"/>
          <w:sz w:val="28"/>
          <w:szCs w:val="28"/>
          <w:shd w:val="clear" w:color="auto" w:fill="FFFFFF"/>
          <w:lang w:val="en-US" w:eastAsia="zh-CN"/>
        </w:rPr>
        <w:t>或充电设</w:t>
      </w:r>
      <w:r>
        <w:rPr>
          <w:rFonts w:hint="eastAsia"/>
          <w:color w:val="auto"/>
          <w:sz w:val="28"/>
          <w:szCs w:val="28"/>
          <w:shd w:val="clear" w:color="auto" w:fill="FFFFFF"/>
          <w:lang w:val="en-US" w:eastAsia="zh-CN"/>
        </w:rPr>
        <w:t>备</w:t>
      </w:r>
      <w:r>
        <w:rPr>
          <w:rFonts w:hint="default"/>
          <w:color w:val="auto"/>
          <w:sz w:val="28"/>
          <w:szCs w:val="28"/>
          <w:shd w:val="clear" w:color="auto" w:fill="FFFFFF"/>
          <w:lang w:val="en-US" w:eastAsia="zh-CN"/>
        </w:rPr>
        <w:t>到车辆的冲击</w:t>
      </w:r>
      <w:r>
        <w:rPr>
          <w:rFonts w:hint="eastAsia"/>
          <w:color w:val="auto"/>
          <w:sz w:val="28"/>
          <w:szCs w:val="28"/>
          <w:shd w:val="clear" w:color="auto" w:fill="FFFFFF"/>
          <w:lang w:val="en-US" w:eastAsia="zh-CN"/>
        </w:rPr>
        <w:t>电流</w:t>
      </w:r>
      <w:r>
        <w:rPr>
          <w:rFonts w:hint="default"/>
          <w:color w:val="auto"/>
          <w:sz w:val="28"/>
          <w:szCs w:val="28"/>
          <w:shd w:val="clear" w:color="auto" w:fill="FFFFFF"/>
          <w:lang w:val="en-US" w:eastAsia="zh-CN"/>
        </w:rPr>
        <w:t>（峰值）</w:t>
      </w:r>
      <w:r>
        <w:rPr>
          <w:rFonts w:hint="eastAsia"/>
          <w:color w:val="auto"/>
          <w:sz w:val="28"/>
          <w:szCs w:val="28"/>
          <w:shd w:val="clear" w:color="auto" w:fill="FFFFFF"/>
          <w:lang w:val="en-US" w:eastAsia="zh-CN"/>
        </w:rPr>
        <w:t>应</w:t>
      </w:r>
      <w:r>
        <w:rPr>
          <w:rFonts w:hint="default"/>
          <w:color w:val="auto"/>
          <w:sz w:val="28"/>
          <w:szCs w:val="28"/>
          <w:shd w:val="clear" w:color="auto" w:fill="FFFFFF"/>
          <w:lang w:val="en-US" w:eastAsia="zh-CN"/>
        </w:rPr>
        <w:t>控制在20A以下</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（9）</w:t>
      </w:r>
      <w:r>
        <w:rPr>
          <w:rFonts w:hint="default"/>
          <w:color w:val="auto"/>
          <w:sz w:val="28"/>
          <w:szCs w:val="28"/>
          <w:shd w:val="clear" w:color="auto" w:fill="FFFFFF"/>
          <w:lang w:val="en-US" w:eastAsia="zh-CN"/>
        </w:rPr>
        <w:t>在</w:t>
      </w:r>
      <w:r>
        <w:rPr>
          <w:rFonts w:hint="eastAsia"/>
          <w:color w:val="auto"/>
          <w:sz w:val="28"/>
          <w:szCs w:val="28"/>
          <w:shd w:val="clear" w:color="auto" w:fill="FFFFFF"/>
          <w:lang w:val="en-US" w:eastAsia="zh-CN"/>
        </w:rPr>
        <w:t>启</w:t>
      </w:r>
      <w:r>
        <w:rPr>
          <w:rFonts w:hint="default"/>
          <w:color w:val="auto"/>
          <w:sz w:val="28"/>
          <w:szCs w:val="28"/>
          <w:shd w:val="clear" w:color="auto" w:fill="FFFFFF"/>
          <w:lang w:val="en-US" w:eastAsia="zh-CN"/>
        </w:rPr>
        <w:t>动充电阶段车辆</w:t>
      </w:r>
      <w:r>
        <w:rPr>
          <w:rFonts w:hint="eastAsia"/>
          <w:color w:val="auto"/>
          <w:sz w:val="28"/>
          <w:szCs w:val="28"/>
          <w:shd w:val="clear" w:color="auto" w:fill="FFFFFF"/>
          <w:lang w:val="en-US" w:eastAsia="zh-CN"/>
        </w:rPr>
        <w:t>侧</w:t>
      </w:r>
      <w:r>
        <w:rPr>
          <w:rFonts w:hint="default"/>
          <w:color w:val="auto"/>
          <w:sz w:val="28"/>
          <w:szCs w:val="28"/>
          <w:shd w:val="clear" w:color="auto" w:fill="FFFFFF"/>
          <w:lang w:val="en-US" w:eastAsia="zh-CN"/>
        </w:rPr>
        <w:t>接触</w:t>
      </w:r>
      <w:r>
        <w:rPr>
          <w:rFonts w:hint="eastAsia"/>
          <w:color w:val="auto"/>
          <w:sz w:val="28"/>
          <w:szCs w:val="28"/>
          <w:shd w:val="clear" w:color="auto" w:fill="FFFFFF"/>
          <w:lang w:val="en-US" w:eastAsia="zh-CN"/>
        </w:rPr>
        <w:t>器闭合</w:t>
      </w:r>
      <w:r>
        <w:rPr>
          <w:rFonts w:hint="default"/>
          <w:color w:val="auto"/>
          <w:sz w:val="28"/>
          <w:szCs w:val="28"/>
          <w:shd w:val="clear" w:color="auto" w:fill="FFFFFF"/>
          <w:lang w:val="en-US" w:eastAsia="zh-CN"/>
        </w:rPr>
        <w:t>后，充电机应对车</w:t>
      </w:r>
      <w:r>
        <w:rPr>
          <w:rFonts w:hint="eastAsia"/>
          <w:color w:val="auto"/>
          <w:sz w:val="28"/>
          <w:szCs w:val="28"/>
          <w:shd w:val="clear" w:color="auto" w:fill="FFFFFF"/>
          <w:lang w:val="en-US" w:eastAsia="zh-CN"/>
        </w:rPr>
        <w:t>辆</w:t>
      </w:r>
      <w:r>
        <w:rPr>
          <w:rFonts w:hint="default"/>
          <w:color w:val="auto"/>
          <w:sz w:val="28"/>
          <w:szCs w:val="28"/>
          <w:shd w:val="clear" w:color="auto" w:fill="FFFFFF"/>
          <w:lang w:val="en-US" w:eastAsia="zh-CN"/>
        </w:rPr>
        <w:t>电池电压</w:t>
      </w:r>
      <w:r>
        <w:rPr>
          <w:rFonts w:hint="eastAsia"/>
          <w:color w:val="auto"/>
          <w:sz w:val="28"/>
          <w:szCs w:val="28"/>
          <w:shd w:val="clear" w:color="auto" w:fill="FFFFFF"/>
          <w:lang w:val="en-US" w:eastAsia="zh-CN"/>
        </w:rPr>
        <w:t>进</w:t>
      </w:r>
      <w:r>
        <w:rPr>
          <w:rFonts w:hint="default"/>
          <w:color w:val="auto"/>
          <w:sz w:val="28"/>
          <w:szCs w:val="28"/>
          <w:shd w:val="clear" w:color="auto" w:fill="FFFFFF"/>
          <w:lang w:val="en-US" w:eastAsia="zh-CN"/>
        </w:rPr>
        <w:t>行</w:t>
      </w:r>
      <w:r>
        <w:rPr>
          <w:rFonts w:hint="eastAsia"/>
          <w:color w:val="auto"/>
          <w:sz w:val="28"/>
          <w:szCs w:val="28"/>
          <w:shd w:val="clear" w:color="auto" w:fill="FFFFFF"/>
          <w:lang w:val="en-US" w:eastAsia="zh-CN"/>
        </w:rPr>
        <w:t>检测，</w:t>
      </w:r>
      <w:r>
        <w:rPr>
          <w:rFonts w:hint="default"/>
          <w:color w:val="auto"/>
          <w:sz w:val="28"/>
          <w:szCs w:val="28"/>
          <w:shd w:val="clear" w:color="auto" w:fill="FFFFFF"/>
          <w:lang w:val="en-US" w:eastAsia="zh-CN"/>
        </w:rPr>
        <w:t>当出现下列情况时， 充电机应停止启动过程，并发出告警信</w:t>
      </w:r>
      <w:r>
        <w:rPr>
          <w:rFonts w:hint="eastAsia"/>
          <w:color w:val="auto"/>
          <w:sz w:val="28"/>
          <w:szCs w:val="28"/>
          <w:shd w:val="clear" w:color="auto" w:fill="FFFFFF"/>
          <w:lang w:val="en-US" w:eastAsia="zh-CN"/>
        </w:rPr>
        <w:t>息：</w:t>
      </w:r>
      <w:r>
        <w:rPr>
          <w:rFonts w:hint="default"/>
          <w:color w:val="auto"/>
          <w:sz w:val="28"/>
          <w:szCs w:val="28"/>
          <w:shd w:val="clear" w:color="auto"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a） 蓄电池反接</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default"/>
          <w:color w:val="auto"/>
          <w:sz w:val="28"/>
          <w:szCs w:val="28"/>
          <w:shd w:val="clear" w:color="auto" w:fill="FFFFFF"/>
          <w:lang w:val="en-US" w:eastAsia="zh-CN"/>
        </w:rPr>
        <w:t>b） 检</w:t>
      </w:r>
      <w:r>
        <w:rPr>
          <w:rFonts w:hint="eastAsia"/>
          <w:color w:val="auto"/>
          <w:sz w:val="28"/>
          <w:szCs w:val="28"/>
          <w:shd w:val="clear" w:color="auto" w:fill="FFFFFF"/>
          <w:lang w:val="en-US" w:eastAsia="zh-CN"/>
        </w:rPr>
        <w:t>测</w:t>
      </w:r>
      <w:r>
        <w:rPr>
          <w:rFonts w:hint="default"/>
          <w:color w:val="auto"/>
          <w:sz w:val="28"/>
          <w:szCs w:val="28"/>
          <w:shd w:val="clear" w:color="auto" w:fill="FFFFFF"/>
          <w:lang w:val="en-US" w:eastAsia="zh-CN"/>
        </w:rPr>
        <w:t>电压与通信报文电池电压之差的绝对值大于通信报文电</w:t>
      </w:r>
      <w:r>
        <w:rPr>
          <w:rFonts w:hint="eastAsia"/>
          <w:color w:val="auto"/>
          <w:sz w:val="28"/>
          <w:szCs w:val="28"/>
          <w:shd w:val="clear" w:color="auto" w:fill="FFFFFF"/>
          <w:lang w:val="en-US" w:eastAsia="zh-CN"/>
        </w:rPr>
        <w:t>池</w:t>
      </w:r>
      <w:r>
        <w:rPr>
          <w:rFonts w:hint="default"/>
          <w:color w:val="auto"/>
          <w:sz w:val="28"/>
          <w:szCs w:val="28"/>
          <w:shd w:val="clear" w:color="auto" w:fill="FFFFFF"/>
          <w:lang w:val="en-US" w:eastAsia="zh-CN"/>
        </w:rPr>
        <w:t>电压的5%</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c）</w:t>
      </w:r>
      <w:r>
        <w:rPr>
          <w:rFonts w:hint="default"/>
          <w:color w:val="auto"/>
          <w:sz w:val="28"/>
          <w:szCs w:val="28"/>
          <w:shd w:val="clear" w:color="auto" w:fill="FFFFFF"/>
          <w:lang w:val="en-US" w:eastAsia="zh-CN"/>
        </w:rPr>
        <w:t>检测电</w:t>
      </w:r>
      <w:r>
        <w:rPr>
          <w:rFonts w:hint="eastAsia"/>
          <w:color w:val="auto"/>
          <w:sz w:val="28"/>
          <w:szCs w:val="28"/>
          <w:shd w:val="clear" w:color="auto" w:fill="FFFFFF"/>
          <w:lang w:val="en-US" w:eastAsia="zh-CN"/>
        </w:rPr>
        <w:t>压</w:t>
      </w:r>
      <w:r>
        <w:rPr>
          <w:rFonts w:hint="default"/>
          <w:color w:val="auto"/>
          <w:sz w:val="28"/>
          <w:szCs w:val="28"/>
          <w:shd w:val="clear" w:color="auto" w:fill="FFFFFF"/>
          <w:lang w:val="en-US" w:eastAsia="zh-CN"/>
        </w:rPr>
        <w:t>小于充电机的</w:t>
      </w:r>
      <w:r>
        <w:rPr>
          <w:rFonts w:hint="eastAsia"/>
          <w:color w:val="auto"/>
          <w:sz w:val="28"/>
          <w:szCs w:val="28"/>
          <w:shd w:val="clear" w:color="auto" w:fill="FFFFFF"/>
          <w:lang w:val="en-US" w:eastAsia="zh-CN"/>
        </w:rPr>
        <w:t>最低输</w:t>
      </w:r>
      <w:r>
        <w:rPr>
          <w:rFonts w:hint="default"/>
          <w:color w:val="auto"/>
          <w:sz w:val="28"/>
          <w:szCs w:val="28"/>
          <w:shd w:val="clear" w:color="auto" w:fill="FFFFFF"/>
          <w:lang w:val="en-US" w:eastAsia="zh-CN"/>
        </w:rPr>
        <w:t>出电压或大于充电机的</w:t>
      </w:r>
      <w:r>
        <w:rPr>
          <w:rFonts w:hint="eastAsia"/>
          <w:color w:val="auto"/>
          <w:sz w:val="28"/>
          <w:szCs w:val="28"/>
          <w:shd w:val="clear" w:color="auto" w:fill="FFFFFF"/>
          <w:lang w:val="en-US" w:eastAsia="zh-CN"/>
        </w:rPr>
        <w:t>额定输</w:t>
      </w:r>
      <w:r>
        <w:rPr>
          <w:rFonts w:hint="default"/>
          <w:color w:val="auto"/>
          <w:sz w:val="28"/>
          <w:szCs w:val="28"/>
          <w:shd w:val="clear" w:color="auto" w:fill="FFFFFF"/>
          <w:lang w:val="en-US" w:eastAsia="zh-CN"/>
        </w:rPr>
        <w:t>出电压</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（10）</w:t>
      </w:r>
      <w:r>
        <w:rPr>
          <w:rFonts w:hint="default"/>
          <w:color w:val="auto"/>
          <w:sz w:val="28"/>
          <w:szCs w:val="28"/>
          <w:shd w:val="clear" w:color="auto" w:fill="FFFFFF"/>
          <w:lang w:val="en-US" w:eastAsia="zh-CN"/>
        </w:rPr>
        <w:t>充电机应具备对电动汽车动力</w:t>
      </w:r>
      <w:r>
        <w:rPr>
          <w:rFonts w:hint="eastAsia"/>
          <w:color w:val="auto"/>
          <w:sz w:val="28"/>
          <w:szCs w:val="28"/>
          <w:shd w:val="clear" w:color="auto" w:fill="FFFFFF"/>
          <w:lang w:val="en-US" w:eastAsia="zh-CN"/>
        </w:rPr>
        <w:t>蓄</w:t>
      </w:r>
      <w:r>
        <w:rPr>
          <w:rFonts w:hint="default"/>
          <w:color w:val="auto"/>
          <w:sz w:val="28"/>
          <w:szCs w:val="28"/>
          <w:shd w:val="clear" w:color="auto" w:fill="FFFFFF"/>
          <w:lang w:val="en-US" w:eastAsia="zh-CN"/>
        </w:rPr>
        <w:t>电池二重保</w:t>
      </w:r>
      <w:r>
        <w:rPr>
          <w:rFonts w:hint="eastAsia"/>
          <w:color w:val="auto"/>
          <w:sz w:val="28"/>
          <w:szCs w:val="28"/>
          <w:shd w:val="clear" w:color="auto" w:fill="FFFFFF"/>
          <w:lang w:val="en-US" w:eastAsia="zh-CN"/>
        </w:rPr>
        <w:t>护</w:t>
      </w:r>
      <w:r>
        <w:rPr>
          <w:rFonts w:hint="default"/>
          <w:color w:val="auto"/>
          <w:sz w:val="28"/>
          <w:szCs w:val="28"/>
          <w:shd w:val="clear" w:color="auto" w:fill="FFFFFF"/>
          <w:lang w:val="en-US" w:eastAsia="zh-CN"/>
        </w:rPr>
        <w:t>功能</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在充电过程中，当</w:t>
      </w:r>
      <w:r>
        <w:rPr>
          <w:rFonts w:hint="eastAsia"/>
          <w:color w:val="auto"/>
          <w:sz w:val="28"/>
          <w:szCs w:val="28"/>
          <w:shd w:val="clear" w:color="auto" w:fill="FFFFFF"/>
          <w:lang w:val="en-US" w:eastAsia="zh-CN"/>
        </w:rPr>
        <w:t>检测</w:t>
      </w:r>
      <w:r>
        <w:rPr>
          <w:rFonts w:hint="default"/>
          <w:color w:val="auto"/>
          <w:sz w:val="28"/>
          <w:szCs w:val="28"/>
          <w:shd w:val="clear" w:color="auto" w:fill="FFFFFF"/>
          <w:lang w:val="en-US" w:eastAsia="zh-CN"/>
        </w:rPr>
        <w:t>到输出电压大于</w:t>
      </w:r>
      <w:r>
        <w:rPr>
          <w:rFonts w:hint="eastAsia"/>
          <w:color w:val="auto"/>
          <w:sz w:val="28"/>
          <w:szCs w:val="28"/>
          <w:shd w:val="clear" w:color="auto" w:fill="FFFFFF"/>
          <w:lang w:val="en-US" w:eastAsia="zh-CN"/>
        </w:rPr>
        <w:t>车</w:t>
      </w:r>
      <w:r>
        <w:rPr>
          <w:rFonts w:hint="default"/>
          <w:color w:val="auto"/>
          <w:sz w:val="28"/>
          <w:szCs w:val="28"/>
          <w:shd w:val="clear" w:color="auto" w:fill="FFFFFF"/>
          <w:lang w:val="en-US" w:eastAsia="zh-CN"/>
        </w:rPr>
        <w:t>辆</w:t>
      </w:r>
      <w:r>
        <w:rPr>
          <w:rFonts w:hint="eastAsia"/>
          <w:color w:val="auto"/>
          <w:sz w:val="28"/>
          <w:szCs w:val="28"/>
          <w:shd w:val="clear" w:color="auto" w:fill="FFFFFF"/>
          <w:lang w:val="en-US" w:eastAsia="zh-CN"/>
        </w:rPr>
        <w:t>最</w:t>
      </w:r>
      <w:r>
        <w:rPr>
          <w:rFonts w:hint="default"/>
          <w:color w:val="auto"/>
          <w:sz w:val="28"/>
          <w:szCs w:val="28"/>
          <w:shd w:val="clear" w:color="auto" w:fill="FFFFFF"/>
          <w:lang w:val="en-US" w:eastAsia="zh-CN"/>
        </w:rPr>
        <w:t>高允许充电</w:t>
      </w:r>
      <w:r>
        <w:rPr>
          <w:rFonts w:hint="eastAsia"/>
          <w:color w:val="auto"/>
          <w:sz w:val="28"/>
          <w:szCs w:val="28"/>
          <w:shd w:val="clear" w:color="auto" w:fill="FFFFFF"/>
          <w:lang w:val="en-US" w:eastAsia="zh-CN"/>
        </w:rPr>
        <w:t>总</w:t>
      </w:r>
      <w:r>
        <w:rPr>
          <w:rFonts w:hint="default"/>
          <w:color w:val="auto"/>
          <w:sz w:val="28"/>
          <w:szCs w:val="28"/>
          <w:shd w:val="clear" w:color="auto" w:fill="FFFFFF"/>
          <w:lang w:val="en-US" w:eastAsia="zh-CN"/>
        </w:rPr>
        <w:t>电压.或检</w:t>
      </w:r>
      <w:r>
        <w:rPr>
          <w:rFonts w:hint="eastAsia"/>
          <w:color w:val="auto"/>
          <w:sz w:val="28"/>
          <w:szCs w:val="28"/>
          <w:shd w:val="clear" w:color="auto" w:fill="FFFFFF"/>
          <w:lang w:val="en-US" w:eastAsia="zh-CN"/>
        </w:rPr>
        <w:t>测</w:t>
      </w:r>
      <w:r>
        <w:rPr>
          <w:rFonts w:hint="default"/>
          <w:color w:val="auto"/>
          <w:sz w:val="28"/>
          <w:szCs w:val="28"/>
          <w:shd w:val="clear" w:color="auto" w:fill="FFFFFF"/>
          <w:lang w:val="en-US" w:eastAsia="zh-CN"/>
        </w:rPr>
        <w:t>到</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出电流大于车辆当</w:t>
      </w:r>
      <w:r>
        <w:rPr>
          <w:rFonts w:hint="eastAsia"/>
          <w:color w:val="auto"/>
          <w:sz w:val="28"/>
          <w:szCs w:val="28"/>
          <w:shd w:val="clear" w:color="auto" w:fill="FFFFFF"/>
          <w:lang w:val="en-US" w:eastAsia="zh-CN"/>
        </w:rPr>
        <w:t>前</w:t>
      </w:r>
      <w:r>
        <w:rPr>
          <w:rFonts w:hint="default"/>
          <w:color w:val="auto"/>
          <w:sz w:val="28"/>
          <w:szCs w:val="28"/>
          <w:shd w:val="clear" w:color="auto" w:fill="FFFFFF"/>
          <w:lang w:val="en-US" w:eastAsia="zh-CN"/>
        </w:rPr>
        <w:t>需求电流</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充电机应在</w:t>
      </w:r>
      <w:r>
        <w:rPr>
          <w:rFonts w:hint="eastAsia"/>
          <w:color w:val="auto"/>
          <w:sz w:val="28"/>
          <w:szCs w:val="28"/>
          <w:shd w:val="clear" w:color="auto" w:fill="FFFFFF"/>
          <w:lang w:val="en-US" w:eastAsia="zh-CN"/>
        </w:rPr>
        <w:t>1</w:t>
      </w:r>
      <w:r>
        <w:rPr>
          <w:rFonts w:hint="default"/>
          <w:color w:val="auto"/>
          <w:sz w:val="28"/>
          <w:szCs w:val="28"/>
          <w:shd w:val="clear" w:color="auto" w:fill="FFFFFF"/>
          <w:lang w:val="en-US" w:eastAsia="zh-CN"/>
        </w:rPr>
        <w:t>s内断开</w:t>
      </w:r>
      <w:r>
        <w:rPr>
          <w:rFonts w:hint="eastAsia"/>
          <w:color w:val="auto"/>
          <w:sz w:val="28"/>
          <w:szCs w:val="28"/>
          <w:shd w:val="clear" w:color="auto" w:fill="FFFFFF"/>
          <w:lang w:val="en-US" w:eastAsia="zh-CN"/>
        </w:rPr>
        <w:t>直</w:t>
      </w:r>
      <w:r>
        <w:rPr>
          <w:rFonts w:hint="default"/>
          <w:color w:val="auto"/>
          <w:sz w:val="28"/>
          <w:szCs w:val="28"/>
          <w:shd w:val="clear" w:color="auto" w:fill="FFFFFF"/>
          <w:lang w:val="en-US" w:eastAsia="zh-CN"/>
        </w:rPr>
        <w:t>流输出，</w:t>
      </w:r>
      <w:r>
        <w:rPr>
          <w:rFonts w:hint="eastAsia"/>
          <w:color w:val="auto"/>
          <w:sz w:val="28"/>
          <w:szCs w:val="28"/>
          <w:shd w:val="clear" w:color="auto" w:fill="FFFFFF"/>
          <w:lang w:val="en-US" w:eastAsia="zh-CN"/>
        </w:rPr>
        <w:t>并</w:t>
      </w:r>
      <w:r>
        <w:rPr>
          <w:rFonts w:hint="default"/>
          <w:color w:val="auto"/>
          <w:sz w:val="28"/>
          <w:szCs w:val="28"/>
          <w:shd w:val="clear" w:color="auto" w:fill="FFFFFF"/>
          <w:lang w:val="en-US" w:eastAsia="zh-CN"/>
        </w:rPr>
        <w:t>发出</w:t>
      </w:r>
      <w:r>
        <w:rPr>
          <w:rFonts w:hint="eastAsia"/>
          <w:color w:val="auto"/>
          <w:sz w:val="28"/>
          <w:szCs w:val="28"/>
          <w:shd w:val="clear" w:color="auto" w:fill="FFFFFF"/>
          <w:lang w:val="en-US" w:eastAsia="zh-CN"/>
        </w:rPr>
        <w:t>告</w:t>
      </w:r>
      <w:r>
        <w:rPr>
          <w:rFonts w:hint="default"/>
          <w:color w:val="auto"/>
          <w:sz w:val="28"/>
          <w:szCs w:val="28"/>
          <w:shd w:val="clear" w:color="auto" w:fill="FFFFFF"/>
          <w:lang w:val="en-US" w:eastAsia="zh-CN"/>
        </w:rPr>
        <w:t>警信息</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480" w:firstLineChars="200"/>
        <w:textAlignment w:val="auto"/>
        <w:rPr>
          <w:rFonts w:hint="default"/>
          <w:color w:val="auto"/>
          <w:sz w:val="28"/>
          <w:szCs w:val="28"/>
          <w:shd w:val="clear" w:color="auto" w:fill="FFFFFF"/>
          <w:lang w:val="en-US" w:eastAsia="zh-CN"/>
        </w:rPr>
      </w:pPr>
      <w:r>
        <w:rPr>
          <w:rFonts w:hint="default"/>
          <w:color w:val="auto"/>
          <w:sz w:val="24"/>
          <w:szCs w:val="24"/>
          <w:shd w:val="clear" w:color="auto" w:fill="FFFFFF"/>
          <w:lang w:val="en-US" w:eastAsia="zh-CN"/>
        </w:rPr>
        <w:t>注</w:t>
      </w:r>
      <w:r>
        <w:rPr>
          <w:rFonts w:hint="eastAsia"/>
          <w:color w:val="auto"/>
          <w:sz w:val="24"/>
          <w:szCs w:val="24"/>
          <w:shd w:val="clear" w:color="auto" w:fill="FFFFFF"/>
          <w:lang w:val="en-US" w:eastAsia="zh-CN"/>
        </w:rPr>
        <w:t>：</w:t>
      </w:r>
      <w:r>
        <w:rPr>
          <w:rFonts w:hint="default"/>
          <w:color w:val="auto"/>
          <w:sz w:val="24"/>
          <w:szCs w:val="24"/>
          <w:shd w:val="clear" w:color="auto" w:fill="FFFFFF"/>
          <w:lang w:val="en-US" w:eastAsia="zh-CN"/>
        </w:rPr>
        <w:t>充电机</w:t>
      </w:r>
      <w:r>
        <w:rPr>
          <w:rFonts w:hint="eastAsia"/>
          <w:color w:val="auto"/>
          <w:sz w:val="24"/>
          <w:szCs w:val="24"/>
          <w:shd w:val="clear" w:color="auto" w:fill="FFFFFF"/>
          <w:lang w:val="en-US" w:eastAsia="zh-CN"/>
        </w:rPr>
        <w:t>检测</w:t>
      </w:r>
      <w:r>
        <w:rPr>
          <w:rFonts w:hint="default"/>
          <w:color w:val="auto"/>
          <w:sz w:val="24"/>
          <w:szCs w:val="24"/>
          <w:shd w:val="clear" w:color="auto" w:fill="FFFFFF"/>
          <w:lang w:val="en-US" w:eastAsia="zh-CN"/>
        </w:rPr>
        <w:t>的</w:t>
      </w:r>
      <w:r>
        <w:rPr>
          <w:rFonts w:hint="eastAsia"/>
          <w:color w:val="auto"/>
          <w:sz w:val="24"/>
          <w:szCs w:val="24"/>
          <w:shd w:val="clear" w:color="auto" w:fill="FFFFFF"/>
          <w:lang w:val="en-US" w:eastAsia="zh-CN"/>
        </w:rPr>
        <w:t>输</w:t>
      </w:r>
      <w:r>
        <w:rPr>
          <w:rFonts w:hint="default"/>
          <w:color w:val="auto"/>
          <w:sz w:val="24"/>
          <w:szCs w:val="24"/>
          <w:shd w:val="clear" w:color="auto" w:fill="FFFFFF"/>
          <w:lang w:val="en-US" w:eastAsia="zh-CN"/>
        </w:rPr>
        <w:t>出电压</w:t>
      </w:r>
      <w:r>
        <w:rPr>
          <w:rFonts w:hint="eastAsia"/>
          <w:color w:val="auto"/>
          <w:sz w:val="24"/>
          <w:szCs w:val="24"/>
          <w:shd w:val="clear" w:color="auto" w:fill="FFFFFF"/>
          <w:lang w:val="en-US" w:eastAsia="zh-CN"/>
        </w:rPr>
        <w:t>或输</w:t>
      </w:r>
      <w:r>
        <w:rPr>
          <w:rFonts w:hint="default"/>
          <w:color w:val="auto"/>
          <w:sz w:val="24"/>
          <w:szCs w:val="24"/>
          <w:shd w:val="clear" w:color="auto" w:fill="FFFFFF"/>
          <w:lang w:val="en-US" w:eastAsia="zh-CN"/>
        </w:rPr>
        <w:t>出电</w:t>
      </w:r>
      <w:r>
        <w:rPr>
          <w:rFonts w:hint="eastAsia"/>
          <w:color w:val="auto"/>
          <w:sz w:val="24"/>
          <w:szCs w:val="24"/>
          <w:shd w:val="clear" w:color="auto" w:fill="FFFFFF"/>
          <w:lang w:val="en-US" w:eastAsia="zh-CN"/>
        </w:rPr>
        <w:t>流应</w:t>
      </w:r>
      <w:r>
        <w:rPr>
          <w:rFonts w:hint="default"/>
          <w:color w:val="auto"/>
          <w:sz w:val="24"/>
          <w:szCs w:val="24"/>
          <w:shd w:val="clear" w:color="auto" w:fill="FFFFFF"/>
          <w:lang w:val="en-US" w:eastAsia="zh-CN"/>
        </w:rPr>
        <w:t>考虑</w:t>
      </w:r>
      <w:r>
        <w:rPr>
          <w:rFonts w:hint="eastAsia"/>
          <w:color w:val="auto"/>
          <w:sz w:val="24"/>
          <w:szCs w:val="24"/>
          <w:shd w:val="clear" w:color="auto" w:fill="FFFFFF"/>
          <w:lang w:val="en-US" w:eastAsia="zh-CN"/>
        </w:rPr>
        <w:t>稳</w:t>
      </w:r>
      <w:r>
        <w:rPr>
          <w:rFonts w:hint="default"/>
          <w:color w:val="auto"/>
          <w:sz w:val="24"/>
          <w:szCs w:val="24"/>
          <w:shd w:val="clear" w:color="auto" w:fill="FFFFFF"/>
          <w:lang w:val="en-US" w:eastAsia="zh-CN"/>
        </w:rPr>
        <w:t>压</w:t>
      </w:r>
      <w:r>
        <w:rPr>
          <w:rFonts w:hint="eastAsia"/>
          <w:color w:val="auto"/>
          <w:sz w:val="24"/>
          <w:szCs w:val="24"/>
          <w:shd w:val="clear" w:color="auto" w:fill="FFFFFF"/>
          <w:lang w:val="en-US" w:eastAsia="zh-CN"/>
        </w:rPr>
        <w:t>精</w:t>
      </w:r>
      <w:r>
        <w:rPr>
          <w:rFonts w:hint="default"/>
          <w:color w:val="auto"/>
          <w:sz w:val="24"/>
          <w:szCs w:val="24"/>
          <w:shd w:val="clear" w:color="auto" w:fill="FFFFFF"/>
          <w:lang w:val="en-US" w:eastAsia="zh-CN"/>
        </w:rPr>
        <w:t>度</w:t>
      </w:r>
      <w:r>
        <w:rPr>
          <w:rFonts w:hint="eastAsia"/>
          <w:color w:val="auto"/>
          <w:sz w:val="24"/>
          <w:szCs w:val="24"/>
          <w:shd w:val="clear" w:color="auto" w:fill="FFFFFF"/>
          <w:lang w:val="en-US" w:eastAsia="zh-CN"/>
        </w:rPr>
        <w:t>或稳流精</w:t>
      </w:r>
      <w:r>
        <w:rPr>
          <w:rFonts w:hint="default"/>
          <w:color w:val="auto"/>
          <w:sz w:val="24"/>
          <w:szCs w:val="24"/>
          <w:shd w:val="clear" w:color="auto" w:fill="FFFFFF"/>
          <w:lang w:val="en-US" w:eastAsia="zh-CN"/>
        </w:rPr>
        <w:t>度</w:t>
      </w:r>
      <w:r>
        <w:rPr>
          <w:rFonts w:hint="eastAsia"/>
          <w:color w:val="auto"/>
          <w:sz w:val="24"/>
          <w:szCs w:val="24"/>
          <w:shd w:val="clear" w:color="auto" w:fill="FFFFFF"/>
          <w:lang w:val="en-US" w:eastAsia="zh-CN"/>
        </w:rPr>
        <w:t>范围加测量</w:t>
      </w:r>
      <w:r>
        <w:rPr>
          <w:rFonts w:hint="default"/>
          <w:color w:val="auto"/>
          <w:sz w:val="24"/>
          <w:szCs w:val="24"/>
          <w:shd w:val="clear" w:color="auto" w:fill="FFFFFF"/>
          <w:lang w:val="en-US" w:eastAsia="zh-CN"/>
        </w:rPr>
        <w:t>误</w:t>
      </w:r>
      <w:r>
        <w:rPr>
          <w:rFonts w:hint="eastAsia"/>
          <w:color w:val="auto"/>
          <w:sz w:val="24"/>
          <w:szCs w:val="24"/>
          <w:shd w:val="clear" w:color="auto" w:fill="FFFFFF"/>
          <w:lang w:val="en-US" w:eastAsia="zh-CN"/>
        </w:rPr>
        <w:t>差。</w:t>
      </w:r>
      <w:r>
        <w:rPr>
          <w:rFonts w:hint="default"/>
          <w:color w:val="auto"/>
          <w:sz w:val="28"/>
          <w:szCs w:val="28"/>
          <w:shd w:val="clear" w:color="auto" w:fill="FFFFFF"/>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（11）</w:t>
      </w:r>
      <w:r>
        <w:rPr>
          <w:rFonts w:hint="default"/>
          <w:color w:val="auto"/>
          <w:sz w:val="28"/>
          <w:szCs w:val="28"/>
          <w:shd w:val="clear" w:color="auto" w:fill="FFFFFF"/>
          <w:lang w:val="en-US" w:eastAsia="zh-CN"/>
        </w:rPr>
        <w:t>充电机</w:t>
      </w:r>
      <w:r>
        <w:rPr>
          <w:rFonts w:hint="eastAsia"/>
          <w:color w:val="auto"/>
          <w:sz w:val="28"/>
          <w:szCs w:val="28"/>
          <w:shd w:val="clear" w:color="auto" w:fill="FFFFFF"/>
          <w:lang w:val="en-US" w:eastAsia="zh-CN"/>
        </w:rPr>
        <w:t>应</w:t>
      </w:r>
      <w:r>
        <w:rPr>
          <w:rFonts w:hint="default"/>
          <w:color w:val="auto"/>
          <w:sz w:val="28"/>
          <w:szCs w:val="28"/>
          <w:shd w:val="clear" w:color="auto" w:fill="FFFFFF"/>
          <w:lang w:val="en-US" w:eastAsia="zh-CN"/>
        </w:rPr>
        <w:t>具</w:t>
      </w:r>
      <w:r>
        <w:rPr>
          <w:rFonts w:hint="eastAsia"/>
          <w:color w:val="auto"/>
          <w:sz w:val="28"/>
          <w:szCs w:val="28"/>
          <w:shd w:val="clear" w:color="auto" w:fill="FFFFFF"/>
          <w:lang w:val="en-US" w:eastAsia="zh-CN"/>
        </w:rPr>
        <w:t>备</w:t>
      </w:r>
      <w:r>
        <w:rPr>
          <w:rFonts w:hint="default"/>
          <w:color w:val="auto"/>
          <w:sz w:val="28"/>
          <w:szCs w:val="28"/>
          <w:shd w:val="clear" w:color="auto" w:fill="FFFFFF"/>
          <w:lang w:val="en-US" w:eastAsia="zh-CN"/>
        </w:rPr>
        <w:t>防逆流功能（如</w:t>
      </w:r>
      <w:r>
        <w:rPr>
          <w:rFonts w:hint="eastAsia"/>
          <w:color w:val="auto"/>
          <w:sz w:val="28"/>
          <w:szCs w:val="28"/>
          <w:shd w:val="clear" w:color="auto" w:fill="FFFFFF"/>
          <w:lang w:val="en-US" w:eastAsia="zh-CN"/>
        </w:rPr>
        <w:t>输</w:t>
      </w:r>
      <w:r>
        <w:rPr>
          <w:rFonts w:hint="default"/>
          <w:color w:val="auto"/>
          <w:sz w:val="28"/>
          <w:szCs w:val="28"/>
          <w:shd w:val="clear" w:color="auto" w:fill="FFFFFF"/>
          <w:lang w:val="en-US" w:eastAsia="zh-CN"/>
        </w:rPr>
        <w:t>出加二</w:t>
      </w:r>
      <w:r>
        <w:rPr>
          <w:rFonts w:hint="eastAsia"/>
          <w:color w:val="auto"/>
          <w:sz w:val="28"/>
          <w:szCs w:val="28"/>
          <w:shd w:val="clear" w:color="auto" w:fill="FFFFFF"/>
          <w:lang w:val="en-US" w:eastAsia="zh-CN"/>
        </w:rPr>
        <w:t>极</w:t>
      </w:r>
      <w:r>
        <w:rPr>
          <w:rFonts w:hint="default"/>
          <w:color w:val="auto"/>
          <w:sz w:val="28"/>
          <w:szCs w:val="28"/>
          <w:shd w:val="clear" w:color="auto" w:fill="FFFFFF"/>
          <w:lang w:val="en-US" w:eastAsia="zh-CN"/>
        </w:rPr>
        <w:t>管等）</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防止</w:t>
      </w:r>
      <w:r>
        <w:rPr>
          <w:rFonts w:hint="eastAsia"/>
          <w:color w:val="auto"/>
          <w:sz w:val="28"/>
          <w:szCs w:val="28"/>
          <w:shd w:val="clear" w:color="auto" w:fill="FFFFFF"/>
          <w:lang w:val="en-US" w:eastAsia="zh-CN"/>
        </w:rPr>
        <w:t>蓄电池电流倒灌。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（12）</w:t>
      </w:r>
      <w:r>
        <w:rPr>
          <w:rFonts w:hint="default"/>
          <w:color w:val="auto"/>
          <w:sz w:val="28"/>
          <w:szCs w:val="28"/>
          <w:shd w:val="clear" w:color="auto" w:fill="FFFFFF"/>
          <w:lang w:val="en-US" w:eastAsia="zh-CN"/>
        </w:rPr>
        <w:t>充电机应在启动充电</w:t>
      </w:r>
      <w:r>
        <w:rPr>
          <w:rFonts w:hint="eastAsia"/>
          <w:color w:val="auto"/>
          <w:sz w:val="28"/>
          <w:szCs w:val="28"/>
          <w:shd w:val="clear" w:color="auto" w:fill="FFFFFF"/>
          <w:lang w:val="en-US" w:eastAsia="zh-CN"/>
        </w:rPr>
        <w:t>前</w:t>
      </w:r>
      <w:r>
        <w:rPr>
          <w:rFonts w:hint="default"/>
          <w:color w:val="auto"/>
          <w:sz w:val="28"/>
          <w:szCs w:val="28"/>
          <w:shd w:val="clear" w:color="auto" w:fill="FFFFFF"/>
          <w:lang w:val="en-US" w:eastAsia="zh-CN"/>
        </w:rPr>
        <w:t>进行供电回路直</w:t>
      </w:r>
      <w:r>
        <w:rPr>
          <w:rFonts w:hint="eastAsia"/>
          <w:color w:val="auto"/>
          <w:sz w:val="28"/>
          <w:szCs w:val="28"/>
          <w:shd w:val="clear" w:color="auto" w:fill="FFFFFF"/>
          <w:lang w:val="en-US" w:eastAsia="zh-CN"/>
        </w:rPr>
        <w:t>流</w:t>
      </w:r>
      <w:r>
        <w:rPr>
          <w:rFonts w:hint="default"/>
          <w:color w:val="auto"/>
          <w:sz w:val="28"/>
          <w:szCs w:val="28"/>
          <w:shd w:val="clear" w:color="auto" w:fill="FFFFFF"/>
          <w:lang w:val="en-US" w:eastAsia="zh-CN"/>
        </w:rPr>
        <w:t>接</w:t>
      </w:r>
      <w:r>
        <w:rPr>
          <w:rFonts w:hint="eastAsia"/>
          <w:color w:val="auto"/>
          <w:sz w:val="28"/>
          <w:szCs w:val="28"/>
          <w:shd w:val="clear" w:color="auto" w:fill="FFFFFF"/>
          <w:lang w:val="en-US" w:eastAsia="zh-CN"/>
        </w:rPr>
        <w:t>触器</w:t>
      </w:r>
      <w:r>
        <w:rPr>
          <w:rFonts w:hint="default"/>
          <w:color w:val="auto"/>
          <w:sz w:val="28"/>
          <w:szCs w:val="28"/>
          <w:shd w:val="clear" w:color="auto" w:fill="FFFFFF"/>
          <w:lang w:val="en-US" w:eastAsia="zh-CN"/>
        </w:rPr>
        <w:t>触点粘连</w:t>
      </w:r>
      <w:r>
        <w:rPr>
          <w:rFonts w:hint="eastAsia"/>
          <w:color w:val="auto"/>
          <w:sz w:val="28"/>
          <w:szCs w:val="28"/>
          <w:shd w:val="clear" w:color="auto" w:fill="FFFFFF"/>
          <w:lang w:val="en-US" w:eastAsia="zh-CN"/>
        </w:rPr>
        <w:t>检测，</w:t>
      </w:r>
      <w:r>
        <w:rPr>
          <w:rFonts w:hint="default"/>
          <w:color w:val="auto"/>
          <w:sz w:val="28"/>
          <w:szCs w:val="28"/>
          <w:shd w:val="clear" w:color="auto" w:fill="FFFFFF"/>
          <w:lang w:val="en-US" w:eastAsia="zh-CN"/>
        </w:rPr>
        <w:t>也可以在直流接触器断开后进行触点粘连检测</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当检</w:t>
      </w:r>
      <w:r>
        <w:rPr>
          <w:rFonts w:hint="eastAsia"/>
          <w:color w:val="auto"/>
          <w:sz w:val="28"/>
          <w:szCs w:val="28"/>
          <w:shd w:val="clear" w:color="auto" w:fill="FFFFFF"/>
          <w:lang w:val="en-US" w:eastAsia="zh-CN"/>
        </w:rPr>
        <w:t>测</w:t>
      </w:r>
      <w:r>
        <w:rPr>
          <w:rFonts w:hint="default"/>
          <w:color w:val="auto"/>
          <w:sz w:val="28"/>
          <w:szCs w:val="28"/>
          <w:shd w:val="clear" w:color="auto" w:fill="FFFFFF"/>
          <w:lang w:val="en-US" w:eastAsia="zh-CN"/>
        </w:rPr>
        <w:t>到任何一个</w:t>
      </w:r>
      <w:r>
        <w:rPr>
          <w:rFonts w:hint="eastAsia"/>
          <w:color w:val="auto"/>
          <w:sz w:val="28"/>
          <w:szCs w:val="28"/>
          <w:shd w:val="clear" w:color="auto" w:fill="FFFFFF"/>
          <w:lang w:val="en-US" w:eastAsia="zh-CN"/>
        </w:rPr>
        <w:t>直</w:t>
      </w:r>
      <w:r>
        <w:rPr>
          <w:rFonts w:hint="default"/>
          <w:color w:val="auto"/>
          <w:sz w:val="28"/>
          <w:szCs w:val="28"/>
          <w:shd w:val="clear" w:color="auto" w:fill="FFFFFF"/>
          <w:lang w:val="en-US" w:eastAsia="zh-CN"/>
        </w:rPr>
        <w:t>流接触器的主触点出</w:t>
      </w:r>
      <w:r>
        <w:rPr>
          <w:rFonts w:hint="eastAsia"/>
          <w:color w:val="auto"/>
          <w:sz w:val="28"/>
          <w:szCs w:val="28"/>
          <w:shd w:val="clear" w:color="auto" w:fill="FFFFFF"/>
          <w:lang w:val="en-US" w:eastAsia="zh-CN"/>
        </w:rPr>
        <w:t>现粘连</w:t>
      </w:r>
      <w:r>
        <w:rPr>
          <w:rFonts w:hint="default"/>
          <w:color w:val="auto"/>
          <w:sz w:val="28"/>
          <w:szCs w:val="28"/>
          <w:shd w:val="clear" w:color="auto" w:fill="FFFFFF"/>
          <w:lang w:val="en-US" w:eastAsia="zh-CN"/>
        </w:rPr>
        <w:t>情况时</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充电机不应</w:t>
      </w:r>
      <w:r>
        <w:rPr>
          <w:rFonts w:hint="eastAsia"/>
          <w:color w:val="auto"/>
          <w:sz w:val="28"/>
          <w:szCs w:val="28"/>
          <w:shd w:val="clear" w:color="auto" w:fill="FFFFFF"/>
          <w:lang w:val="en-US" w:eastAsia="zh-CN"/>
        </w:rPr>
        <w:t>启</w:t>
      </w:r>
      <w:r>
        <w:rPr>
          <w:rFonts w:hint="default"/>
          <w:color w:val="auto"/>
          <w:sz w:val="28"/>
          <w:szCs w:val="28"/>
          <w:shd w:val="clear" w:color="auto" w:fill="FFFFFF"/>
          <w:lang w:val="en-US" w:eastAsia="zh-CN"/>
        </w:rPr>
        <w:t>动充电</w:t>
      </w:r>
      <w:r>
        <w:rPr>
          <w:rFonts w:hint="eastAsia"/>
          <w:color w:val="auto"/>
          <w:sz w:val="28"/>
          <w:szCs w:val="28"/>
          <w:shd w:val="clear" w:color="auto" w:fill="FFFFFF"/>
          <w:lang w:val="en-US" w:eastAsia="zh-CN"/>
        </w:rPr>
        <w:t>，并</w:t>
      </w:r>
      <w:r>
        <w:rPr>
          <w:rFonts w:hint="default"/>
          <w:color w:val="auto"/>
          <w:sz w:val="28"/>
          <w:szCs w:val="28"/>
          <w:shd w:val="clear" w:color="auto" w:fill="FFFFFF"/>
          <w:lang w:val="en-US" w:eastAsia="zh-CN"/>
        </w:rPr>
        <w:t>发出告警信息</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（13）</w:t>
      </w:r>
      <w:r>
        <w:rPr>
          <w:rFonts w:hint="default"/>
          <w:color w:val="auto"/>
          <w:sz w:val="28"/>
          <w:szCs w:val="28"/>
          <w:shd w:val="clear" w:color="auto" w:fill="FFFFFF"/>
          <w:lang w:val="en-US" w:eastAsia="zh-CN"/>
        </w:rPr>
        <w:t>充电机在充电过程中</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当检</w:t>
      </w:r>
      <w:r>
        <w:rPr>
          <w:rFonts w:hint="eastAsia"/>
          <w:color w:val="auto"/>
          <w:sz w:val="28"/>
          <w:szCs w:val="28"/>
          <w:shd w:val="clear" w:color="auto" w:fill="FFFFFF"/>
          <w:lang w:val="en-US" w:eastAsia="zh-CN"/>
        </w:rPr>
        <w:t>测</w:t>
      </w:r>
      <w:r>
        <w:rPr>
          <w:rFonts w:hint="default"/>
          <w:color w:val="auto"/>
          <w:sz w:val="28"/>
          <w:szCs w:val="28"/>
          <w:shd w:val="clear" w:color="auto" w:fill="FFFFFF"/>
          <w:lang w:val="en-US" w:eastAsia="zh-CN"/>
        </w:rPr>
        <w:t>到与电动汽车电池管理系统（battery</w:t>
      </w:r>
      <w:r>
        <w:rPr>
          <w:rFonts w:hint="eastAsia"/>
          <w:color w:val="auto"/>
          <w:sz w:val="28"/>
          <w:szCs w:val="28"/>
          <w:shd w:val="clear" w:color="auto" w:fill="FFFFFF"/>
          <w:lang w:val="en-US" w:eastAsia="zh-CN"/>
        </w:rPr>
        <w:t xml:space="preserve"> </w:t>
      </w:r>
      <w:r>
        <w:rPr>
          <w:rFonts w:hint="default"/>
          <w:color w:val="auto"/>
          <w:sz w:val="28"/>
          <w:szCs w:val="28"/>
          <w:shd w:val="clear" w:color="auto" w:fill="FFFFFF"/>
          <w:lang w:val="en-US" w:eastAsia="zh-CN"/>
        </w:rPr>
        <w:t>management</w:t>
      </w:r>
      <w:r>
        <w:rPr>
          <w:rFonts w:hint="eastAsia"/>
          <w:color w:val="auto"/>
          <w:sz w:val="28"/>
          <w:szCs w:val="28"/>
          <w:shd w:val="clear" w:color="auto" w:fill="FFFFFF"/>
          <w:lang w:val="en-US" w:eastAsia="zh-CN"/>
        </w:rPr>
        <w:t xml:space="preserve"> </w:t>
      </w:r>
      <w:r>
        <w:rPr>
          <w:rFonts w:hint="default"/>
          <w:color w:val="auto"/>
          <w:sz w:val="28"/>
          <w:szCs w:val="28"/>
          <w:shd w:val="clear" w:color="auto" w:fill="FFFFFF"/>
          <w:lang w:val="en-US" w:eastAsia="zh-CN"/>
        </w:rPr>
        <w:t>sy</w:t>
      </w:r>
      <w:r>
        <w:rPr>
          <w:rFonts w:hint="eastAsia"/>
          <w:color w:val="auto"/>
          <w:sz w:val="28"/>
          <w:szCs w:val="28"/>
          <w:shd w:val="clear" w:color="auto" w:fill="FFFFFF"/>
          <w:lang w:val="en-US" w:eastAsia="zh-CN"/>
        </w:rPr>
        <w:t>st</w:t>
      </w:r>
      <w:r>
        <w:rPr>
          <w:rFonts w:hint="default"/>
          <w:color w:val="auto"/>
          <w:sz w:val="28"/>
          <w:szCs w:val="28"/>
          <w:shd w:val="clear" w:color="auto" w:fill="FFFFFF"/>
          <w:lang w:val="en-US" w:eastAsia="zh-CN"/>
        </w:rPr>
        <w:t>em</w:t>
      </w:r>
      <w:r>
        <w:rPr>
          <w:rFonts w:hint="eastAsia"/>
          <w:color w:val="auto"/>
          <w:sz w:val="28"/>
          <w:szCs w:val="28"/>
          <w:shd w:val="clear" w:color="auto" w:fill="FFFFFF"/>
          <w:lang w:val="en-US" w:eastAsia="zh-CN"/>
        </w:rPr>
        <w:t>，</w:t>
      </w:r>
      <w:r>
        <w:rPr>
          <w:rFonts w:hint="default"/>
          <w:color w:val="auto"/>
          <w:sz w:val="28"/>
          <w:szCs w:val="28"/>
          <w:shd w:val="clear" w:color="auto" w:fill="FFFFFF"/>
          <w:lang w:val="en-US" w:eastAsia="zh-CN"/>
        </w:rPr>
        <w:t>BMS） 或车辆控制器发生通信中断时，充电机应停止充电，并发出告警信息</w:t>
      </w:r>
      <w:r>
        <w:rPr>
          <w:rFonts w:hint="eastAsia"/>
          <w:color w:val="auto"/>
          <w:sz w:val="28"/>
          <w:szCs w:val="28"/>
          <w:shd w:val="clear" w:color="auto"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（14）充电机应在充电握手阶段判断电池管理系统BHM报文中的最高允许充电总电压值，当检测到该值小于充电机最低输出电压时，应停止绝缘监测进程，并发出告警信息。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（15）充电机应在充电阶段实时判断电池管理系统BCL报文中的电压需求和电流需求值，当检测到该值大于车辆最高允许充电总电压或最高允许充电电流时，充电机应停止充电，并发出告警信息。</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（16）充电机的雷电防护应符合GB/T18487.1-2015中11.7的规定。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15、充电机铁质外壳和暴露的铁质支架、零件应采用双层防锈措施，非铁质的金属外壳也应具有防氧化保护膜或进行防氧化处理。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36" w:firstLineChars="200"/>
        <w:textAlignment w:val="auto"/>
        <w:rPr>
          <w:rFonts w:hint="eastAsia"/>
          <w:color w:val="auto"/>
          <w:sz w:val="28"/>
          <w:szCs w:val="28"/>
          <w:shd w:val="clear" w:color="auto" w:fill="FFFFFF"/>
          <w:lang w:val="en-US" w:eastAsia="zh-CN"/>
        </w:rPr>
      </w:pPr>
      <w:r>
        <w:rPr>
          <w:rFonts w:hint="eastAsia"/>
          <w:color w:val="auto"/>
          <w:spacing w:val="-6"/>
          <w:sz w:val="28"/>
          <w:szCs w:val="28"/>
          <w:shd w:val="clear" w:color="auto" w:fill="FFFFFF"/>
          <w:lang w:val="en-US" w:eastAsia="zh-CN"/>
        </w:rPr>
        <w:t>16、户外型充电机应能承受GB/T4797.5规定的不同地区最大风速的侵袭。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17、户外型充电机应具有防盗措施。</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18、充电机应满足下列安全要求：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（1）充电机的表面温度应符合GB/T18487.1-2015中的11.6.3的规定；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（2）充电机的电击防护应符合GB/T18487.1-2015中第7章的规定；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（3）充电机的电气间隙和爬电距离应符合GB/T18487.1-2015中10.4的规定；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（4）充电机的接地应符合下列要求：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a）充电机金属壳体应设置接地端子（螺栓），其直径不应小于6mm，并应有接地标志；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b）充电机金属材质的门板、盖板、覆板和类似部件，应采用铜质保护导体将这些部件和充电机的结构主体框架连接，且保护导体的截面积不应小于2.5mm</w:t>
      </w:r>
      <w:r>
        <w:rPr>
          <w:rFonts w:hint="eastAsia"/>
          <w:color w:val="auto"/>
          <w:sz w:val="28"/>
          <w:szCs w:val="28"/>
          <w:shd w:val="clear" w:color="auto" w:fill="FFFFFF"/>
          <w:vertAlign w:val="superscript"/>
          <w:lang w:val="en-US" w:eastAsia="zh-CN"/>
        </w:rPr>
        <w:t>2</w:t>
      </w:r>
      <w:r>
        <w:rPr>
          <w:rFonts w:hint="eastAsia"/>
          <w:color w:val="auto"/>
          <w:sz w:val="28"/>
          <w:szCs w:val="28"/>
          <w:shd w:val="clear" w:color="auto" w:fill="FFFFFF"/>
          <w:vertAlign w:val="baseline"/>
          <w:lang w:val="en-US" w:eastAsia="zh-CN"/>
        </w:rPr>
        <w:t>；</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c）所有作为隔离带电导体的金属外壳、隔板，电气装置的金属外壳以及金属手柄等，均应有效等单位连接，且接地连续性电阻不应大于0.1Ω；</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d）充电机内的工作接地与保护接地应单独连接到接地导体（铜排）上，不应在一个接地线中串接多个需要接地的电气装置。</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（5）充电机的动力电源输入和直流输出之间应采用电气隔离防护措施；对于一机多充式充电机，各直流输出接口之间也应采取电气隔离防护措施。</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kern w:val="0"/>
          <w:sz w:val="28"/>
          <w:szCs w:val="28"/>
          <w:highlight w:val="none"/>
          <w:lang w:val="en-US" w:eastAsia="zh-CN"/>
        </w:rPr>
      </w:pPr>
      <w:r>
        <w:rPr>
          <w:rFonts w:hint="eastAsia" w:ascii="宋体" w:hAnsi="宋体"/>
          <w:color w:val="auto"/>
          <w:kern w:val="0"/>
          <w:sz w:val="28"/>
          <w:szCs w:val="28"/>
          <w:highlight w:val="none"/>
          <w:lang w:val="en-US" w:eastAsia="zh-CN"/>
        </w:rPr>
        <w:t>19、电气具有性能：</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lang w:val="en-US" w:eastAsia="zh-CN"/>
        </w:rPr>
      </w:pPr>
      <w:r>
        <w:rPr>
          <w:rFonts w:hint="eastAsia" w:ascii="宋体" w:hAnsi="宋体"/>
          <w:color w:val="auto"/>
          <w:kern w:val="0"/>
          <w:sz w:val="28"/>
          <w:szCs w:val="28"/>
          <w:highlight w:val="none"/>
          <w:lang w:val="en-US" w:eastAsia="zh-CN"/>
        </w:rPr>
        <w:t>（1）用开路电压为表3规定的直流电压等级的测试仪器，测量充电机非电气连接的各带电回路之间、隔独立带电回路与地（金属外壳）之间绝缘电阻不应小于10M</w:t>
      </w:r>
      <w:r>
        <w:rPr>
          <w:rFonts w:hint="eastAsia"/>
          <w:color w:val="auto"/>
          <w:sz w:val="28"/>
          <w:szCs w:val="28"/>
          <w:shd w:val="clear" w:color="auto" w:fill="FFFFFF"/>
          <w:lang w:val="en-US" w:eastAsia="zh-CN"/>
        </w:rPr>
        <w:t>Ω。</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olor w:val="auto"/>
          <w:sz w:val="28"/>
          <w:szCs w:val="28"/>
          <w:shd w:val="clear" w:color="auto" w:fill="FFFFFF"/>
          <w:lang w:val="en-US" w:eastAsia="zh-CN"/>
        </w:rPr>
      </w:pPr>
      <w:r>
        <w:rPr>
          <w:rFonts w:hint="eastAsia"/>
          <w:color w:val="auto"/>
          <w:sz w:val="28"/>
          <w:szCs w:val="28"/>
          <w:shd w:val="clear" w:color="auto" w:fill="FFFFFF"/>
          <w:lang w:val="en-US" w:eastAsia="zh-CN"/>
        </w:rPr>
        <w:t>（2）充电机非电气连接的各带电回路之间、隔独立带电回路与地（金属外壳）之间，按其工作电压应能承受表3所规定历时1min的工频交流电压（也可采用直流电压，试验电压为交流电压有效值的1.4倍）。试验过程中，试验部位不应出现绝缘击穿和闪络现象。</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color w:val="auto"/>
          <w:sz w:val="28"/>
          <w:szCs w:val="28"/>
          <w:shd w:val="clear" w:color="auto" w:fill="FFFFFF"/>
          <w:lang w:val="en-US" w:eastAsia="zh-CN"/>
        </w:rPr>
      </w:pPr>
      <w:r>
        <w:rPr>
          <w:rFonts w:hint="eastAsia"/>
          <w:color w:val="auto"/>
          <w:sz w:val="28"/>
          <w:szCs w:val="28"/>
          <w:shd w:val="clear" w:color="auto" w:fill="FFFFFF"/>
          <w:lang w:val="en-US" w:eastAsia="zh-CN"/>
        </w:rPr>
        <w:t>（3）充电机非电气连接的各带电回路之间、隔独立带电回路与地（金属外壳）之间，按其工作电压应能承受表3所规定的标准雷电波短时冲击电压试验。实验过程中，试验部位不应出现击穿放电。</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kern w:val="0"/>
          <w:sz w:val="28"/>
          <w:szCs w:val="28"/>
          <w:highlight w:val="none"/>
          <w:lang w:val="en-US" w:eastAsia="zh-CN"/>
        </w:rPr>
      </w:pPr>
      <w:r>
        <w:rPr>
          <w:rFonts w:hint="default"/>
          <w:color w:val="auto"/>
          <w:sz w:val="28"/>
          <w:szCs w:val="28"/>
          <w:shd w:val="clear" w:color="auto" w:fill="FFFFFF"/>
          <w:lang w:val="en-US" w:eastAsia="zh-CN"/>
        </w:rPr>
        <w:drawing>
          <wp:anchor distT="0" distB="0" distL="114300" distR="114300" simplePos="0" relativeHeight="251662336" behindDoc="0" locked="0" layoutInCell="1" allowOverlap="1">
            <wp:simplePos x="0" y="0"/>
            <wp:positionH relativeFrom="column">
              <wp:posOffset>-66040</wp:posOffset>
            </wp:positionH>
            <wp:positionV relativeFrom="paragraph">
              <wp:posOffset>106045</wp:posOffset>
            </wp:positionV>
            <wp:extent cx="5755640" cy="1945640"/>
            <wp:effectExtent l="0" t="0" r="16510" b="16510"/>
            <wp:wrapSquare wrapText="bothSides"/>
            <wp:docPr id="17" name="图片 17" descr="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表"/>
                    <pic:cNvPicPr>
                      <a:picLocks noChangeAspect="1"/>
                    </pic:cNvPicPr>
                  </pic:nvPicPr>
                  <pic:blipFill>
                    <a:blip r:embed="rId19"/>
                    <a:stretch>
                      <a:fillRect/>
                    </a:stretch>
                  </pic:blipFill>
                  <pic:spPr>
                    <a:xfrm>
                      <a:off x="0" y="0"/>
                      <a:ext cx="5755640" cy="1945640"/>
                    </a:xfrm>
                    <a:prstGeom prst="rect">
                      <a:avLst/>
                    </a:prstGeom>
                  </pic:spPr>
                </pic:pic>
              </a:graphicData>
            </a:graphic>
          </wp:anchor>
        </w:drawing>
      </w:r>
      <w:r>
        <w:rPr>
          <w:rFonts w:hint="eastAsia" w:ascii="宋体" w:hAnsi="宋体"/>
          <w:color w:val="auto"/>
          <w:kern w:val="0"/>
          <w:sz w:val="28"/>
          <w:szCs w:val="28"/>
          <w:highlight w:val="none"/>
          <w:lang w:val="en-US" w:eastAsia="zh-CN"/>
        </w:rPr>
        <w:t>20、输出电压和电流</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kern w:val="0"/>
          <w:sz w:val="28"/>
          <w:szCs w:val="28"/>
          <w:highlight w:val="none"/>
          <w:lang w:val="en-US" w:eastAsia="zh-CN"/>
        </w:rPr>
      </w:pPr>
      <w:r>
        <w:rPr>
          <w:rFonts w:hint="eastAsia" w:ascii="宋体" w:hAnsi="宋体"/>
          <w:color w:val="auto"/>
          <w:kern w:val="0"/>
          <w:sz w:val="28"/>
          <w:szCs w:val="28"/>
          <w:highlight w:val="none"/>
          <w:lang w:val="en-US" w:eastAsia="zh-CN"/>
        </w:rPr>
        <w:t>（1）输出电压和电流符合下列要求：</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kern w:val="0"/>
          <w:sz w:val="28"/>
          <w:szCs w:val="28"/>
          <w:highlight w:val="none"/>
          <w:lang w:val="en-US" w:eastAsia="zh-CN"/>
        </w:rPr>
      </w:pPr>
      <w:r>
        <w:rPr>
          <w:rFonts w:hint="eastAsia" w:ascii="宋体" w:hAnsi="宋体"/>
          <w:color w:val="auto"/>
          <w:kern w:val="0"/>
          <w:sz w:val="28"/>
          <w:szCs w:val="28"/>
          <w:highlight w:val="none"/>
          <w:lang w:val="en-US" w:eastAsia="zh-CN"/>
        </w:rPr>
        <w:t>a）输出电压范围优选值：</w:t>
      </w:r>
      <w:r>
        <w:rPr>
          <w:rFonts w:hint="default" w:ascii="Times New Roman" w:hAnsi="Times New Roman" w:cs="Times New Roman"/>
          <w:color w:val="auto"/>
          <w:kern w:val="0"/>
          <w:sz w:val="28"/>
          <w:szCs w:val="28"/>
          <w:highlight w:val="none"/>
          <w:lang w:val="en-US" w:eastAsia="zh-CN"/>
        </w:rPr>
        <w:t>200V~500V，350V~700V，500V~950V，200V~750V，200V~950V；</w:t>
      </w:r>
    </w:p>
    <w:p>
      <w:pPr>
        <w:pStyle w:val="45"/>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jc w:val="left"/>
        <w:textAlignment w:val="auto"/>
        <w:rPr>
          <w:rFonts w:hint="default" w:ascii="宋体" w:hAnsi="宋体"/>
          <w:color w:val="auto"/>
          <w:kern w:val="0"/>
          <w:sz w:val="28"/>
          <w:szCs w:val="28"/>
          <w:highlight w:val="none"/>
          <w:lang w:val="en-US" w:eastAsia="zh-CN"/>
        </w:rPr>
      </w:pPr>
      <w:r>
        <w:rPr>
          <w:rFonts w:hint="eastAsia" w:ascii="宋体" w:hAnsi="宋体"/>
          <w:color w:val="auto"/>
          <w:kern w:val="0"/>
          <w:sz w:val="28"/>
          <w:szCs w:val="28"/>
          <w:highlight w:val="none"/>
          <w:lang w:val="en-US" w:eastAsia="zh-CN"/>
        </w:rPr>
        <w:t>b）额定输出电流优选值：</w:t>
      </w:r>
      <w:r>
        <w:rPr>
          <w:rFonts w:hint="default" w:ascii="Times New Roman" w:hAnsi="Times New Roman" w:cs="Times New Roman"/>
          <w:color w:val="auto"/>
          <w:kern w:val="0"/>
          <w:sz w:val="28"/>
          <w:szCs w:val="28"/>
          <w:highlight w:val="none"/>
          <w:lang w:val="en-US" w:eastAsia="zh-CN"/>
        </w:rPr>
        <w:t>60A，80A</w:t>
      </w:r>
      <w:r>
        <w:rPr>
          <w:rFonts w:hint="eastAsia"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lang w:val="en-US" w:eastAsia="zh-CN"/>
        </w:rPr>
        <w:t>100A</w:t>
      </w:r>
      <w:r>
        <w:rPr>
          <w:rFonts w:hint="eastAsia"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lang w:val="en-US" w:eastAsia="zh-CN"/>
        </w:rPr>
        <w:t>125A</w:t>
      </w:r>
      <w:r>
        <w:rPr>
          <w:rFonts w:hint="eastAsia"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lang w:val="en-US" w:eastAsia="zh-CN"/>
        </w:rPr>
        <w:t>160A</w:t>
      </w:r>
      <w:r>
        <w:rPr>
          <w:rFonts w:hint="eastAsia"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lang w:val="en-US" w:eastAsia="zh-CN"/>
        </w:rPr>
        <w:t>200A</w:t>
      </w:r>
      <w:r>
        <w:rPr>
          <w:rFonts w:hint="eastAsia"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lang w:val="en-US" w:eastAsia="zh-CN"/>
        </w:rPr>
        <w:t>250A</w:t>
      </w:r>
      <w:r>
        <w:rPr>
          <w:rFonts w:hint="eastAsia"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lang w:val="en-US" w:eastAsia="zh-CN"/>
        </w:rPr>
        <w:t>320A</w:t>
      </w:r>
      <w:r>
        <w:rPr>
          <w:rFonts w:hint="eastAsia"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lang w:val="en-US" w:eastAsia="zh-CN"/>
        </w:rPr>
        <w:t>400A</w:t>
      </w:r>
      <w:r>
        <w:rPr>
          <w:rFonts w:hint="eastAsia" w:ascii="Times New Roman" w:hAnsi="Times New Roman" w:cs="Times New Roman"/>
          <w:color w:val="auto"/>
          <w:kern w:val="0"/>
          <w:sz w:val="28"/>
          <w:szCs w:val="28"/>
          <w:highlight w:val="none"/>
          <w:lang w:val="en-US" w:eastAsia="zh-CN"/>
        </w:rPr>
        <w:t>，</w:t>
      </w:r>
      <w:r>
        <w:rPr>
          <w:rFonts w:hint="default" w:ascii="Times New Roman" w:hAnsi="Times New Roman" w:cs="Times New Roman"/>
          <w:color w:val="auto"/>
          <w:kern w:val="0"/>
          <w:sz w:val="28"/>
          <w:szCs w:val="28"/>
          <w:highlight w:val="none"/>
          <w:lang w:val="en-US" w:eastAsia="zh-CN"/>
        </w:rPr>
        <w:t>500A。</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kern w:val="0"/>
          <w:sz w:val="28"/>
          <w:szCs w:val="28"/>
          <w:highlight w:val="none"/>
          <w:lang w:val="en-US" w:eastAsia="zh-CN"/>
        </w:rPr>
      </w:pPr>
      <w:r>
        <w:rPr>
          <w:rFonts w:hint="eastAsia" w:ascii="宋体" w:hAnsi="宋体"/>
          <w:color w:val="auto"/>
          <w:kern w:val="0"/>
          <w:sz w:val="28"/>
          <w:szCs w:val="28"/>
          <w:highlight w:val="none"/>
          <w:lang w:val="en-US" w:eastAsia="zh-CN"/>
        </w:rPr>
        <w:t>（2）充电机可具备恒功率输出特性，恒功率值的大小和恒功率输出电压范围由运营商和厂家协商一致。</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olor w:val="auto"/>
          <w:sz w:val="28"/>
          <w:szCs w:val="28"/>
          <w:shd w:val="clear" w:color="auto" w:fill="FFFFFF"/>
        </w:rPr>
      </w:pPr>
      <w:r>
        <w:rPr>
          <w:rFonts w:hint="eastAsia" w:ascii="宋体" w:hAnsi="宋体"/>
          <w:color w:val="auto"/>
          <w:kern w:val="0"/>
          <w:sz w:val="28"/>
          <w:szCs w:val="28"/>
          <w:highlight w:val="none"/>
          <w:lang w:val="en-US" w:eastAsia="zh-CN"/>
        </w:rPr>
        <w:t>21</w:t>
      </w:r>
      <w:r>
        <w:rPr>
          <w:rFonts w:hint="eastAsia" w:ascii="宋体" w:hAnsi="宋体"/>
          <w:color w:val="auto"/>
          <w:kern w:val="0"/>
          <w:sz w:val="28"/>
          <w:szCs w:val="28"/>
          <w:highlight w:val="none"/>
        </w:rPr>
        <w:t>、</w:t>
      </w:r>
      <w:r>
        <w:rPr>
          <w:rFonts w:hint="eastAsia" w:ascii="宋体" w:hAnsi="宋体"/>
          <w:color w:val="auto"/>
          <w:sz w:val="28"/>
          <w:szCs w:val="28"/>
          <w:highlight w:val="none"/>
          <w:shd w:val="clear" w:color="auto" w:fill="FFFFFF"/>
        </w:rPr>
        <w:t>非车载充电接口应在结构上防止手轻易触及裸露带电导体。充电连接器在不充电时应放置在</w:t>
      </w:r>
      <w:r>
        <w:rPr>
          <w:rFonts w:hint="eastAsia" w:ascii="宋体" w:hAnsi="宋体"/>
          <w:color w:val="auto"/>
          <w:sz w:val="28"/>
          <w:szCs w:val="28"/>
          <w:shd w:val="clear" w:color="auto" w:fill="FFFFFF"/>
        </w:rPr>
        <w:t>人不轻易触及的位置。对于安装在室外的非车载充电机，充电接口处应采取必要的防雨、防尘措施。</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olor w:val="auto"/>
          <w:sz w:val="28"/>
          <w:szCs w:val="28"/>
          <w:shd w:val="clear" w:color="auto" w:fill="FFFFFF"/>
        </w:rPr>
      </w:pPr>
      <w:r>
        <w:rPr>
          <w:rFonts w:hint="eastAsia" w:ascii="宋体" w:hAnsi="宋体"/>
          <w:color w:val="auto"/>
          <w:sz w:val="28"/>
          <w:szCs w:val="28"/>
          <w:shd w:val="clear" w:color="auto" w:fill="FFFFFF"/>
          <w:lang w:val="en-US" w:eastAsia="zh-CN"/>
        </w:rPr>
        <w:t>22</w:t>
      </w:r>
      <w:r>
        <w:rPr>
          <w:rFonts w:hint="eastAsia" w:ascii="宋体" w:hAnsi="宋体"/>
          <w:color w:val="auto"/>
          <w:sz w:val="28"/>
          <w:szCs w:val="28"/>
          <w:shd w:val="clear" w:color="auto" w:fill="FFFFFF"/>
        </w:rPr>
        <w:t>、非车载充电机的布置与安装应符合下列要求：</w:t>
      </w:r>
      <w:r>
        <w:rPr>
          <w:rFonts w:hint="eastAsia" w:ascii="宋体" w:hAnsi="宋体"/>
          <w:color w:val="auto"/>
          <w:sz w:val="28"/>
          <w:szCs w:val="28"/>
        </w:rPr>
        <w:br w:type="textWrapping"/>
      </w:r>
      <w:r>
        <w:rPr>
          <w:rFonts w:hint="eastAsia" w:ascii="宋体" w:hAnsi="宋体"/>
          <w:color w:val="auto"/>
          <w:sz w:val="28"/>
          <w:szCs w:val="28"/>
          <w:shd w:val="clear" w:color="auto" w:fill="FFFFFF"/>
        </w:rPr>
        <w:t>  </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lang w:val="en-US" w:eastAsia="zh-CN"/>
        </w:rPr>
        <w:t>1</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rPr>
        <w:t>充电机的布置应便于车辆充电，并应缩短充电机输出电缆的长度。</w:t>
      </w:r>
      <w:r>
        <w:rPr>
          <w:rFonts w:hint="eastAsia" w:ascii="宋体" w:hAnsi="宋体"/>
          <w:color w:val="auto"/>
          <w:sz w:val="28"/>
          <w:szCs w:val="28"/>
        </w:rPr>
        <w:br w:type="textWrapping"/>
      </w:r>
      <w:r>
        <w:rPr>
          <w:rFonts w:hint="eastAsia" w:ascii="宋体" w:hAnsi="宋体"/>
          <w:color w:val="auto"/>
          <w:sz w:val="28"/>
          <w:szCs w:val="28"/>
          <w:shd w:val="clear" w:color="auto" w:fill="FFFFFF"/>
        </w:rPr>
        <w:t>  </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lang w:val="en-US" w:eastAsia="zh-CN"/>
        </w:rPr>
        <w:t>2</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rPr>
        <w:t>应采用接线端子与配电系统连接，在电源侧应安装空气开关。</w:t>
      </w:r>
      <w:r>
        <w:rPr>
          <w:rFonts w:hint="eastAsia" w:ascii="宋体" w:hAnsi="宋体"/>
          <w:color w:val="auto"/>
          <w:sz w:val="28"/>
          <w:szCs w:val="28"/>
        </w:rPr>
        <w:br w:type="textWrapping"/>
      </w:r>
      <w:r>
        <w:rPr>
          <w:rFonts w:hint="eastAsia" w:ascii="宋体" w:hAnsi="宋体"/>
          <w:color w:val="auto"/>
          <w:sz w:val="28"/>
          <w:szCs w:val="28"/>
          <w:shd w:val="clear" w:color="auto" w:fill="FFFFFF"/>
        </w:rPr>
        <w:t>  </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lang w:val="en-US" w:eastAsia="zh-CN"/>
        </w:rPr>
        <w:t>3</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rPr>
        <w:t>充电机保护接地端子应可靠接地。</w:t>
      </w:r>
      <w:r>
        <w:rPr>
          <w:rFonts w:hint="eastAsia" w:ascii="宋体" w:hAnsi="宋体"/>
          <w:color w:val="auto"/>
          <w:sz w:val="28"/>
          <w:szCs w:val="28"/>
        </w:rPr>
        <w:br w:type="textWrapping"/>
      </w:r>
      <w:r>
        <w:rPr>
          <w:rFonts w:hint="eastAsia" w:ascii="宋体" w:hAnsi="宋体"/>
          <w:color w:val="auto"/>
          <w:sz w:val="28"/>
          <w:szCs w:val="28"/>
          <w:shd w:val="clear" w:color="auto" w:fill="FFFFFF"/>
        </w:rPr>
        <w:t>  </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lang w:val="en-US" w:eastAsia="zh-CN"/>
        </w:rPr>
        <w:t>4</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rPr>
        <w:t>充电机应垂直安装于与地平面垂直的立面，偏离垂直位置任一方向的误差不应大于5°。</w:t>
      </w:r>
      <w:r>
        <w:rPr>
          <w:rFonts w:hint="eastAsia" w:ascii="宋体" w:hAnsi="宋体"/>
          <w:color w:val="auto"/>
          <w:sz w:val="28"/>
          <w:szCs w:val="28"/>
        </w:rPr>
        <w:br w:type="textWrapping"/>
      </w:r>
      <w:r>
        <w:rPr>
          <w:rFonts w:hint="eastAsia" w:ascii="宋体" w:hAnsi="宋体"/>
          <w:color w:val="auto"/>
          <w:sz w:val="28"/>
          <w:szCs w:val="28"/>
          <w:shd w:val="clear" w:color="auto" w:fill="FFFFFF"/>
        </w:rPr>
        <w:t>  </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lang w:val="en-US" w:eastAsia="zh-CN"/>
        </w:rPr>
        <w:t>5</w:t>
      </w:r>
      <w:r>
        <w:rPr>
          <w:rFonts w:hint="eastAsia" w:ascii="宋体" w:hAnsi="宋体"/>
          <w:color w:val="auto"/>
          <w:sz w:val="28"/>
          <w:szCs w:val="28"/>
          <w:shd w:val="clear" w:color="auto" w:fill="FFFFFF"/>
          <w:lang w:eastAsia="zh-CN"/>
        </w:rPr>
        <w:t>）</w:t>
      </w:r>
      <w:r>
        <w:rPr>
          <w:rFonts w:hint="eastAsia" w:ascii="宋体" w:hAnsi="宋体"/>
          <w:color w:val="auto"/>
          <w:sz w:val="28"/>
          <w:szCs w:val="28"/>
          <w:shd w:val="clear" w:color="auto" w:fill="FFFFFF"/>
        </w:rPr>
        <w:t>室外安装的非车载充电机基础应高出充电站地坪</w:t>
      </w:r>
      <w:r>
        <w:rPr>
          <w:rFonts w:hint="eastAsia"/>
          <w:sz w:val="28"/>
          <w:szCs w:val="28"/>
        </w:rPr>
        <w:t>0</w:t>
      </w:r>
      <w:r>
        <w:rPr>
          <w:rFonts w:hint="eastAsia"/>
          <w:sz w:val="28"/>
          <w:szCs w:val="28"/>
          <w:lang w:val="en-US" w:eastAsia="zh-CN"/>
        </w:rPr>
        <w:t>.</w:t>
      </w:r>
      <w:r>
        <w:rPr>
          <w:rFonts w:hint="eastAsia"/>
          <w:sz w:val="28"/>
          <w:szCs w:val="28"/>
        </w:rPr>
        <w:t>2m</w:t>
      </w:r>
      <w:r>
        <w:rPr>
          <w:rFonts w:hint="eastAsia" w:ascii="宋体" w:hAnsi="宋体"/>
          <w:color w:val="auto"/>
          <w:sz w:val="28"/>
          <w:szCs w:val="28"/>
          <w:shd w:val="clear" w:color="auto" w:fill="FFFFFF"/>
        </w:rPr>
        <w:t>及以上。必要时可在非车载充电机附近设置防撞栏，其高度不应小于</w:t>
      </w:r>
      <w:r>
        <w:rPr>
          <w:rFonts w:hint="eastAsia"/>
          <w:sz w:val="28"/>
          <w:szCs w:val="28"/>
        </w:rPr>
        <w:t>0</w:t>
      </w:r>
      <w:r>
        <w:rPr>
          <w:rFonts w:hint="eastAsia"/>
          <w:sz w:val="28"/>
          <w:szCs w:val="28"/>
          <w:lang w:val="en-US" w:eastAsia="zh-CN"/>
        </w:rPr>
        <w:t>.</w:t>
      </w:r>
      <w:r>
        <w:rPr>
          <w:rFonts w:hint="eastAsia"/>
          <w:sz w:val="28"/>
          <w:szCs w:val="28"/>
        </w:rPr>
        <w:t>8m</w:t>
      </w:r>
      <w:r>
        <w:rPr>
          <w:rFonts w:hint="eastAsia" w:ascii="宋体" w:hAnsi="宋体"/>
          <w:color w:val="auto"/>
          <w:sz w:val="28"/>
          <w:szCs w:val="28"/>
          <w:shd w:val="clear" w:color="auto" w:fill="FFFFFF"/>
        </w:rPr>
        <w:t>。</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olor w:val="auto"/>
          <w:sz w:val="28"/>
          <w:szCs w:val="28"/>
          <w:shd w:val="clear" w:color="auto" w:fill="FFFFFF"/>
        </w:rPr>
      </w:pPr>
      <w:r>
        <w:rPr>
          <w:rFonts w:hint="eastAsia" w:ascii="宋体" w:hAnsi="宋体"/>
          <w:color w:val="auto"/>
          <w:sz w:val="28"/>
          <w:szCs w:val="28"/>
          <w:shd w:val="clear" w:color="auto" w:fill="FFFFFF"/>
          <w:lang w:val="en-US" w:eastAsia="zh-CN"/>
        </w:rPr>
        <w:t>23</w:t>
      </w:r>
      <w:r>
        <w:rPr>
          <w:rFonts w:hint="eastAsia" w:ascii="宋体" w:hAnsi="宋体"/>
          <w:color w:val="auto"/>
          <w:sz w:val="28"/>
          <w:szCs w:val="28"/>
          <w:shd w:val="clear" w:color="auto" w:fill="FFFFFF"/>
        </w:rPr>
        <w:t>、充电站安防监控系统的设计应符合现行国家标准《安全防范工程技术规范》</w:t>
      </w:r>
      <w:r>
        <w:rPr>
          <w:rFonts w:hint="eastAsia"/>
          <w:sz w:val="28"/>
          <w:szCs w:val="28"/>
        </w:rPr>
        <w:t>GB 50348</w:t>
      </w:r>
      <w:r>
        <w:rPr>
          <w:rFonts w:hint="eastAsia" w:ascii="宋体" w:hAnsi="宋体"/>
          <w:color w:val="auto"/>
          <w:sz w:val="28"/>
          <w:szCs w:val="28"/>
          <w:shd w:val="clear" w:color="auto" w:fill="FFFFFF"/>
        </w:rPr>
        <w:t>的有关规定，宜设置视频安防监控系统。</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宋体" w:hAnsi="宋体"/>
          <w:color w:val="auto"/>
          <w:sz w:val="28"/>
          <w:szCs w:val="28"/>
          <w:shd w:val="clear" w:color="auto" w:fill="FFFFFF"/>
        </w:rPr>
      </w:pPr>
      <w:r>
        <w:rPr>
          <w:rFonts w:hint="eastAsia" w:ascii="宋体" w:hAnsi="宋体"/>
          <w:color w:val="auto"/>
          <w:sz w:val="28"/>
          <w:szCs w:val="28"/>
          <w:shd w:val="clear" w:color="auto" w:fill="FFFFFF"/>
          <w:lang w:val="en-US" w:eastAsia="zh-CN"/>
        </w:rPr>
        <w:t>24</w:t>
      </w:r>
      <w:r>
        <w:rPr>
          <w:rFonts w:hint="eastAsia" w:ascii="宋体" w:hAnsi="宋体"/>
          <w:color w:val="auto"/>
          <w:sz w:val="28"/>
          <w:szCs w:val="28"/>
          <w:shd w:val="clear" w:color="auto" w:fill="FFFFFF"/>
        </w:rPr>
        <w:t>、充电站的防雷接地、防静电接地、电气设备的工作接地、保护接地及信息系统的接地宜共用接地装置，接地电阻不应大于</w:t>
      </w:r>
      <w:r>
        <w:rPr>
          <w:rFonts w:hint="eastAsia"/>
          <w:sz w:val="28"/>
          <w:szCs w:val="28"/>
        </w:rPr>
        <w:t>4Ω</w:t>
      </w:r>
      <w:r>
        <w:rPr>
          <w:rFonts w:hint="eastAsia" w:ascii="宋体" w:hAnsi="宋体"/>
          <w:color w:val="auto"/>
          <w:sz w:val="28"/>
          <w:szCs w:val="28"/>
          <w:shd w:val="clear" w:color="auto" w:fill="FFFFFF"/>
        </w:rPr>
        <w:t>。</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sz w:val="28"/>
          <w:szCs w:val="28"/>
          <w:shd w:val="clear" w:color="auto" w:fill="FFFFFF"/>
        </w:rPr>
      </w:pPr>
      <w:r>
        <w:rPr>
          <w:rFonts w:hint="eastAsia" w:ascii="宋体" w:hAnsi="宋体"/>
          <w:color w:val="auto"/>
          <w:sz w:val="28"/>
          <w:szCs w:val="28"/>
          <w:shd w:val="clear" w:color="auto" w:fill="FFFFFF"/>
          <w:lang w:val="en-US" w:eastAsia="zh-CN"/>
        </w:rPr>
        <w:t>25</w:t>
      </w:r>
      <w:r>
        <w:rPr>
          <w:rFonts w:hint="eastAsia" w:ascii="宋体" w:hAnsi="宋体"/>
          <w:color w:val="auto"/>
          <w:sz w:val="28"/>
          <w:szCs w:val="28"/>
          <w:shd w:val="clear" w:color="auto" w:fill="FFFFFF"/>
        </w:rPr>
        <w:t>、室内外照明器的安装位置应便于维修。照明器与带电导体或带电设备间应有足够的安全距离，对工作时有可能损坏灯罩的场所，应采用有保护罩的照明器，金属保护罩应与保护地线可靠连接。</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sz w:val="28"/>
          <w:szCs w:val="28"/>
          <w:shd w:val="clear" w:color="auto" w:fill="FFFFFF"/>
        </w:rPr>
      </w:pPr>
      <w:r>
        <w:rPr>
          <w:rFonts w:hint="eastAsia" w:ascii="宋体" w:hAnsi="宋体"/>
          <w:color w:val="auto"/>
          <w:sz w:val="28"/>
          <w:szCs w:val="28"/>
          <w:shd w:val="clear" w:color="auto" w:fill="FFFFFF"/>
          <w:lang w:val="en-US" w:eastAsia="zh-CN"/>
        </w:rPr>
        <w:t>26、</w:t>
      </w:r>
      <w:r>
        <w:rPr>
          <w:rFonts w:hint="eastAsia" w:ascii="宋体" w:hAnsi="宋体"/>
          <w:color w:val="auto"/>
          <w:sz w:val="28"/>
          <w:szCs w:val="28"/>
          <w:shd w:val="clear" w:color="auto" w:fill="FFFFFF"/>
        </w:rPr>
        <w:t>设备上电之前，务必确认设备是否接地良好，以避免触电造成不必要的事故；</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sz w:val="28"/>
          <w:szCs w:val="28"/>
          <w:shd w:val="clear" w:color="auto" w:fill="FFFFFF"/>
        </w:rPr>
      </w:pPr>
      <w:r>
        <w:rPr>
          <w:rFonts w:hint="eastAsia" w:ascii="宋体" w:hAnsi="宋体"/>
          <w:color w:val="auto"/>
          <w:sz w:val="28"/>
          <w:szCs w:val="28"/>
          <w:shd w:val="clear" w:color="auto" w:fill="FFFFFF"/>
          <w:lang w:val="en-US" w:eastAsia="zh-CN"/>
        </w:rPr>
        <w:t>27、</w:t>
      </w:r>
      <w:r>
        <w:rPr>
          <w:rFonts w:hint="eastAsia" w:ascii="宋体" w:hAnsi="宋体"/>
          <w:color w:val="auto"/>
          <w:sz w:val="28"/>
          <w:szCs w:val="28"/>
          <w:shd w:val="clear" w:color="auto" w:fill="FFFFFF"/>
        </w:rPr>
        <w:t>所有使用的工具其不必要裸露的金属部分应做好绝缘处理，以防裸露的金属部分碰触金属机架，造成短路；</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olor w:val="auto"/>
          <w:sz w:val="28"/>
          <w:szCs w:val="28"/>
          <w:shd w:val="clear" w:color="auto" w:fill="FFFFFF"/>
          <w:lang w:eastAsia="zh-CN"/>
        </w:rPr>
      </w:pPr>
      <w:r>
        <w:rPr>
          <w:rFonts w:hint="eastAsia" w:ascii="宋体" w:hAnsi="宋体"/>
          <w:color w:val="auto"/>
          <w:sz w:val="28"/>
          <w:szCs w:val="28"/>
          <w:shd w:val="clear" w:color="auto" w:fill="FFFFFF"/>
          <w:lang w:val="en-US" w:eastAsia="zh-CN"/>
        </w:rPr>
        <w:t>28、</w:t>
      </w:r>
      <w:r>
        <w:rPr>
          <w:rFonts w:hint="eastAsia" w:ascii="宋体" w:hAnsi="宋体"/>
          <w:color w:val="auto"/>
          <w:sz w:val="28"/>
          <w:szCs w:val="28"/>
          <w:shd w:val="clear" w:color="auto" w:fill="FFFFFF"/>
        </w:rPr>
        <w:t>在任何情况下切勿自行改装、加装和变更任何部件</w:t>
      </w:r>
      <w:r>
        <w:rPr>
          <w:rFonts w:hint="eastAsia" w:ascii="宋体" w:hAnsi="宋体"/>
          <w:color w:val="auto"/>
          <w:sz w:val="28"/>
          <w:szCs w:val="28"/>
          <w:shd w:val="clear" w:color="auto" w:fill="FFFFFF"/>
          <w:lang w:eastAsia="zh-CN"/>
        </w:rPr>
        <w:t>；</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eastAsia="宋体"/>
          <w:color w:val="auto"/>
          <w:sz w:val="28"/>
          <w:szCs w:val="28"/>
          <w:shd w:val="clear" w:color="auto" w:fill="FFFFFF"/>
          <w:lang w:eastAsia="zh-CN"/>
        </w:rPr>
      </w:pPr>
      <w:r>
        <w:rPr>
          <w:rFonts w:hint="eastAsia" w:ascii="宋体" w:hAnsi="宋体"/>
          <w:color w:val="auto"/>
          <w:sz w:val="28"/>
          <w:szCs w:val="28"/>
          <w:shd w:val="clear" w:color="auto" w:fill="FFFFFF"/>
          <w:lang w:val="en-US" w:eastAsia="zh-CN"/>
        </w:rPr>
        <w:t>29、</w:t>
      </w:r>
      <w:r>
        <w:rPr>
          <w:rFonts w:hint="eastAsia" w:ascii="宋体" w:hAnsi="宋体"/>
          <w:color w:val="auto"/>
          <w:sz w:val="28"/>
          <w:szCs w:val="28"/>
          <w:shd w:val="clear" w:color="auto" w:fill="FFFFFF"/>
        </w:rPr>
        <w:t>总控箱的使用环境应尽可能地保持清洁、恒温和恒湿，且不得在有挥发性气体或易燃环境下使用</w:t>
      </w:r>
      <w:r>
        <w:rPr>
          <w:rFonts w:hint="eastAsia" w:ascii="宋体" w:hAnsi="宋体"/>
          <w:color w:val="auto"/>
          <w:sz w:val="28"/>
          <w:szCs w:val="28"/>
          <w:shd w:val="clear" w:color="auto" w:fill="FFFFFF"/>
          <w:lang w:eastAsia="zh-CN"/>
        </w:rPr>
        <w:t>；</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sz w:val="28"/>
          <w:szCs w:val="28"/>
          <w:shd w:val="clear" w:color="auto" w:fill="FFFFFF"/>
          <w:lang w:eastAsia="zh-CN"/>
        </w:rPr>
      </w:pPr>
      <w:r>
        <w:rPr>
          <w:rFonts w:hint="eastAsia" w:ascii="宋体" w:hAnsi="宋体"/>
          <w:color w:val="auto"/>
          <w:sz w:val="28"/>
          <w:szCs w:val="28"/>
          <w:shd w:val="clear" w:color="auto" w:fill="FFFFFF"/>
          <w:lang w:val="en-US" w:eastAsia="zh-CN"/>
        </w:rPr>
        <w:t>30、</w:t>
      </w:r>
      <w:r>
        <w:rPr>
          <w:rFonts w:hint="eastAsia" w:ascii="宋体" w:hAnsi="宋体"/>
          <w:color w:val="auto"/>
          <w:sz w:val="28"/>
          <w:szCs w:val="28"/>
          <w:shd w:val="clear" w:color="auto" w:fill="FFFFFF"/>
        </w:rPr>
        <w:t>设备通电前务必确认输入电压、频率、装置的断路器或熔丝及其它条件都已符合所订规格</w:t>
      </w:r>
      <w:r>
        <w:rPr>
          <w:rFonts w:hint="eastAsia" w:ascii="宋体" w:hAnsi="宋体"/>
          <w:color w:val="auto"/>
          <w:sz w:val="28"/>
          <w:szCs w:val="28"/>
          <w:shd w:val="clear" w:color="auto" w:fill="FFFFFF"/>
          <w:lang w:eastAsia="zh-CN"/>
        </w:rPr>
        <w:t>。</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sz w:val="28"/>
          <w:szCs w:val="28"/>
          <w:shd w:val="clear" w:color="auto" w:fill="FFFFFF"/>
          <w:lang w:eastAsia="zh-CN"/>
        </w:rPr>
      </w:pPr>
      <w:r>
        <w:rPr>
          <w:rFonts w:hint="eastAsia" w:ascii="宋体" w:hAnsi="宋体"/>
          <w:color w:val="auto"/>
          <w:sz w:val="28"/>
          <w:szCs w:val="28"/>
          <w:shd w:val="clear" w:color="auto" w:fill="FFFFFF"/>
          <w:lang w:val="en-US" w:eastAsia="zh-CN"/>
        </w:rPr>
        <w:t>31、</w:t>
      </w:r>
      <w:r>
        <w:rPr>
          <w:rFonts w:hint="eastAsia" w:ascii="宋体" w:hAnsi="宋体"/>
          <w:color w:val="auto"/>
          <w:sz w:val="28"/>
          <w:szCs w:val="28"/>
          <w:shd w:val="clear" w:color="auto" w:fill="FFFFFF"/>
          <w:lang w:eastAsia="zh-CN"/>
        </w:rPr>
        <w:t>充电设施所连接的接地系统应为TN-S系统，并符合接地电阻4Q的要求；</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sz w:val="28"/>
          <w:szCs w:val="28"/>
          <w:shd w:val="clear" w:color="auto" w:fill="FFFFFF"/>
          <w:lang w:eastAsia="zh-CN"/>
        </w:rPr>
      </w:pPr>
      <w:r>
        <w:rPr>
          <w:rFonts w:hint="eastAsia" w:ascii="宋体" w:hAnsi="宋体"/>
          <w:color w:val="auto"/>
          <w:sz w:val="28"/>
          <w:szCs w:val="28"/>
          <w:shd w:val="clear" w:color="auto" w:fill="FFFFFF"/>
          <w:lang w:val="en-US" w:eastAsia="zh-CN"/>
        </w:rPr>
        <w:t>32、</w:t>
      </w:r>
      <w:r>
        <w:rPr>
          <w:rFonts w:hint="eastAsia" w:ascii="宋体" w:hAnsi="宋体"/>
          <w:color w:val="auto"/>
          <w:sz w:val="28"/>
          <w:szCs w:val="28"/>
          <w:shd w:val="clear" w:color="auto" w:fill="FFFFFF"/>
          <w:lang w:eastAsia="zh-CN"/>
        </w:rPr>
        <w:t>充电设施使用场所应保证留有足够的电力接入负荷容量；</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sz w:val="28"/>
          <w:szCs w:val="28"/>
          <w:shd w:val="clear" w:color="auto" w:fill="FFFFFF"/>
          <w:lang w:eastAsia="zh-CN"/>
        </w:rPr>
      </w:pPr>
      <w:r>
        <w:rPr>
          <w:rFonts w:hint="eastAsia" w:ascii="宋体" w:hAnsi="宋体"/>
          <w:color w:val="auto"/>
          <w:sz w:val="28"/>
          <w:szCs w:val="28"/>
          <w:shd w:val="clear" w:color="auto" w:fill="FFFFFF"/>
          <w:lang w:val="en-US" w:eastAsia="zh-CN"/>
        </w:rPr>
        <w:t>33、</w:t>
      </w:r>
      <w:r>
        <w:rPr>
          <w:rFonts w:hint="eastAsia" w:ascii="宋体" w:hAnsi="宋体"/>
          <w:color w:val="auto"/>
          <w:sz w:val="28"/>
          <w:szCs w:val="28"/>
          <w:shd w:val="clear" w:color="auto" w:fill="FFFFFF"/>
          <w:lang w:eastAsia="zh-CN"/>
        </w:rPr>
        <w:t>应选择专业安装人员和有资质的施工单位；</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宋体" w:hAnsi="宋体"/>
          <w:color w:val="auto"/>
          <w:sz w:val="28"/>
          <w:szCs w:val="28"/>
          <w:shd w:val="clear" w:color="auto" w:fill="FFFFFF"/>
          <w:lang w:eastAsia="zh-CN"/>
        </w:rPr>
      </w:pPr>
      <w:r>
        <w:rPr>
          <w:rFonts w:hint="eastAsia" w:ascii="宋体" w:hAnsi="宋体"/>
          <w:color w:val="auto"/>
          <w:sz w:val="28"/>
          <w:szCs w:val="28"/>
          <w:shd w:val="clear" w:color="auto" w:fill="FFFFFF"/>
          <w:lang w:val="en-US" w:eastAsia="zh-CN"/>
        </w:rPr>
        <w:t>34、</w:t>
      </w:r>
      <w:r>
        <w:rPr>
          <w:rFonts w:hint="eastAsia" w:ascii="宋体" w:hAnsi="宋体"/>
          <w:color w:val="auto"/>
          <w:sz w:val="28"/>
          <w:szCs w:val="28"/>
          <w:shd w:val="clear" w:color="auto" w:fill="FFFFFF"/>
          <w:lang w:eastAsia="zh-CN"/>
        </w:rPr>
        <w:t>充电设施安装环境应与充电设施外壳防护等级相匹配，避开潮气、积水、灰尘、爆炸性环境，远离热源以及腐蚀性环境；</w:t>
      </w:r>
    </w:p>
    <w:p>
      <w:pPr>
        <w:pStyle w:val="3"/>
        <w:rPr>
          <w:rFonts w:hint="eastAsia"/>
          <w:color w:val="auto"/>
          <w:lang w:val="en-US" w:eastAsia="zh-CN"/>
        </w:rPr>
      </w:pPr>
      <w:bookmarkStart w:id="126" w:name="_Toc30574"/>
      <w:bookmarkStart w:id="127" w:name="_Toc715"/>
      <w:r>
        <w:rPr>
          <w:rFonts w:hint="eastAsia"/>
          <w:color w:val="auto"/>
          <w:lang w:val="en-US" w:eastAsia="zh-CN"/>
        </w:rPr>
        <w:t>7.3系统工程安全对策措施建议</w:t>
      </w:r>
      <w:bookmarkEnd w:id="126"/>
    </w:p>
    <w:p>
      <w:pPr>
        <w:bidi w:val="0"/>
        <w:rPr>
          <w:rFonts w:hint="default"/>
          <w:color w:val="auto"/>
          <w:lang w:val="en-US" w:eastAsia="zh-CN"/>
        </w:rPr>
      </w:pPr>
      <w:r>
        <w:rPr>
          <w:rFonts w:hint="eastAsia"/>
          <w:color w:val="auto"/>
          <w:lang w:val="en-US" w:eastAsia="zh-CN"/>
        </w:rPr>
        <w:t>1、</w:t>
      </w:r>
      <w:r>
        <w:rPr>
          <w:rFonts w:hint="default"/>
          <w:color w:val="auto"/>
          <w:lang w:val="en-US" w:eastAsia="zh-CN"/>
        </w:rPr>
        <w:t>系统结构应符合下列要求：</w:t>
      </w:r>
      <w:r>
        <w:rPr>
          <w:rFonts w:hint="default"/>
          <w:color w:val="auto"/>
          <w:lang w:val="en-US" w:eastAsia="zh-CN"/>
        </w:rPr>
        <w:br w:type="textWrapping"/>
      </w:r>
      <w:r>
        <w:rPr>
          <w:rFonts w:hint="default"/>
          <w:color w:val="auto"/>
          <w:lang w:val="en-US" w:eastAsia="zh-CN"/>
        </w:rPr>
        <w:t xml:space="preserve">      </w:t>
      </w:r>
      <w:r>
        <w:rPr>
          <w:rFonts w:hint="eastAsia"/>
          <w:color w:val="auto"/>
          <w:lang w:val="en-US" w:eastAsia="zh-CN"/>
        </w:rPr>
        <w:t>（1）</w:t>
      </w:r>
      <w:r>
        <w:rPr>
          <w:rFonts w:hint="default"/>
          <w:color w:val="auto"/>
          <w:lang w:val="en-US" w:eastAsia="zh-CN"/>
        </w:rPr>
        <w:t>充电站监控系统应由站控层、间隔层及网络设备构成，监控系统可按照</w:t>
      </w:r>
      <w:r>
        <w:rPr>
          <w:rFonts w:hint="eastAsia"/>
          <w:color w:val="auto"/>
          <w:lang w:val="en-US" w:eastAsia="zh-CN"/>
        </w:rPr>
        <w:t>GB50966</w:t>
      </w:r>
      <w:r>
        <w:rPr>
          <w:rFonts w:hint="default"/>
          <w:color w:val="auto"/>
          <w:lang w:val="en-US" w:eastAsia="zh-CN"/>
        </w:rPr>
        <w:t>附录A进行结构设计，规模较小的充电站可根据实际需要进行简化。</w:t>
      </w:r>
      <w:r>
        <w:rPr>
          <w:rFonts w:hint="default"/>
          <w:color w:val="auto"/>
          <w:lang w:val="en-US" w:eastAsia="zh-CN"/>
        </w:rPr>
        <w:br w:type="textWrapping"/>
      </w:r>
      <w:r>
        <w:rPr>
          <w:rFonts w:hint="default"/>
          <w:color w:val="auto"/>
          <w:lang w:val="en-US" w:eastAsia="zh-CN"/>
        </w:rPr>
        <w:t xml:space="preserve">      </w:t>
      </w:r>
      <w:r>
        <w:rPr>
          <w:rFonts w:hint="eastAsia"/>
          <w:color w:val="auto"/>
          <w:lang w:val="en-US" w:eastAsia="zh-CN"/>
        </w:rPr>
        <w:t>（2）</w:t>
      </w:r>
      <w:r>
        <w:rPr>
          <w:rFonts w:hint="default"/>
          <w:color w:val="auto"/>
          <w:lang w:val="en-US" w:eastAsia="zh-CN"/>
        </w:rPr>
        <w:t>站控层应实现充电站内运行各系统的人机交互，实现相关信息的收集和实时显示、设备的远方控制以及数据的存储、查询和统计，并可与相关系统通信。</w:t>
      </w:r>
      <w:r>
        <w:rPr>
          <w:rFonts w:hint="default"/>
          <w:color w:val="auto"/>
          <w:lang w:val="en-US" w:eastAsia="zh-CN"/>
        </w:rPr>
        <w:br w:type="textWrapping"/>
      </w:r>
      <w:r>
        <w:rPr>
          <w:rFonts w:hint="default"/>
          <w:color w:val="auto"/>
          <w:lang w:val="en-US" w:eastAsia="zh-CN"/>
        </w:rPr>
        <w:t xml:space="preserve">      </w:t>
      </w:r>
      <w:r>
        <w:rPr>
          <w:rFonts w:hint="eastAsia"/>
          <w:color w:val="auto"/>
          <w:lang w:val="en-US" w:eastAsia="zh-CN"/>
        </w:rPr>
        <w:t>（3）</w:t>
      </w:r>
      <w:r>
        <w:rPr>
          <w:rFonts w:hint="default"/>
          <w:color w:val="auto"/>
          <w:lang w:val="en-US" w:eastAsia="zh-CN"/>
        </w:rPr>
        <w:t>间隔层应能采集设备运行状态及运行数据，实现上传至站控层、接收和执行站控层控制命令的功能。</w:t>
      </w:r>
    </w:p>
    <w:p>
      <w:pPr>
        <w:bidi w:val="0"/>
        <w:rPr>
          <w:rFonts w:hint="eastAsia"/>
          <w:color w:val="auto"/>
          <w:lang w:val="en-US" w:eastAsia="zh-CN"/>
        </w:rPr>
      </w:pPr>
      <w:r>
        <w:rPr>
          <w:rFonts w:hint="eastAsia"/>
          <w:color w:val="auto"/>
          <w:lang w:val="en-US" w:eastAsia="zh-CN"/>
        </w:rPr>
        <w:t>（4）根据充电站的规模和硬件构成可选择配置以下设备：</w:t>
      </w:r>
      <w:r>
        <w:rPr>
          <w:rFonts w:hint="eastAsia"/>
          <w:color w:val="auto"/>
          <w:lang w:val="en-US" w:eastAsia="zh-CN"/>
        </w:rPr>
        <w:br w:type="textWrapping"/>
      </w:r>
      <w:r>
        <w:rPr>
          <w:rFonts w:hint="eastAsia"/>
          <w:color w:val="auto"/>
          <w:lang w:val="en-US" w:eastAsia="zh-CN"/>
        </w:rPr>
        <w:t>     ①站控层设备：服务器、工作站和打印机。</w:t>
      </w:r>
      <w:r>
        <w:rPr>
          <w:rFonts w:hint="eastAsia"/>
          <w:color w:val="auto"/>
          <w:lang w:val="en-US" w:eastAsia="zh-CN"/>
        </w:rPr>
        <w:br w:type="textWrapping"/>
      </w:r>
      <w:r>
        <w:rPr>
          <w:rFonts w:hint="eastAsia"/>
          <w:color w:val="auto"/>
          <w:lang w:val="en-US" w:eastAsia="zh-CN"/>
        </w:rPr>
        <w:t>     ②间隔层设备：充电设备测控单元、供配电设备测控单元和安防终端。</w:t>
      </w:r>
      <w:r>
        <w:rPr>
          <w:rFonts w:hint="eastAsia"/>
          <w:color w:val="auto"/>
          <w:lang w:val="en-US" w:eastAsia="zh-CN"/>
        </w:rPr>
        <w:br w:type="textWrapping"/>
      </w:r>
      <w:r>
        <w:rPr>
          <w:rFonts w:hint="eastAsia"/>
          <w:color w:val="auto"/>
          <w:lang w:val="en-US" w:eastAsia="zh-CN"/>
        </w:rPr>
        <w:t>     ③网络设备：网络交换设备、通信网关、光电转换设备、网络连线、电缆和光缆。</w:t>
      </w:r>
    </w:p>
    <w:p>
      <w:pPr>
        <w:bidi w:val="0"/>
        <w:rPr>
          <w:rFonts w:hint="default"/>
          <w:color w:val="auto"/>
          <w:lang w:val="en-US" w:eastAsia="zh-CN"/>
        </w:rPr>
      </w:pPr>
      <w:r>
        <w:rPr>
          <w:rFonts w:hint="eastAsia"/>
          <w:color w:val="auto"/>
          <w:lang w:val="en-US" w:eastAsia="zh-CN"/>
        </w:rPr>
        <w:t>（5）系统配置应遵循下列原则：</w:t>
      </w:r>
      <w:r>
        <w:rPr>
          <w:rFonts w:hint="eastAsia"/>
          <w:color w:val="auto"/>
          <w:lang w:val="en-US" w:eastAsia="zh-CN"/>
        </w:rPr>
        <w:br w:type="textWrapping"/>
      </w:r>
      <w:r>
        <w:rPr>
          <w:rFonts w:hint="eastAsia"/>
          <w:color w:val="auto"/>
          <w:lang w:val="en-US" w:eastAsia="zh-CN"/>
        </w:rPr>
        <w:t>      ①站控层配置应能满足整个系统的功能要求及性能指标要求，主机容量应与监控系统所控制采集的设计容量相适应，并留有扩充裕度。</w:t>
      </w:r>
      <w:r>
        <w:rPr>
          <w:rFonts w:hint="eastAsia"/>
          <w:color w:val="auto"/>
          <w:lang w:val="en-US" w:eastAsia="zh-CN"/>
        </w:rPr>
        <w:br w:type="textWrapping"/>
      </w:r>
      <w:r>
        <w:rPr>
          <w:rFonts w:hint="eastAsia"/>
          <w:color w:val="auto"/>
          <w:lang w:val="en-US" w:eastAsia="zh-CN"/>
        </w:rPr>
        <w:t>      ②主机系统宜采用单机配置，规模较大的充电站可采用双机冗余配置，热备用运行。</w:t>
      </w:r>
      <w:r>
        <w:rPr>
          <w:rFonts w:hint="eastAsia"/>
          <w:color w:val="auto"/>
          <w:lang w:val="en-US" w:eastAsia="zh-CN"/>
        </w:rPr>
        <w:br w:type="textWrapping"/>
      </w:r>
      <w:r>
        <w:rPr>
          <w:rFonts w:hint="eastAsia"/>
          <w:color w:val="auto"/>
          <w:lang w:val="en-US" w:eastAsia="zh-CN"/>
        </w:rPr>
        <w:t>      ③应设置时钟同步系统，其同步脉冲输出接口及数字接口应满足系统配置要求。</w:t>
      </w:r>
    </w:p>
    <w:p>
      <w:pPr>
        <w:bidi w:val="0"/>
        <w:rPr>
          <w:rFonts w:hint="default"/>
          <w:color w:val="auto"/>
          <w:lang w:val="en-US" w:eastAsia="zh-CN"/>
        </w:rPr>
      </w:pPr>
      <w:r>
        <w:rPr>
          <w:rFonts w:hint="eastAsia"/>
          <w:color w:val="auto"/>
          <w:lang w:val="en-US" w:eastAsia="zh-CN"/>
        </w:rPr>
        <w:t>2、</w:t>
      </w:r>
      <w:r>
        <w:rPr>
          <w:rFonts w:hint="default"/>
          <w:color w:val="auto"/>
          <w:lang w:val="en-US" w:eastAsia="zh-CN"/>
        </w:rPr>
        <w:t>充电监控系统宜具备数据采集、控制调节、数据处理与存储、事件记录、报警处理、设备运行管理、用户管理与权限管理、报表管理与打印、可扩展、对时等功能。</w:t>
      </w:r>
    </w:p>
    <w:p>
      <w:pPr>
        <w:bidi w:val="0"/>
        <w:rPr>
          <w:rFonts w:hint="default"/>
          <w:color w:val="auto"/>
          <w:lang w:val="en-US" w:eastAsia="zh-CN"/>
        </w:rPr>
      </w:pPr>
      <w:r>
        <w:rPr>
          <w:rFonts w:hint="eastAsia"/>
          <w:color w:val="auto"/>
          <w:lang w:val="en-US" w:eastAsia="zh-CN"/>
        </w:rPr>
        <w:t>3、</w:t>
      </w:r>
      <w:r>
        <w:rPr>
          <w:rFonts w:hint="default"/>
          <w:color w:val="auto"/>
          <w:lang w:val="en-US" w:eastAsia="zh-CN"/>
        </w:rPr>
        <w:t> 充电监控系统应具备下列数据采集功能：</w:t>
      </w:r>
      <w:r>
        <w:rPr>
          <w:rFonts w:hint="default"/>
          <w:color w:val="auto"/>
          <w:lang w:val="en-US" w:eastAsia="zh-CN"/>
        </w:rPr>
        <w:br w:type="textWrapping"/>
      </w:r>
      <w:r>
        <w:rPr>
          <w:rFonts w:hint="default"/>
          <w:color w:val="auto"/>
          <w:lang w:val="en-US" w:eastAsia="zh-CN"/>
        </w:rPr>
        <w:t>      采集非车载充电机工作状态、温度、故障信号、功率、电压、电流和电能量。</w:t>
      </w:r>
      <w:r>
        <w:rPr>
          <w:rFonts w:hint="default"/>
          <w:color w:val="auto"/>
          <w:lang w:val="en-US" w:eastAsia="zh-CN"/>
        </w:rPr>
        <w:br w:type="textWrapping"/>
      </w:r>
      <w:r>
        <w:rPr>
          <w:rFonts w:hint="default"/>
          <w:color w:val="auto"/>
          <w:lang w:val="en-US" w:eastAsia="zh-CN"/>
        </w:rPr>
        <w:t xml:space="preserve">    </w:t>
      </w:r>
      <w:r>
        <w:rPr>
          <w:rFonts w:hint="eastAsia"/>
          <w:color w:val="auto"/>
          <w:lang w:val="en-US" w:eastAsia="zh-CN"/>
        </w:rPr>
        <w:t>4、充电监控系统应实现向充电设备下发控制命令、遥控起停、校时、紧急停机、远方设定充电参数等控制调节功能。</w:t>
      </w:r>
    </w:p>
    <w:p>
      <w:pPr>
        <w:bidi w:val="0"/>
        <w:rPr>
          <w:rFonts w:hint="default"/>
          <w:color w:val="auto"/>
          <w:lang w:val="en-US" w:eastAsia="zh-CN"/>
        </w:rPr>
      </w:pPr>
      <w:r>
        <w:rPr>
          <w:rFonts w:hint="eastAsia"/>
          <w:color w:val="auto"/>
          <w:lang w:val="en-US" w:eastAsia="zh-CN"/>
        </w:rPr>
        <w:t>5、充电监控系统应具备下列数据处理与存储功能：</w:t>
      </w:r>
      <w:r>
        <w:rPr>
          <w:rFonts w:hint="eastAsia"/>
          <w:color w:val="auto"/>
          <w:lang w:val="en-US" w:eastAsia="zh-CN"/>
        </w:rPr>
        <w:br w:type="textWrapping"/>
      </w:r>
      <w:r>
        <w:rPr>
          <w:rFonts w:hint="eastAsia"/>
          <w:color w:val="auto"/>
          <w:lang w:val="en-US" w:eastAsia="zh-CN"/>
        </w:rPr>
        <w:t>      （1）充电设备的越限报警、故障统计等数据处理功能。</w:t>
      </w:r>
      <w:r>
        <w:rPr>
          <w:rFonts w:hint="eastAsia"/>
          <w:color w:val="auto"/>
          <w:lang w:val="en-US" w:eastAsia="zh-CN"/>
        </w:rPr>
        <w:br w:type="textWrapping"/>
      </w:r>
      <w:r>
        <w:rPr>
          <w:rFonts w:hint="eastAsia"/>
          <w:color w:val="auto"/>
          <w:lang w:val="en-US" w:eastAsia="zh-CN"/>
        </w:rPr>
        <w:t>      （2）充电过程数据统计等数据处理功能。</w:t>
      </w:r>
      <w:r>
        <w:rPr>
          <w:rFonts w:hint="eastAsia"/>
          <w:color w:val="auto"/>
          <w:lang w:val="en-US" w:eastAsia="zh-CN"/>
        </w:rPr>
        <w:br w:type="textWrapping"/>
      </w:r>
      <w:r>
        <w:rPr>
          <w:rFonts w:hint="eastAsia"/>
          <w:color w:val="auto"/>
          <w:lang w:val="en-US" w:eastAsia="zh-CN"/>
        </w:rPr>
        <w:t>      （3）对充电设备的遥测、遥信、遥控、报警事件等实时数据和历史数据的集中存储和查询功能。</w:t>
      </w:r>
    </w:p>
    <w:p>
      <w:pPr>
        <w:bidi w:val="0"/>
        <w:rPr>
          <w:rFonts w:hint="default"/>
          <w:color w:val="auto"/>
          <w:lang w:val="en-US" w:eastAsia="zh-CN"/>
        </w:rPr>
      </w:pPr>
      <w:r>
        <w:rPr>
          <w:rFonts w:hint="eastAsia"/>
          <w:color w:val="auto"/>
          <w:lang w:val="en-US" w:eastAsia="zh-CN"/>
        </w:rPr>
        <w:t>6、充电监控系统应具备操作、系统故障、充电运行参数异常、动力蓄电池参数异常等事件记录功能。</w:t>
      </w:r>
    </w:p>
    <w:p>
      <w:pPr>
        <w:bidi w:val="0"/>
        <w:rPr>
          <w:rFonts w:hint="default"/>
          <w:color w:val="auto"/>
          <w:lang w:val="en-US" w:eastAsia="zh-CN"/>
        </w:rPr>
      </w:pPr>
      <w:r>
        <w:rPr>
          <w:rFonts w:hint="eastAsia"/>
          <w:color w:val="auto"/>
          <w:lang w:val="en-US" w:eastAsia="zh-CN"/>
        </w:rPr>
        <w:t>7、充电监控系统应提供图形、文字、语音等一种或几种报警方式，并具备相应的报警处理功能。</w:t>
      </w:r>
    </w:p>
    <w:p>
      <w:pPr>
        <w:bidi w:val="0"/>
        <w:rPr>
          <w:rFonts w:hint="eastAsia"/>
          <w:color w:val="auto"/>
          <w:lang w:val="en-US" w:eastAsia="zh-CN"/>
        </w:rPr>
      </w:pPr>
      <w:r>
        <w:rPr>
          <w:rFonts w:hint="eastAsia"/>
          <w:color w:val="auto"/>
          <w:lang w:val="en-US" w:eastAsia="zh-CN"/>
        </w:rPr>
        <w:t>8、 充电监控系统应具备对设备运行的各类参数、运行状况等进行记录、统计和查询的设备运行管理功能。</w:t>
      </w:r>
    </w:p>
    <w:p>
      <w:pPr>
        <w:bidi w:val="0"/>
        <w:rPr>
          <w:rFonts w:hint="default"/>
          <w:color w:val="auto"/>
          <w:lang w:val="en-US" w:eastAsia="zh-CN"/>
        </w:rPr>
      </w:pPr>
      <w:r>
        <w:rPr>
          <w:rFonts w:hint="eastAsia"/>
          <w:color w:val="auto"/>
          <w:lang w:val="en-US" w:eastAsia="zh-CN"/>
        </w:rPr>
        <w:t>9、充电监控系统可根据需要规定操作员对各种业务活动的使用范围和操作权限，实现用户管理和权限管理功能。</w:t>
      </w:r>
    </w:p>
    <w:p>
      <w:pPr>
        <w:bidi w:val="0"/>
        <w:rPr>
          <w:rFonts w:hint="default"/>
          <w:color w:val="auto"/>
          <w:lang w:val="en-US" w:eastAsia="zh-CN"/>
        </w:rPr>
      </w:pPr>
      <w:r>
        <w:rPr>
          <w:rFonts w:hint="eastAsia"/>
          <w:color w:val="auto"/>
          <w:lang w:val="en-US" w:eastAsia="zh-CN"/>
        </w:rPr>
        <w:t>10、充电监控系统可根据用户需要定义各类日报、月报及年报，实现报表管理功能，并实现定时或召唤打印功能。</w:t>
      </w:r>
    </w:p>
    <w:p>
      <w:pPr>
        <w:bidi w:val="0"/>
        <w:rPr>
          <w:rFonts w:hint="default"/>
          <w:color w:val="auto"/>
          <w:lang w:val="en-US" w:eastAsia="zh-CN"/>
        </w:rPr>
      </w:pPr>
      <w:r>
        <w:rPr>
          <w:rFonts w:hint="eastAsia"/>
          <w:color w:val="auto"/>
          <w:lang w:val="en-US" w:eastAsia="zh-CN"/>
        </w:rPr>
        <w:t>11、充电监控系统应具备下列可扩展性：</w:t>
      </w:r>
      <w:r>
        <w:rPr>
          <w:rFonts w:hint="eastAsia"/>
          <w:color w:val="auto"/>
          <w:lang w:val="en-US" w:eastAsia="zh-CN"/>
        </w:rPr>
        <w:br w:type="textWrapping"/>
      </w:r>
      <w:r>
        <w:rPr>
          <w:rFonts w:hint="eastAsia"/>
          <w:color w:val="auto"/>
          <w:lang w:val="en-US" w:eastAsia="zh-CN"/>
        </w:rPr>
        <w:t>        （1）系统应具有较强的兼容性，以完成不同类型充电设备的接入。</w:t>
      </w:r>
      <w:r>
        <w:rPr>
          <w:rFonts w:hint="eastAsia"/>
          <w:color w:val="auto"/>
          <w:lang w:val="en-US" w:eastAsia="zh-CN"/>
        </w:rPr>
        <w:br w:type="textWrapping"/>
      </w:r>
      <w:r>
        <w:rPr>
          <w:rFonts w:hint="eastAsia"/>
          <w:color w:val="auto"/>
          <w:lang w:val="en-US" w:eastAsia="zh-CN"/>
        </w:rPr>
        <w:t>        （2）系统应具有扩展性，以满足充电站规模不断扩容的要求。</w:t>
      </w:r>
    </w:p>
    <w:p>
      <w:pPr>
        <w:bidi w:val="0"/>
        <w:rPr>
          <w:rFonts w:hint="eastAsia"/>
          <w:color w:val="auto"/>
          <w:lang w:val="en-US" w:eastAsia="zh-CN"/>
        </w:rPr>
      </w:pPr>
      <w:r>
        <w:rPr>
          <w:rFonts w:hint="eastAsia"/>
          <w:color w:val="auto"/>
          <w:lang w:val="en-US" w:eastAsia="zh-CN"/>
        </w:rPr>
        <w:t>12、 充电监控系统可以接受时钟同步系统对时，以保证系统时间的一致性。</w:t>
      </w:r>
    </w:p>
    <w:p>
      <w:pPr>
        <w:bidi w:val="0"/>
        <w:rPr>
          <w:rFonts w:hint="default"/>
          <w:color w:val="auto"/>
          <w:lang w:val="en-US" w:eastAsia="zh-CN"/>
        </w:rPr>
      </w:pPr>
      <w:r>
        <w:rPr>
          <w:rFonts w:hint="eastAsia"/>
          <w:color w:val="auto"/>
          <w:lang w:val="en-US" w:eastAsia="zh-CN"/>
        </w:rPr>
        <w:t>13、供电监控系统应采集充电站供电系统的开关状态、保护信号、电压、电流、有功功率、无功功率、功率因数和电能计量信息。</w:t>
      </w:r>
    </w:p>
    <w:p>
      <w:pPr>
        <w:bidi w:val="0"/>
        <w:rPr>
          <w:rFonts w:hint="default"/>
          <w:color w:val="auto"/>
          <w:lang w:val="en-US" w:eastAsia="zh-CN"/>
        </w:rPr>
      </w:pPr>
      <w:r>
        <w:rPr>
          <w:rFonts w:hint="eastAsia"/>
          <w:color w:val="auto"/>
          <w:lang w:val="en-US" w:eastAsia="zh-CN"/>
        </w:rPr>
        <w:t>14、供电监控系统应能控制供电系统负荷开关或断路器的分合。</w:t>
      </w:r>
    </w:p>
    <w:p>
      <w:pPr>
        <w:bidi w:val="0"/>
        <w:rPr>
          <w:rFonts w:hint="default"/>
          <w:color w:val="auto"/>
          <w:lang w:val="en-US" w:eastAsia="zh-CN"/>
        </w:rPr>
      </w:pPr>
      <w:r>
        <w:rPr>
          <w:rFonts w:hint="eastAsia"/>
          <w:color w:val="auto"/>
          <w:lang w:val="en-US" w:eastAsia="zh-CN"/>
        </w:rPr>
        <w:t>15、 充电站安防监控系统的设计应符合现行国家标准《安全防范工程技术规范》GB 50348的有关规定，宜设置视频安防监控系统，并具有入侵报警、出入口控制设计。</w:t>
      </w:r>
    </w:p>
    <w:p>
      <w:pPr>
        <w:bidi w:val="0"/>
        <w:rPr>
          <w:rFonts w:hint="default"/>
          <w:color w:val="auto"/>
          <w:lang w:val="en-US" w:eastAsia="zh-CN"/>
        </w:rPr>
      </w:pPr>
      <w:r>
        <w:rPr>
          <w:rFonts w:hint="eastAsia"/>
          <w:color w:val="auto"/>
          <w:lang w:val="en-US" w:eastAsia="zh-CN"/>
        </w:rPr>
        <w:t>16、视频安防监控系统的设计应符合现行国家标准《视频安防监控系统工程设计规范》GB 50395的有关规定，并符合下列要求：</w:t>
      </w:r>
      <w:r>
        <w:rPr>
          <w:rFonts w:hint="eastAsia"/>
          <w:color w:val="auto"/>
          <w:lang w:val="en-US" w:eastAsia="zh-CN"/>
        </w:rPr>
        <w:br w:type="textWrapping"/>
      </w:r>
      <w:r>
        <w:rPr>
          <w:rFonts w:hint="eastAsia"/>
          <w:color w:val="auto"/>
          <w:lang w:val="en-US" w:eastAsia="zh-CN"/>
        </w:rPr>
        <w:t>      （1）根据安全管理要求，在充电站的充电区和营业窗口宜设置监控摄像机。</w:t>
      </w:r>
      <w:r>
        <w:rPr>
          <w:rFonts w:hint="eastAsia"/>
          <w:color w:val="auto"/>
          <w:lang w:val="en-US" w:eastAsia="zh-CN"/>
        </w:rPr>
        <w:br w:type="textWrapping"/>
      </w:r>
      <w:r>
        <w:rPr>
          <w:rFonts w:hint="eastAsia"/>
          <w:color w:val="auto"/>
          <w:lang w:val="en-US" w:eastAsia="zh-CN"/>
        </w:rPr>
        <w:t>      （2）视频安防监控系统宜具有与消防报警系统的联动接口。</w:t>
      </w:r>
    </w:p>
    <w:p>
      <w:pPr>
        <w:bidi w:val="0"/>
        <w:rPr>
          <w:rFonts w:hint="default"/>
          <w:color w:val="auto"/>
          <w:lang w:val="en-US" w:eastAsia="zh-CN"/>
        </w:rPr>
      </w:pPr>
      <w:r>
        <w:rPr>
          <w:rFonts w:hint="eastAsia"/>
          <w:color w:val="auto"/>
          <w:lang w:val="en-US" w:eastAsia="zh-CN"/>
        </w:rPr>
        <w:t>17、入侵报警系统的设计应符合现行国家标准《入侵报警系统工程设计规范》GB 50394的有关规定。根据充电站的安全管理要求，宜在充电站内的供电区和监控室设置入侵探测器。</w:t>
      </w:r>
    </w:p>
    <w:p>
      <w:pPr>
        <w:bidi w:val="0"/>
        <w:rPr>
          <w:rFonts w:hint="default"/>
          <w:color w:val="auto"/>
          <w:lang w:val="en-US" w:eastAsia="zh-CN"/>
        </w:rPr>
      </w:pPr>
      <w:r>
        <w:rPr>
          <w:rFonts w:hint="eastAsia"/>
          <w:color w:val="auto"/>
          <w:lang w:val="en-US" w:eastAsia="zh-CN"/>
        </w:rPr>
        <w:t>18、充电站出入口控制系统的设计应符合现行国家标准《出入口控制系统工程设计规范》GB 50396的有关规定。根据充电站的安全管理要求，宜在充电站出入口设置出入口控制设备。</w:t>
      </w:r>
    </w:p>
    <w:p>
      <w:pPr>
        <w:bidi w:val="0"/>
        <w:rPr>
          <w:rFonts w:hint="default"/>
          <w:color w:val="auto"/>
          <w:lang w:val="en-US" w:eastAsia="zh-CN"/>
        </w:rPr>
      </w:pPr>
      <w:r>
        <w:rPr>
          <w:rFonts w:hint="eastAsia"/>
          <w:color w:val="auto"/>
          <w:lang w:val="en-US" w:eastAsia="zh-CN"/>
        </w:rPr>
        <w:t>19、安防监控系统可以接受时钟同步系统对时，以保证系统时间的一致性。</w:t>
      </w:r>
    </w:p>
    <w:p>
      <w:pPr>
        <w:bidi w:val="0"/>
        <w:rPr>
          <w:rFonts w:hint="default"/>
          <w:color w:val="auto"/>
          <w:lang w:val="en-US" w:eastAsia="zh-CN"/>
        </w:rPr>
      </w:pPr>
      <w:r>
        <w:rPr>
          <w:rFonts w:hint="eastAsia"/>
          <w:color w:val="auto"/>
          <w:lang w:val="en-US" w:eastAsia="zh-CN"/>
        </w:rPr>
        <w:t>20、 间隔层网络通信结构应采用以太网或CAN网结构连接，部分设备也可采用RS485等串行接口方式连接。</w:t>
      </w:r>
    </w:p>
    <w:p>
      <w:pPr>
        <w:bidi w:val="0"/>
        <w:rPr>
          <w:rFonts w:hint="eastAsia"/>
          <w:color w:val="auto"/>
          <w:lang w:val="en-US" w:eastAsia="zh-CN"/>
        </w:rPr>
      </w:pPr>
      <w:r>
        <w:rPr>
          <w:rFonts w:hint="eastAsia"/>
          <w:color w:val="auto"/>
          <w:lang w:val="en-US" w:eastAsia="zh-CN"/>
        </w:rPr>
        <w:t>21、站控层和间隔层之间以及站控层各主机之间的网络通信结构应采用以太网连接。</w:t>
      </w:r>
    </w:p>
    <w:p>
      <w:pPr>
        <w:bidi w:val="0"/>
        <w:rPr>
          <w:rFonts w:hint="eastAsia"/>
          <w:color w:val="auto"/>
          <w:lang w:val="en-US" w:eastAsia="zh-CN"/>
        </w:rPr>
      </w:pPr>
      <w:r>
        <w:rPr>
          <w:rFonts w:hint="eastAsia"/>
          <w:color w:val="auto"/>
          <w:lang w:val="en-US" w:eastAsia="zh-CN"/>
        </w:rPr>
        <w:t>22、监控系统应预留以太网或无线公网接口，以实现与各类上级监控管理系统的数据交换。</w:t>
      </w:r>
    </w:p>
    <w:p>
      <w:pPr>
        <w:bidi w:val="0"/>
        <w:rPr>
          <w:rFonts w:hint="eastAsia"/>
          <w:color w:val="auto"/>
          <w:lang w:val="en-US" w:eastAsia="zh-CN"/>
        </w:rPr>
      </w:pPr>
      <w:r>
        <w:rPr>
          <w:rFonts w:hint="eastAsia"/>
          <w:color w:val="auto"/>
          <w:lang w:val="en-US" w:eastAsia="zh-CN"/>
        </w:rPr>
        <w:t>23、通信协议的版本应易于扩展。</w:t>
      </w:r>
    </w:p>
    <w:p>
      <w:pPr>
        <w:pStyle w:val="3"/>
        <w:rPr>
          <w:color w:val="auto"/>
        </w:rPr>
      </w:pPr>
      <w:bookmarkStart w:id="128" w:name="_Toc31518"/>
      <w:r>
        <w:rPr>
          <w:rFonts w:hint="eastAsia"/>
          <w:color w:val="auto"/>
        </w:rPr>
        <w:t>7.</w:t>
      </w:r>
      <w:r>
        <w:rPr>
          <w:rFonts w:hint="eastAsia"/>
          <w:color w:val="auto"/>
          <w:lang w:val="en-US" w:eastAsia="zh-CN"/>
        </w:rPr>
        <w:t>4</w:t>
      </w:r>
      <w:r>
        <w:rPr>
          <w:color w:val="auto"/>
        </w:rPr>
        <w:t>公用工程安全对策措施建议</w:t>
      </w:r>
      <w:bookmarkEnd w:id="124"/>
      <w:bookmarkEnd w:id="125"/>
      <w:bookmarkEnd w:id="127"/>
      <w:bookmarkEnd w:id="128"/>
    </w:p>
    <w:p>
      <w:pPr>
        <w:pStyle w:val="4"/>
        <w:keepNext/>
        <w:keepLines/>
        <w:pageBreakBefore w:val="0"/>
        <w:widowControl w:val="0"/>
        <w:kinsoku/>
        <w:wordWrap/>
        <w:overflowPunct/>
        <w:topLinePunct w:val="0"/>
        <w:autoSpaceDE/>
        <w:autoSpaceDN/>
        <w:bidi w:val="0"/>
        <w:adjustRightInd/>
        <w:snapToGrid/>
        <w:spacing w:line="600" w:lineRule="exact"/>
        <w:textAlignment w:val="auto"/>
        <w:rPr>
          <w:color w:val="auto"/>
        </w:rPr>
      </w:pPr>
      <w:bookmarkStart w:id="129" w:name="_Toc27420"/>
      <w:bookmarkStart w:id="130" w:name="_Toc32597"/>
      <w:bookmarkStart w:id="131" w:name="_Toc18418"/>
      <w:bookmarkStart w:id="132" w:name="_Toc28176"/>
      <w:bookmarkStart w:id="133" w:name="_Toc11347"/>
      <w:r>
        <w:rPr>
          <w:color w:val="auto"/>
        </w:rPr>
        <w:t>7.</w:t>
      </w:r>
      <w:r>
        <w:rPr>
          <w:rFonts w:hint="eastAsia"/>
          <w:color w:val="auto"/>
          <w:lang w:val="en-US" w:eastAsia="zh-CN"/>
        </w:rPr>
        <w:t>4</w:t>
      </w:r>
      <w:r>
        <w:rPr>
          <w:color w:val="auto"/>
        </w:rPr>
        <w:t>.1消防设施及给排水</w:t>
      </w:r>
      <w:bookmarkEnd w:id="129"/>
      <w:bookmarkEnd w:id="130"/>
      <w:bookmarkEnd w:id="131"/>
    </w:p>
    <w:p>
      <w:pPr>
        <w:pStyle w:val="45"/>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rPr>
          <w:rStyle w:val="33"/>
          <w:rFonts w:hint="default" w:ascii="宋体" w:hAnsi="宋体"/>
          <w:color w:val="auto"/>
          <w:sz w:val="28"/>
          <w:szCs w:val="28"/>
          <w:shd w:val="clear" w:color="auto" w:fill="FFFFFF"/>
          <w:lang w:val="en-US" w:eastAsia="zh-CN"/>
        </w:rPr>
      </w:pPr>
      <w:r>
        <w:rPr>
          <w:rStyle w:val="33"/>
          <w:rFonts w:hint="eastAsia" w:ascii="宋体" w:hAnsi="宋体"/>
          <w:color w:val="auto"/>
          <w:sz w:val="28"/>
          <w:szCs w:val="28"/>
          <w:shd w:val="clear" w:color="auto" w:fill="FFFFFF"/>
          <w:lang w:val="en-US" w:eastAsia="zh-CN"/>
        </w:rPr>
        <w:t>一、消防设施</w:t>
      </w:r>
    </w:p>
    <w:p>
      <w:pPr>
        <w:pStyle w:val="45"/>
        <w:keepNext w:val="0"/>
        <w:keepLines w:val="0"/>
        <w:pageBreakBefore w:val="0"/>
        <w:widowControl w:val="0"/>
        <w:kinsoku/>
        <w:wordWrap/>
        <w:overflowPunct/>
        <w:topLinePunct w:val="0"/>
        <w:autoSpaceDE/>
        <w:autoSpaceDN/>
        <w:bidi w:val="0"/>
        <w:adjustRightInd/>
        <w:snapToGrid/>
        <w:spacing w:line="600" w:lineRule="exact"/>
        <w:ind w:firstLine="562" w:firstLineChars="200"/>
        <w:textAlignment w:val="auto"/>
        <w:rPr>
          <w:rStyle w:val="33"/>
          <w:rFonts w:hint="eastAsia" w:ascii="宋体" w:hAnsi="宋体" w:eastAsia="宋体" w:cs="宋体"/>
          <w:color w:val="auto"/>
          <w:sz w:val="28"/>
          <w:szCs w:val="28"/>
          <w:shd w:val="clear" w:color="auto" w:fill="FFFFFF"/>
          <w:lang w:val="en-US" w:eastAsia="zh-CN"/>
        </w:rPr>
      </w:pPr>
      <w:r>
        <w:rPr>
          <w:rStyle w:val="33"/>
          <w:rFonts w:hint="eastAsia" w:ascii="宋体" w:hAnsi="宋体" w:eastAsia="宋体" w:cs="宋体"/>
          <w:color w:val="auto"/>
          <w:sz w:val="28"/>
          <w:szCs w:val="28"/>
          <w:shd w:val="clear" w:color="auto" w:fill="FFFFFF"/>
          <w:lang w:val="en-US" w:eastAsia="zh-CN"/>
        </w:rPr>
        <w:t> </w:t>
      </w:r>
      <w:r>
        <w:rPr>
          <w:rStyle w:val="33"/>
          <w:rFonts w:hint="eastAsia" w:ascii="宋体" w:hAnsi="宋体" w:cs="宋体"/>
          <w:color w:val="auto"/>
          <w:sz w:val="28"/>
          <w:szCs w:val="28"/>
          <w:shd w:val="clear" w:color="auto" w:fill="FFFFFF"/>
          <w:lang w:val="en-US" w:eastAsia="zh-CN"/>
        </w:rPr>
        <w:t>1、</w:t>
      </w:r>
      <w:r>
        <w:rPr>
          <w:rStyle w:val="33"/>
          <w:rFonts w:hint="eastAsia" w:ascii="宋体" w:hAnsi="宋体" w:eastAsia="宋体" w:cs="宋体"/>
          <w:color w:val="auto"/>
          <w:sz w:val="28"/>
          <w:szCs w:val="28"/>
          <w:shd w:val="clear" w:color="auto" w:fill="FFFFFF"/>
          <w:lang w:val="en-US" w:eastAsia="zh-CN"/>
        </w:rPr>
        <w:t>电动汽车充电站内的建筑物满足耐火等级低于二级、体积大于3000m</w:t>
      </w:r>
      <w:r>
        <w:rPr>
          <w:rStyle w:val="33"/>
          <w:rFonts w:hint="eastAsia" w:ascii="宋体" w:hAnsi="宋体" w:eastAsia="宋体" w:cs="宋体"/>
          <w:color w:val="auto"/>
          <w:sz w:val="28"/>
          <w:szCs w:val="28"/>
          <w:shd w:val="clear" w:color="auto" w:fill="FFFFFF"/>
          <w:vertAlign w:val="superscript"/>
          <w:lang w:val="en-US" w:eastAsia="zh-CN"/>
        </w:rPr>
        <w:t>3</w:t>
      </w:r>
      <w:r>
        <w:rPr>
          <w:rStyle w:val="33"/>
          <w:rFonts w:hint="eastAsia" w:ascii="宋体" w:hAnsi="宋体" w:eastAsia="宋体" w:cs="宋体"/>
          <w:color w:val="auto"/>
          <w:sz w:val="28"/>
          <w:szCs w:val="28"/>
          <w:shd w:val="clear" w:color="auto" w:fill="FFFFFF"/>
          <w:lang w:val="en-US" w:eastAsia="zh-CN"/>
        </w:rPr>
        <w:t>且火灾危险性为非戊类的，充电站应设置消防给水系统。消防水源应有可靠的保证。</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Style w:val="33"/>
          <w:rFonts w:hint="default" w:ascii="宋体" w:hAnsi="宋体" w:eastAsia="宋体" w:cs="宋体"/>
          <w:b w:val="0"/>
          <w:bCs w:val="0"/>
          <w:color w:val="auto"/>
          <w:sz w:val="28"/>
          <w:szCs w:val="28"/>
          <w:shd w:val="clear" w:color="auto" w:fill="FFFFFF"/>
          <w:lang w:val="en-US" w:eastAsia="zh-CN"/>
        </w:rPr>
      </w:pPr>
      <w:r>
        <w:rPr>
          <w:rStyle w:val="33"/>
          <w:rFonts w:hint="eastAsia" w:ascii="宋体" w:hAnsi="宋体" w:cs="宋体"/>
          <w:b w:val="0"/>
          <w:bCs w:val="0"/>
          <w:color w:val="auto"/>
          <w:sz w:val="28"/>
          <w:szCs w:val="28"/>
          <w:shd w:val="clear" w:color="auto" w:fill="FFFFFF"/>
          <w:lang w:val="en-US" w:eastAsia="zh-CN"/>
        </w:rPr>
        <w:t>2、电动汽车充电站消防给水系统的设计应符合现行国家标准《建筑设计防火规范》GB 50016的有关规定，同一时间内的火灾次数应按一次确定。</w:t>
      </w:r>
    </w:p>
    <w:p>
      <w:pPr>
        <w:pStyle w:val="45"/>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color w:val="auto"/>
          <w:sz w:val="28"/>
          <w:szCs w:val="28"/>
          <w:lang w:val="en-US" w:eastAsia="zh-CN"/>
        </w:rPr>
      </w:pPr>
      <w:r>
        <w:rPr>
          <w:rStyle w:val="33"/>
          <w:rFonts w:hint="eastAsia" w:ascii="宋体" w:hAnsi="宋体" w:cs="宋体"/>
          <w:b w:val="0"/>
          <w:bCs w:val="0"/>
          <w:color w:val="auto"/>
          <w:sz w:val="28"/>
          <w:szCs w:val="28"/>
          <w:shd w:val="clear" w:color="auto" w:fill="FFFFFF"/>
          <w:lang w:val="en-US" w:eastAsia="zh-CN"/>
        </w:rPr>
        <w:t>3、</w:t>
      </w:r>
      <w:r>
        <w:rPr>
          <w:rFonts w:hint="eastAsia"/>
          <w:color w:val="auto"/>
          <w:sz w:val="28"/>
          <w:szCs w:val="28"/>
          <w:lang w:val="en-US" w:eastAsia="zh-CN"/>
        </w:rPr>
        <w:t> 电动汽车充电站内的建筑物满足下列条件时可不设置室内消火栓：</w:t>
      </w:r>
      <w:r>
        <w:rPr>
          <w:rFonts w:hint="eastAsia"/>
          <w:color w:val="auto"/>
          <w:sz w:val="28"/>
          <w:szCs w:val="28"/>
          <w:lang w:val="en-US" w:eastAsia="zh-CN"/>
        </w:rPr>
        <w:br w:type="textWrapping"/>
      </w:r>
      <w:r>
        <w:rPr>
          <w:rFonts w:hint="eastAsia"/>
          <w:color w:val="auto"/>
          <w:sz w:val="28"/>
          <w:szCs w:val="28"/>
          <w:lang w:val="en-US" w:eastAsia="zh-CN"/>
        </w:rPr>
        <w:t>        （1）耐火等级为一、二级且可燃物较少的丁、戊类建筑物。</w:t>
      </w:r>
      <w:r>
        <w:rPr>
          <w:rFonts w:hint="eastAsia"/>
          <w:color w:val="auto"/>
          <w:sz w:val="28"/>
          <w:szCs w:val="28"/>
          <w:lang w:val="en-US" w:eastAsia="zh-CN"/>
        </w:rPr>
        <w:br w:type="textWrapping"/>
      </w:r>
      <w:r>
        <w:rPr>
          <w:rFonts w:hint="eastAsia"/>
          <w:color w:val="auto"/>
          <w:sz w:val="28"/>
          <w:szCs w:val="28"/>
          <w:lang w:val="en-US" w:eastAsia="zh-CN"/>
        </w:rPr>
        <w:t>        （2）耐火等级为三、四级且建筑物体积不超过3000m</w:t>
      </w:r>
      <w:r>
        <w:rPr>
          <w:rFonts w:hint="eastAsia"/>
          <w:color w:val="auto"/>
          <w:sz w:val="28"/>
          <w:szCs w:val="28"/>
          <w:vertAlign w:val="superscript"/>
          <w:lang w:val="en-US" w:eastAsia="zh-CN"/>
        </w:rPr>
        <w:t>3</w:t>
      </w:r>
      <w:r>
        <w:rPr>
          <w:rFonts w:hint="eastAsia"/>
          <w:color w:val="auto"/>
          <w:sz w:val="28"/>
          <w:szCs w:val="28"/>
          <w:lang w:val="en-US" w:eastAsia="zh-CN"/>
        </w:rPr>
        <w:t>的丁类建筑物和建筑物体积不超过5000m</w:t>
      </w:r>
      <w:r>
        <w:rPr>
          <w:rFonts w:hint="eastAsia"/>
          <w:color w:val="auto"/>
          <w:sz w:val="28"/>
          <w:szCs w:val="28"/>
          <w:vertAlign w:val="superscript"/>
          <w:lang w:val="en-US" w:eastAsia="zh-CN"/>
        </w:rPr>
        <w:t>3</w:t>
      </w:r>
      <w:r>
        <w:rPr>
          <w:rFonts w:hint="eastAsia"/>
          <w:color w:val="auto"/>
          <w:sz w:val="28"/>
          <w:szCs w:val="28"/>
          <w:lang w:val="en-US" w:eastAsia="zh-CN"/>
        </w:rPr>
        <w:t>的戊类建筑物。</w:t>
      </w:r>
      <w:r>
        <w:rPr>
          <w:rFonts w:hint="eastAsia"/>
          <w:color w:val="auto"/>
          <w:sz w:val="28"/>
          <w:szCs w:val="28"/>
          <w:lang w:val="en-US" w:eastAsia="zh-CN"/>
        </w:rPr>
        <w:br w:type="textWrapping"/>
      </w:r>
      <w:r>
        <w:rPr>
          <w:rFonts w:hint="eastAsia"/>
          <w:color w:val="auto"/>
          <w:sz w:val="28"/>
          <w:szCs w:val="28"/>
          <w:lang w:val="en-US" w:eastAsia="zh-CN"/>
        </w:rPr>
        <w:t>        （3）室内没有生产、生活给水管道，室外消防用水取自贮水池且建筑物体积不超过5000m</w:t>
      </w:r>
      <w:r>
        <w:rPr>
          <w:rFonts w:hint="eastAsia"/>
          <w:color w:val="auto"/>
          <w:sz w:val="28"/>
          <w:szCs w:val="28"/>
          <w:vertAlign w:val="superscript"/>
          <w:lang w:val="en-US" w:eastAsia="zh-CN"/>
        </w:rPr>
        <w:t>3</w:t>
      </w:r>
      <w:r>
        <w:rPr>
          <w:rFonts w:hint="eastAsia"/>
          <w:color w:val="auto"/>
          <w:sz w:val="28"/>
          <w:szCs w:val="28"/>
          <w:lang w:val="en-US" w:eastAsia="zh-CN"/>
        </w:rPr>
        <w:t>的建筑物。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textAlignment w:val="auto"/>
        <w:rPr>
          <w:rStyle w:val="33"/>
          <w:rFonts w:hint="eastAsia" w:ascii="宋体" w:hAnsi="宋体" w:eastAsia="宋体" w:cs="宋体"/>
          <w:color w:val="auto"/>
          <w:sz w:val="28"/>
          <w:szCs w:val="28"/>
          <w:shd w:val="clear" w:color="auto" w:fill="FFFFFF"/>
          <w:lang w:eastAsia="zh-CN"/>
        </w:rPr>
      </w:pPr>
      <w:r>
        <w:rPr>
          <w:rStyle w:val="33"/>
          <w:rFonts w:hint="eastAsia" w:ascii="宋体" w:hAnsi="宋体" w:cs="宋体"/>
          <w:color w:val="auto"/>
          <w:sz w:val="28"/>
          <w:szCs w:val="28"/>
          <w:shd w:val="clear" w:color="auto" w:fill="FFFFFF"/>
          <w:lang w:val="en-US" w:eastAsia="zh-CN"/>
        </w:rPr>
        <w:t>4</w:t>
      </w:r>
      <w:r>
        <w:rPr>
          <w:rStyle w:val="33"/>
          <w:rFonts w:hint="eastAsia" w:ascii="宋体" w:hAnsi="宋体" w:eastAsia="宋体" w:cs="宋体"/>
          <w:color w:val="auto"/>
          <w:sz w:val="28"/>
          <w:szCs w:val="28"/>
          <w:shd w:val="clear" w:color="auto" w:fill="FFFFFF"/>
          <w:lang w:val="en-US" w:eastAsia="zh-CN"/>
        </w:rPr>
        <w:t>、 电动汽车充电站建筑物灭火器的配置应符合现行国家标准《建筑灭火器配置设计规范》GB 50140的有关规定。</w:t>
      </w:r>
      <w:r>
        <w:rPr>
          <w:rStyle w:val="33"/>
          <w:rFonts w:hint="eastAsia" w:ascii="宋体" w:hAnsi="宋体" w:eastAsia="宋体" w:cs="宋体"/>
          <w:color w:val="auto"/>
          <w:sz w:val="28"/>
          <w:szCs w:val="28"/>
          <w:shd w:val="clear" w:color="auto" w:fill="FFFFFF"/>
          <w:lang w:eastAsia="zh-CN"/>
        </w:rPr>
        <w:t>室外充电区灭火器的配置应符合下列要求：</w:t>
      </w:r>
      <w:r>
        <w:rPr>
          <w:rFonts w:hint="eastAsia" w:ascii="宋体" w:hAnsi="宋体" w:eastAsia="宋体" w:cs="宋体"/>
          <w:b/>
          <w:bCs/>
          <w:color w:val="auto"/>
          <w:sz w:val="28"/>
          <w:szCs w:val="28"/>
          <w:shd w:val="clear" w:color="auto" w:fill="FFFFFF"/>
        </w:rPr>
        <w:br w:type="textWrapping"/>
      </w:r>
      <w:r>
        <w:rPr>
          <w:rStyle w:val="33"/>
          <w:rFonts w:hint="eastAsia" w:ascii="宋体" w:hAnsi="宋体" w:eastAsia="宋体" w:cs="宋体"/>
          <w:color w:val="auto"/>
          <w:sz w:val="28"/>
          <w:szCs w:val="28"/>
          <w:shd w:val="clear" w:color="auto" w:fill="FFFFFF"/>
          <w:lang w:eastAsia="zh-CN"/>
        </w:rPr>
        <w:t>  充电站应按严重危险级配置灭火器。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eastAsia="宋体" w:cs="宋体"/>
          <w:b w:val="0"/>
          <w:bCs w:val="0"/>
          <w:color w:val="auto"/>
          <w:sz w:val="28"/>
          <w:szCs w:val="28"/>
          <w:shd w:val="clear" w:color="auto" w:fill="FFFFFF"/>
          <w:lang w:eastAsia="zh-CN"/>
        </w:rPr>
      </w:pPr>
      <w:r>
        <w:rPr>
          <w:rStyle w:val="33"/>
          <w:rFonts w:hint="eastAsia" w:ascii="宋体" w:hAnsi="宋体" w:cs="宋体"/>
          <w:b w:val="0"/>
          <w:bCs w:val="0"/>
          <w:color w:val="auto"/>
          <w:sz w:val="28"/>
          <w:szCs w:val="28"/>
          <w:shd w:val="clear" w:color="auto" w:fill="FFFFFF"/>
          <w:lang w:val="en-US" w:eastAsia="zh-CN"/>
        </w:rPr>
        <w:t>5、</w:t>
      </w:r>
      <w:r>
        <w:rPr>
          <w:rStyle w:val="33"/>
          <w:rFonts w:hint="eastAsia" w:ascii="宋体" w:hAnsi="宋体" w:eastAsia="宋体" w:cs="宋体"/>
          <w:b w:val="0"/>
          <w:bCs w:val="0"/>
          <w:color w:val="auto"/>
          <w:sz w:val="28"/>
          <w:szCs w:val="28"/>
          <w:shd w:val="clear" w:color="auto" w:fill="FFFFFF"/>
          <w:lang w:eastAsia="zh-CN"/>
        </w:rPr>
        <w:t>充电区域灭火器的配置应按严重危险级配置灭火器，并符合下列规定：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eastAsia="宋体" w:cs="宋体"/>
          <w:b w:val="0"/>
          <w:bCs w:val="0"/>
          <w:color w:val="auto"/>
          <w:sz w:val="28"/>
          <w:szCs w:val="28"/>
          <w:shd w:val="clear" w:color="auto" w:fill="FFFFFF"/>
          <w:lang w:eastAsia="zh-CN"/>
        </w:rPr>
      </w:pPr>
      <w:r>
        <w:rPr>
          <w:rStyle w:val="33"/>
          <w:rFonts w:hint="eastAsia" w:ascii="宋体" w:hAnsi="宋体" w:eastAsia="宋体" w:cs="宋体"/>
          <w:b w:val="0"/>
          <w:bCs w:val="0"/>
          <w:color w:val="auto"/>
          <w:sz w:val="28"/>
          <w:szCs w:val="28"/>
          <w:shd w:val="clear" w:color="auto" w:fill="FFFFFF"/>
          <w:lang w:eastAsia="zh-CN"/>
        </w:rPr>
        <w:t>a) 灭火器宜采用水基型手提式灭火器；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eastAsia="宋体" w:cs="宋体"/>
          <w:b w:val="0"/>
          <w:bCs w:val="0"/>
          <w:color w:val="auto"/>
          <w:sz w:val="28"/>
          <w:szCs w:val="28"/>
          <w:shd w:val="clear" w:color="auto" w:fill="FFFFFF"/>
          <w:lang w:eastAsia="zh-CN"/>
        </w:rPr>
      </w:pPr>
      <w:r>
        <w:rPr>
          <w:rStyle w:val="33"/>
          <w:rFonts w:hint="eastAsia" w:ascii="宋体" w:hAnsi="宋体" w:eastAsia="宋体" w:cs="宋体"/>
          <w:b w:val="0"/>
          <w:bCs w:val="0"/>
          <w:color w:val="auto"/>
          <w:sz w:val="28"/>
          <w:szCs w:val="28"/>
          <w:shd w:val="clear" w:color="auto" w:fill="FFFFFF"/>
          <w:lang w:eastAsia="zh-CN"/>
        </w:rPr>
        <w:t>b) 在充电基础设施附近，宜增加配置灭火剂充装量不小于60L的推车式水基型灭火器或推车式水喷雾灭火器，推车式灭火器最大保护距离应为 15m。</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eastAsia="宋体" w:cs="宋体"/>
          <w:b w:val="0"/>
          <w:bCs w:val="0"/>
          <w:color w:val="auto"/>
          <w:sz w:val="28"/>
          <w:szCs w:val="28"/>
          <w:shd w:val="clear" w:color="auto" w:fill="FFFFFF"/>
          <w:lang w:eastAsia="zh-CN"/>
        </w:rPr>
      </w:pPr>
      <w:r>
        <w:rPr>
          <w:rStyle w:val="33"/>
          <w:rFonts w:hint="eastAsia" w:ascii="宋体" w:hAnsi="宋体" w:cs="宋体"/>
          <w:b w:val="0"/>
          <w:bCs w:val="0"/>
          <w:color w:val="auto"/>
          <w:sz w:val="28"/>
          <w:szCs w:val="28"/>
          <w:shd w:val="clear" w:color="auto" w:fill="FFFFFF"/>
          <w:lang w:val="en-US" w:eastAsia="zh-CN"/>
        </w:rPr>
        <w:t>c）</w:t>
      </w:r>
      <w:r>
        <w:rPr>
          <w:rStyle w:val="33"/>
          <w:rFonts w:hint="eastAsia" w:ascii="宋体" w:hAnsi="宋体" w:eastAsia="宋体" w:cs="宋体"/>
          <w:b w:val="0"/>
          <w:bCs w:val="0"/>
          <w:color w:val="auto"/>
          <w:sz w:val="28"/>
          <w:szCs w:val="28"/>
          <w:shd w:val="clear" w:color="auto" w:fill="FFFFFF"/>
          <w:lang w:eastAsia="zh-CN"/>
        </w:rPr>
        <w:t>充电区面积达到500m</w:t>
      </w:r>
      <w:r>
        <w:rPr>
          <w:rStyle w:val="33"/>
          <w:rFonts w:hint="eastAsia" w:ascii="宋体" w:hAnsi="宋体" w:cs="宋体"/>
          <w:b w:val="0"/>
          <w:bCs w:val="0"/>
          <w:color w:val="auto"/>
          <w:sz w:val="28"/>
          <w:szCs w:val="28"/>
          <w:shd w:val="clear" w:color="auto" w:fill="FFFFFF"/>
          <w:vertAlign w:val="superscript"/>
          <w:lang w:val="en-US" w:eastAsia="zh-CN"/>
        </w:rPr>
        <w:t>2</w:t>
      </w:r>
      <w:r>
        <w:rPr>
          <w:rStyle w:val="33"/>
          <w:rFonts w:hint="eastAsia" w:ascii="宋体" w:hAnsi="宋体" w:eastAsia="宋体" w:cs="宋体"/>
          <w:b w:val="0"/>
          <w:bCs w:val="0"/>
          <w:color w:val="auto"/>
          <w:sz w:val="28"/>
          <w:szCs w:val="28"/>
          <w:shd w:val="clear" w:color="auto" w:fill="FFFFFF"/>
          <w:lang w:eastAsia="zh-CN"/>
        </w:rPr>
        <w:t>以上，宜配置30L推车式灭火器2个</w:t>
      </w:r>
      <w:r>
        <w:rPr>
          <w:rStyle w:val="33"/>
          <w:rFonts w:hint="eastAsia" w:ascii="宋体" w:hAnsi="宋体" w:cs="宋体"/>
          <w:b w:val="0"/>
          <w:bCs w:val="0"/>
          <w:color w:val="auto"/>
          <w:sz w:val="28"/>
          <w:szCs w:val="28"/>
          <w:shd w:val="clear" w:color="auto" w:fill="FFFFFF"/>
          <w:lang w:eastAsia="zh-CN"/>
        </w:rPr>
        <w:t>；</w:t>
      </w:r>
      <w:r>
        <w:rPr>
          <w:rStyle w:val="33"/>
          <w:rFonts w:hint="eastAsia" w:ascii="宋体" w:hAnsi="宋体" w:eastAsia="宋体" w:cs="宋体"/>
          <w:b w:val="0"/>
          <w:bCs w:val="0"/>
          <w:color w:val="auto"/>
          <w:sz w:val="28"/>
          <w:szCs w:val="28"/>
          <w:shd w:val="clear" w:color="auto" w:fill="FFFFFF"/>
          <w:lang w:eastAsia="zh-CN"/>
        </w:rPr>
        <w:t>每增加500m</w:t>
      </w:r>
      <w:r>
        <w:rPr>
          <w:rStyle w:val="33"/>
          <w:rFonts w:hint="eastAsia" w:ascii="宋体" w:hAnsi="宋体" w:cs="宋体"/>
          <w:b w:val="0"/>
          <w:bCs w:val="0"/>
          <w:color w:val="auto"/>
          <w:sz w:val="28"/>
          <w:szCs w:val="28"/>
          <w:shd w:val="clear" w:color="auto" w:fill="FFFFFF"/>
          <w:vertAlign w:val="superscript"/>
          <w:lang w:val="en-US" w:eastAsia="zh-CN"/>
        </w:rPr>
        <w:t>2</w:t>
      </w:r>
      <w:r>
        <w:rPr>
          <w:rStyle w:val="33"/>
          <w:rFonts w:hint="eastAsia" w:ascii="宋体" w:hAnsi="宋体" w:eastAsia="宋体" w:cs="宋体"/>
          <w:b w:val="0"/>
          <w:bCs w:val="0"/>
          <w:color w:val="auto"/>
          <w:sz w:val="28"/>
          <w:szCs w:val="28"/>
          <w:shd w:val="clear" w:color="auto" w:fill="FFFFFF"/>
          <w:lang w:eastAsia="zh-CN"/>
        </w:rPr>
        <w:t>可增加30L推车式灭火器 2个，(依此类推</w:t>
      </w:r>
      <w:r>
        <w:rPr>
          <w:rStyle w:val="33"/>
          <w:rFonts w:hint="eastAsia" w:ascii="宋体" w:hAnsi="宋体" w:cs="宋体"/>
          <w:b w:val="0"/>
          <w:bCs w:val="0"/>
          <w:color w:val="auto"/>
          <w:sz w:val="28"/>
          <w:szCs w:val="28"/>
          <w:shd w:val="clear" w:color="auto" w:fill="FFFFFF"/>
          <w:lang w:eastAsia="zh-CN"/>
        </w:rPr>
        <w:t>）</w:t>
      </w:r>
      <w:r>
        <w:rPr>
          <w:rStyle w:val="33"/>
          <w:rFonts w:hint="eastAsia" w:ascii="宋体" w:hAnsi="宋体" w:eastAsia="宋体" w:cs="宋体"/>
          <w:b w:val="0"/>
          <w:bCs w:val="0"/>
          <w:color w:val="auto"/>
          <w:sz w:val="28"/>
          <w:szCs w:val="28"/>
          <w:shd w:val="clear" w:color="auto" w:fill="FFFFFF"/>
          <w:lang w:eastAsia="zh-CN"/>
        </w:rPr>
        <w:t>超出面积向上取整计算。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eastAsia="宋体" w:cs="宋体"/>
          <w:b w:val="0"/>
          <w:bCs w:val="0"/>
          <w:color w:val="auto"/>
          <w:sz w:val="28"/>
          <w:szCs w:val="28"/>
          <w:shd w:val="clear" w:color="auto" w:fill="FFFFFF"/>
          <w:lang w:eastAsia="zh-CN"/>
        </w:rPr>
      </w:pPr>
      <w:r>
        <w:rPr>
          <w:rStyle w:val="33"/>
          <w:rFonts w:hint="eastAsia" w:ascii="宋体" w:hAnsi="宋体" w:cs="宋体"/>
          <w:b w:val="0"/>
          <w:bCs w:val="0"/>
          <w:color w:val="auto"/>
          <w:sz w:val="28"/>
          <w:szCs w:val="28"/>
          <w:shd w:val="clear" w:color="auto" w:fill="FFFFFF"/>
          <w:lang w:val="en-US" w:eastAsia="zh-CN"/>
        </w:rPr>
        <w:t>d）</w:t>
      </w:r>
      <w:r>
        <w:rPr>
          <w:rStyle w:val="33"/>
          <w:rFonts w:hint="eastAsia" w:ascii="宋体" w:hAnsi="宋体" w:eastAsia="宋体" w:cs="宋体"/>
          <w:b w:val="0"/>
          <w:bCs w:val="0"/>
          <w:color w:val="auto"/>
          <w:sz w:val="28"/>
          <w:szCs w:val="28"/>
          <w:shd w:val="clear" w:color="auto" w:fill="FFFFFF"/>
          <w:lang w:eastAsia="zh-CN"/>
        </w:rPr>
        <w:t>每6台充电宜配置1 块灭火，超出台数向上取整计算:灭火、消防砂应存放在充电区方便取用的地方。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eastAsia="宋体" w:cs="宋体"/>
          <w:b w:val="0"/>
          <w:bCs w:val="0"/>
          <w:color w:val="auto"/>
          <w:sz w:val="28"/>
          <w:szCs w:val="28"/>
          <w:shd w:val="clear" w:color="auto" w:fill="FFFFFF"/>
          <w:lang w:eastAsia="zh-CN"/>
        </w:rPr>
      </w:pPr>
      <w:r>
        <w:rPr>
          <w:rStyle w:val="33"/>
          <w:rFonts w:hint="eastAsia" w:ascii="宋体" w:hAnsi="宋体" w:cs="宋体"/>
          <w:b w:val="0"/>
          <w:bCs w:val="0"/>
          <w:color w:val="auto"/>
          <w:sz w:val="28"/>
          <w:szCs w:val="28"/>
          <w:shd w:val="clear" w:color="auto" w:fill="FFFFFF"/>
          <w:lang w:val="en-US" w:eastAsia="zh-CN"/>
        </w:rPr>
        <w:t>6、</w:t>
      </w:r>
      <w:r>
        <w:rPr>
          <w:rStyle w:val="33"/>
          <w:rFonts w:hint="eastAsia" w:ascii="宋体" w:hAnsi="宋体" w:eastAsia="宋体" w:cs="宋体"/>
          <w:b w:val="0"/>
          <w:bCs w:val="0"/>
          <w:color w:val="auto"/>
          <w:sz w:val="28"/>
          <w:szCs w:val="28"/>
          <w:shd w:val="clear" w:color="auto" w:fill="FFFFFF"/>
          <w:lang w:eastAsia="zh-CN"/>
        </w:rPr>
        <w:t>充电站宜设置火灾自动报警系统，且应符合GB 50016的要求。电力设备室应设置烟感报警系统。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eastAsia="宋体" w:cs="宋体"/>
          <w:b w:val="0"/>
          <w:bCs w:val="0"/>
          <w:color w:val="auto"/>
          <w:sz w:val="28"/>
          <w:szCs w:val="28"/>
          <w:shd w:val="clear" w:color="auto" w:fill="FFFFFF"/>
          <w:lang w:eastAsia="zh-CN"/>
        </w:rPr>
      </w:pPr>
      <w:r>
        <w:rPr>
          <w:rStyle w:val="33"/>
          <w:rFonts w:hint="eastAsia" w:ascii="宋体" w:hAnsi="宋体" w:cs="宋体"/>
          <w:b w:val="0"/>
          <w:bCs w:val="0"/>
          <w:color w:val="auto"/>
          <w:sz w:val="28"/>
          <w:szCs w:val="28"/>
          <w:shd w:val="clear" w:color="auto" w:fill="FFFFFF"/>
          <w:lang w:val="en-US" w:eastAsia="zh-CN"/>
        </w:rPr>
        <w:t>7、</w:t>
      </w:r>
      <w:r>
        <w:rPr>
          <w:rStyle w:val="33"/>
          <w:rFonts w:hint="eastAsia" w:ascii="宋体" w:hAnsi="宋体" w:eastAsia="宋体" w:cs="宋体"/>
          <w:b w:val="0"/>
          <w:bCs w:val="0"/>
          <w:color w:val="auto"/>
          <w:sz w:val="28"/>
          <w:szCs w:val="28"/>
          <w:shd w:val="clear" w:color="auto" w:fill="FFFFFF"/>
          <w:lang w:eastAsia="zh-CN"/>
        </w:rPr>
        <w:t>充电站宜设置水喷雾灭火系统</w:t>
      </w:r>
      <w:r>
        <w:rPr>
          <w:rStyle w:val="33"/>
          <w:rFonts w:hint="eastAsia" w:ascii="宋体" w:hAnsi="宋体" w:cs="宋体"/>
          <w:b w:val="0"/>
          <w:bCs w:val="0"/>
          <w:color w:val="auto"/>
          <w:sz w:val="28"/>
          <w:szCs w:val="28"/>
          <w:shd w:val="clear" w:color="auto" w:fill="FFFFFF"/>
          <w:lang w:eastAsia="zh-CN"/>
        </w:rPr>
        <w:t>，</w:t>
      </w:r>
      <w:r>
        <w:rPr>
          <w:rStyle w:val="33"/>
          <w:rFonts w:hint="eastAsia" w:ascii="宋体" w:hAnsi="宋体" w:eastAsia="宋体" w:cs="宋体"/>
          <w:b w:val="0"/>
          <w:bCs w:val="0"/>
          <w:color w:val="auto"/>
          <w:sz w:val="28"/>
          <w:szCs w:val="28"/>
          <w:shd w:val="clear" w:color="auto" w:fill="FFFFFF"/>
          <w:lang w:eastAsia="zh-CN"/>
        </w:rPr>
        <w:t>水喷雾灭火系统的设计应符合GB 50219的有关规定。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eastAsia="宋体" w:cs="宋体"/>
          <w:b w:val="0"/>
          <w:bCs w:val="0"/>
          <w:color w:val="auto"/>
          <w:sz w:val="28"/>
          <w:szCs w:val="28"/>
          <w:shd w:val="clear" w:color="auto" w:fill="FFFFFF"/>
          <w:lang w:eastAsia="zh-CN"/>
        </w:rPr>
      </w:pPr>
      <w:r>
        <w:rPr>
          <w:rStyle w:val="33"/>
          <w:rFonts w:hint="eastAsia" w:ascii="宋体" w:hAnsi="宋体" w:cs="宋体"/>
          <w:b w:val="0"/>
          <w:bCs w:val="0"/>
          <w:color w:val="auto"/>
          <w:sz w:val="28"/>
          <w:szCs w:val="28"/>
          <w:shd w:val="clear" w:color="auto" w:fill="FFFFFF"/>
          <w:lang w:val="en-US" w:eastAsia="zh-CN"/>
        </w:rPr>
        <w:t>8、</w:t>
      </w:r>
      <w:r>
        <w:rPr>
          <w:rStyle w:val="33"/>
          <w:rFonts w:hint="eastAsia" w:ascii="宋体" w:hAnsi="宋体" w:eastAsia="宋体" w:cs="宋体"/>
          <w:b w:val="0"/>
          <w:bCs w:val="0"/>
          <w:color w:val="auto"/>
          <w:sz w:val="28"/>
          <w:szCs w:val="28"/>
          <w:shd w:val="clear" w:color="auto" w:fill="FFFFFF"/>
          <w:lang w:eastAsia="zh-CN"/>
        </w:rPr>
        <w:t>充电站值班室应放置不少于2副防毒面罩。</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cs="宋体"/>
          <w:b w:val="0"/>
          <w:bCs w:val="0"/>
          <w:color w:val="auto"/>
          <w:sz w:val="28"/>
          <w:szCs w:val="28"/>
          <w:shd w:val="clear" w:color="auto" w:fill="FFFFFF"/>
          <w:lang w:val="en-US" w:eastAsia="zh-CN"/>
        </w:rPr>
      </w:pPr>
      <w:r>
        <w:rPr>
          <w:rStyle w:val="33"/>
          <w:rFonts w:hint="eastAsia" w:ascii="宋体" w:hAnsi="宋体" w:cs="宋体"/>
          <w:b w:val="0"/>
          <w:bCs w:val="0"/>
          <w:color w:val="auto"/>
          <w:sz w:val="28"/>
          <w:szCs w:val="28"/>
          <w:shd w:val="clear" w:color="auto" w:fill="FFFFFF"/>
          <w:lang w:val="en-US" w:eastAsia="zh-CN"/>
        </w:rPr>
        <w:t>9、充电站内应设置灭火毯，Ⅰ、Ⅱ类充电站灭火毯不少于 5 块；Ⅲ类充电站灭火毯不少于 2 块；在确保人员安全的情况下用灭火毯来覆盖起火点周边车辆。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default" w:ascii="宋体" w:hAnsi="宋体" w:eastAsia="宋体" w:cs="宋体"/>
          <w:b w:val="0"/>
          <w:bCs w:val="0"/>
          <w:color w:val="auto"/>
          <w:sz w:val="28"/>
          <w:szCs w:val="28"/>
          <w:shd w:val="clear" w:color="auto" w:fill="FFFFFF"/>
          <w:lang w:val="en-US" w:eastAsia="zh-CN"/>
        </w:rPr>
      </w:pPr>
      <w:r>
        <w:rPr>
          <w:rStyle w:val="33"/>
          <w:rFonts w:hint="eastAsia" w:ascii="宋体" w:hAnsi="宋体" w:cs="宋体"/>
          <w:b w:val="0"/>
          <w:bCs w:val="0"/>
          <w:color w:val="auto"/>
          <w:sz w:val="28"/>
          <w:szCs w:val="28"/>
          <w:shd w:val="clear" w:color="auto" w:fill="FFFFFF"/>
          <w:lang w:val="en-US" w:eastAsia="zh-CN"/>
        </w:rPr>
        <w:t>10、充电站内应设置消防砂坑（库），消防沙不少于 2 m3，消防砂应设置在方便取用的位置，应保持充足和干燥，且可作为事故电池紧急掩埋坑使用。</w:t>
      </w:r>
    </w:p>
    <w:p>
      <w:pPr>
        <w:bidi w:val="0"/>
        <w:rPr>
          <w:rFonts w:hint="default"/>
          <w:lang w:val="en-US" w:eastAsia="zh-CN"/>
        </w:rPr>
      </w:pPr>
      <w:r>
        <w:rPr>
          <w:rFonts w:hint="eastAsia"/>
          <w:lang w:val="en-US" w:eastAsia="zh-CN"/>
        </w:rPr>
        <w:t>11、火灾自动报警系统的设计应符合 GB 50116 的有关规定。室内充电区域宜设置点型一氧化碳火灾探测器，室外充电区域宜设置图像型火焰探测器。</w:t>
      </w:r>
    </w:p>
    <w:p>
      <w:pPr>
        <w:bidi w:val="0"/>
        <w:rPr>
          <w:rFonts w:hint="eastAsia"/>
          <w:lang w:val="en-US" w:eastAsia="zh-CN"/>
        </w:rPr>
      </w:pPr>
      <w:r>
        <w:rPr>
          <w:rFonts w:hint="eastAsia"/>
          <w:lang w:val="en-US" w:eastAsia="zh-CN"/>
        </w:rPr>
        <w:t>12、充电站的室外消火栓宜沿停车场周边设置，且距离最近一排汽车不宜小于 9 m，距加油站不宜小于 15m。</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rPr>
          <w:rStyle w:val="33"/>
          <w:rFonts w:hint="eastAsia" w:ascii="宋体" w:hAnsi="宋体" w:cs="宋体"/>
          <w:b w:val="0"/>
          <w:bCs w:val="0"/>
          <w:color w:val="auto"/>
          <w:sz w:val="28"/>
          <w:szCs w:val="28"/>
          <w:shd w:val="clear" w:color="auto" w:fill="FFFFFF"/>
          <w:lang w:val="en-US" w:eastAsia="zh-CN"/>
        </w:rPr>
      </w:pPr>
      <w:r>
        <w:rPr>
          <w:rStyle w:val="33"/>
          <w:rFonts w:hint="eastAsia" w:ascii="宋体" w:hAnsi="宋体" w:cs="宋体"/>
          <w:b w:val="0"/>
          <w:bCs w:val="0"/>
          <w:color w:val="auto"/>
          <w:sz w:val="28"/>
          <w:szCs w:val="28"/>
          <w:shd w:val="clear" w:color="auto" w:fill="FFFFFF"/>
          <w:lang w:val="en-US" w:eastAsia="zh-CN"/>
        </w:rPr>
        <w:t>13、室外消火栓的保护半径不应大于 150 m，在市政消火栓保护半径 150 m 范围内的充电站，市政消火栓可计入室外消火栓的数量。</w:t>
      </w:r>
    </w:p>
    <w:p>
      <w:pPr>
        <w:pStyle w:val="45"/>
        <w:pageBreakBefore w:val="0"/>
        <w:widowControl w:val="0"/>
        <w:numPr>
          <w:ilvl w:val="0"/>
          <w:numId w:val="3"/>
        </w:numPr>
        <w:kinsoku/>
        <w:wordWrap/>
        <w:overflowPunct/>
        <w:topLinePunct w:val="0"/>
        <w:autoSpaceDE/>
        <w:autoSpaceDN/>
        <w:bidi w:val="0"/>
        <w:adjustRightInd/>
        <w:snapToGrid/>
        <w:spacing w:line="600" w:lineRule="exact"/>
        <w:ind w:firstLine="562" w:firstLineChars="200"/>
        <w:textAlignment w:val="auto"/>
        <w:rPr>
          <w:rFonts w:hint="eastAsia"/>
          <w:b/>
          <w:bCs/>
          <w:color w:val="auto"/>
          <w:sz w:val="28"/>
          <w:szCs w:val="28"/>
        </w:rPr>
      </w:pPr>
      <w:r>
        <w:rPr>
          <w:rFonts w:hint="eastAsia"/>
          <w:b/>
          <w:bCs/>
          <w:color w:val="auto"/>
          <w:sz w:val="28"/>
          <w:szCs w:val="28"/>
        </w:rPr>
        <w:t>给排水系统</w:t>
      </w:r>
    </w:p>
    <w:p>
      <w:pPr>
        <w:pStyle w:val="45"/>
        <w:pageBreakBefore w:val="0"/>
        <w:widowControl w:val="0"/>
        <w:numPr>
          <w:ilvl w:val="0"/>
          <w:numId w:val="4"/>
        </w:numPr>
        <w:kinsoku/>
        <w:wordWrap/>
        <w:overflowPunct/>
        <w:topLinePunct w:val="0"/>
        <w:autoSpaceDE/>
        <w:autoSpaceDN/>
        <w:bidi w:val="0"/>
        <w:adjustRightInd/>
        <w:snapToGrid/>
        <w:spacing w:line="600" w:lineRule="exact"/>
        <w:ind w:firstLine="560" w:firstLineChars="200"/>
        <w:textAlignment w:val="auto"/>
        <w:rPr>
          <w:color w:val="auto"/>
          <w:sz w:val="28"/>
          <w:szCs w:val="28"/>
        </w:rPr>
      </w:pPr>
      <w:r>
        <w:rPr>
          <w:rFonts w:hint="eastAsia"/>
          <w:color w:val="auto"/>
          <w:sz w:val="28"/>
          <w:szCs w:val="28"/>
        </w:rPr>
        <w:t>充电站排水的设计应符合现行国家标准《建筑给水排水设计规范》GB 50015的有关规定。</w:t>
      </w:r>
    </w:p>
    <w:p>
      <w:pPr>
        <w:pageBreakBefore w:val="0"/>
        <w:widowControl w:val="0"/>
        <w:numPr>
          <w:ilvl w:val="0"/>
          <w:numId w:val="4"/>
        </w:numPr>
        <w:kinsoku/>
        <w:wordWrap/>
        <w:overflowPunct/>
        <w:topLinePunct w:val="0"/>
        <w:autoSpaceDE/>
        <w:autoSpaceDN/>
        <w:bidi w:val="0"/>
        <w:adjustRightInd/>
        <w:snapToGrid/>
        <w:spacing w:line="600" w:lineRule="exact"/>
        <w:ind w:left="0" w:leftChars="0" w:firstLine="560" w:firstLineChars="200"/>
        <w:textAlignment w:val="auto"/>
        <w:rPr>
          <w:rFonts w:hint="eastAsia"/>
          <w:color w:val="auto"/>
        </w:rPr>
      </w:pPr>
      <w:bookmarkStart w:id="134" w:name="_Toc17244"/>
      <w:bookmarkStart w:id="135" w:name="_Toc15043"/>
      <w:r>
        <w:rPr>
          <w:rFonts w:hint="eastAsia"/>
          <w:color w:val="auto"/>
        </w:rPr>
        <w:t>站区雨水可通过截水沟或雨水口收集后排入市政雨水系统。雨水排水系统宜采用有组织排水方式。当不具备集中排水条件时，站内地面雨水可散流排出站外。</w:t>
      </w:r>
    </w:p>
    <w:p>
      <w:pPr>
        <w:pStyle w:val="4"/>
        <w:pageBreakBefore w:val="0"/>
        <w:widowControl w:val="0"/>
        <w:kinsoku/>
        <w:wordWrap/>
        <w:overflowPunct/>
        <w:topLinePunct w:val="0"/>
        <w:autoSpaceDE/>
        <w:autoSpaceDN/>
        <w:bidi w:val="0"/>
        <w:adjustRightInd/>
        <w:snapToGrid/>
        <w:spacing w:beforeLines="0" w:afterLines="0" w:line="600" w:lineRule="exact"/>
        <w:textAlignment w:val="auto"/>
        <w:rPr>
          <w:rFonts w:hint="eastAsia"/>
          <w:color w:val="auto"/>
        </w:rPr>
      </w:pPr>
      <w:bookmarkStart w:id="136" w:name="_Toc22417"/>
      <w:r>
        <w:rPr>
          <w:color w:val="auto"/>
        </w:rPr>
        <w:t>7.</w:t>
      </w:r>
      <w:r>
        <w:rPr>
          <w:rFonts w:hint="eastAsia"/>
          <w:color w:val="auto"/>
          <w:lang w:val="en-US" w:eastAsia="zh-CN"/>
        </w:rPr>
        <w:t>4</w:t>
      </w:r>
      <w:r>
        <w:rPr>
          <w:color w:val="auto"/>
        </w:rPr>
        <w:t>.</w:t>
      </w:r>
      <w:r>
        <w:rPr>
          <w:rFonts w:hint="eastAsia"/>
          <w:color w:val="auto"/>
        </w:rPr>
        <w:t>2电气系统</w:t>
      </w:r>
      <w:bookmarkEnd w:id="134"/>
      <w:bookmarkEnd w:id="135"/>
      <w:bookmarkEnd w:id="136"/>
    </w:p>
    <w:p>
      <w:pPr>
        <w:pageBreakBefore w:val="0"/>
        <w:widowControl w:val="0"/>
        <w:kinsoku/>
        <w:wordWrap/>
        <w:overflowPunct/>
        <w:topLinePunct w:val="0"/>
        <w:autoSpaceDE/>
        <w:autoSpaceDN/>
        <w:bidi w:val="0"/>
        <w:adjustRightInd/>
        <w:snapToGrid/>
        <w:spacing w:line="600" w:lineRule="exact"/>
        <w:textAlignment w:val="auto"/>
        <w:rPr>
          <w:b/>
          <w:bCs/>
          <w:color w:val="auto"/>
        </w:rPr>
      </w:pPr>
      <w:r>
        <w:rPr>
          <w:rFonts w:hint="eastAsia"/>
          <w:b/>
          <w:bCs/>
          <w:color w:val="auto"/>
        </w:rPr>
        <w:t>一、供配电</w:t>
      </w:r>
    </w:p>
    <w:p>
      <w:pPr>
        <w:pageBreakBefore w:val="0"/>
        <w:widowControl w:val="0"/>
        <w:kinsoku/>
        <w:wordWrap/>
        <w:overflowPunct/>
        <w:topLinePunct w:val="0"/>
        <w:autoSpaceDE/>
        <w:autoSpaceDN/>
        <w:bidi w:val="0"/>
        <w:adjustRightInd/>
        <w:snapToGrid/>
        <w:spacing w:line="600" w:lineRule="exact"/>
        <w:textAlignment w:val="auto"/>
        <w:rPr>
          <w:color w:val="auto"/>
        </w:rPr>
      </w:pPr>
      <w:r>
        <w:rPr>
          <w:rFonts w:hint="eastAsia"/>
          <w:color w:val="auto"/>
          <w:lang w:val="en-US" w:eastAsia="zh-CN"/>
        </w:rPr>
        <w:t>1、</w:t>
      </w:r>
      <w:r>
        <w:rPr>
          <w:rFonts w:hint="eastAsia"/>
          <w:color w:val="auto"/>
        </w:rPr>
        <w:t>充电站供配电系统应符合现行国家标准《供配电系统设计规范》GB 50052的有关规定。</w:t>
      </w:r>
    </w:p>
    <w:p>
      <w:pPr>
        <w:bidi w:val="0"/>
        <w:rPr>
          <w:rFonts w:hint="eastAsia"/>
          <w:color w:val="auto"/>
          <w:lang w:val="en-US" w:eastAsia="zh-CN"/>
        </w:rPr>
      </w:pPr>
      <w:r>
        <w:rPr>
          <w:rFonts w:hint="eastAsia"/>
          <w:color w:val="auto"/>
          <w:lang w:val="en-US" w:eastAsia="zh-CN"/>
        </w:rPr>
        <w:t>2、供配电装置的布置应符合现行国家标准《20kV及以下变电所设计规范》GB 50053的有关规定，遵循安全、可靠、适用的原则，便于安装、操作、搬运、检修和调试。当建设场地受限时，中、低压开关柜可与变压器设置在同一房间内，且变压器应选用难燃型或不燃型，其外壳防护等级不应低于IP2X。</w:t>
      </w:r>
    </w:p>
    <w:p>
      <w:pPr>
        <w:bidi w:val="0"/>
        <w:rPr>
          <w:rFonts w:hint="default"/>
          <w:color w:val="auto"/>
          <w:lang w:val="en-US" w:eastAsia="zh-CN"/>
        </w:rPr>
      </w:pPr>
      <w:r>
        <w:rPr>
          <w:rFonts w:hint="eastAsia"/>
          <w:color w:val="auto"/>
          <w:lang w:val="en-US" w:eastAsia="zh-CN"/>
        </w:rPr>
        <w:t>3、 配电系统应符合下列要求：</w:t>
      </w:r>
      <w:r>
        <w:rPr>
          <w:rFonts w:hint="eastAsia"/>
          <w:color w:val="auto"/>
          <w:lang w:val="en-US" w:eastAsia="zh-CN"/>
        </w:rPr>
        <w:br w:type="textWrapping"/>
      </w:r>
      <w:r>
        <w:rPr>
          <w:rFonts w:hint="eastAsia"/>
          <w:color w:val="auto"/>
          <w:lang w:val="en-US" w:eastAsia="zh-CN"/>
        </w:rPr>
        <w:t>      （1）中低压配电系统宜采用单母线或单母线分段接线，低压接地系统宜采用TN-S系统。</w:t>
      </w:r>
      <w:r>
        <w:rPr>
          <w:rFonts w:hint="eastAsia"/>
          <w:color w:val="auto"/>
          <w:lang w:val="en-US" w:eastAsia="zh-CN"/>
        </w:rPr>
        <w:br w:type="textWrapping"/>
      </w:r>
      <w:r>
        <w:rPr>
          <w:rFonts w:hint="eastAsia"/>
          <w:color w:val="auto"/>
          <w:lang w:val="en-US" w:eastAsia="zh-CN"/>
        </w:rPr>
        <w:t>      （2）低压进出线开关、分段开关宜采用断路器。来自不同电源的低压进线断路器和低压分段断路器之间应设机械闭锁和电气联锁装置，防止不同电源并联运行。</w:t>
      </w:r>
      <w:r>
        <w:rPr>
          <w:rFonts w:hint="eastAsia"/>
          <w:color w:val="auto"/>
          <w:lang w:val="en-US" w:eastAsia="zh-CN"/>
        </w:rPr>
        <w:br w:type="textWrapping"/>
      </w:r>
      <w:r>
        <w:rPr>
          <w:rFonts w:hint="eastAsia"/>
          <w:color w:val="auto"/>
          <w:lang w:val="en-US" w:eastAsia="zh-CN"/>
        </w:rPr>
        <w:t>      （3）低压进线断路器宜具有短路瞬时、短路短延时、短路长延时和接地保护功能，宜设置分励脱扣装置，不宜设置失压脱扣装置或低压脱扣装置。</w:t>
      </w:r>
      <w:r>
        <w:rPr>
          <w:rFonts w:hint="eastAsia"/>
          <w:color w:val="auto"/>
          <w:lang w:val="en-US" w:eastAsia="zh-CN"/>
        </w:rPr>
        <w:br w:type="textWrapping"/>
      </w:r>
      <w:r>
        <w:rPr>
          <w:rFonts w:hint="eastAsia"/>
          <w:color w:val="auto"/>
          <w:lang w:val="en-US" w:eastAsia="zh-CN"/>
        </w:rPr>
        <w:t>      （4）非车载充电机、监控装置以及重要的用电设备宜采用放射式供电。</w:t>
      </w:r>
    </w:p>
    <w:p>
      <w:pPr>
        <w:bidi w:val="0"/>
        <w:rPr>
          <w:rFonts w:hint="eastAsia"/>
          <w:color w:val="auto"/>
          <w:lang w:val="en-US" w:eastAsia="zh-CN"/>
        </w:rPr>
      </w:pPr>
      <w:r>
        <w:rPr>
          <w:rFonts w:hint="eastAsia"/>
          <w:color w:val="auto"/>
          <w:lang w:val="en-US" w:eastAsia="zh-CN"/>
        </w:rPr>
        <w:t>4、 开关柜宜选用小型化、无油化、免维修或少维护的产品。</w:t>
      </w:r>
    </w:p>
    <w:p>
      <w:pPr>
        <w:bidi w:val="0"/>
        <w:rPr>
          <w:rFonts w:hint="eastAsia"/>
          <w:color w:val="auto"/>
          <w:lang w:val="en-US" w:eastAsia="zh-CN"/>
        </w:rPr>
      </w:pPr>
      <w:r>
        <w:rPr>
          <w:rFonts w:hint="eastAsia"/>
          <w:color w:val="auto"/>
          <w:lang w:val="en-US" w:eastAsia="zh-CN"/>
        </w:rPr>
        <w:t>5、 无功功率补偿应符合下列要求：</w:t>
      </w:r>
    </w:p>
    <w:p>
      <w:pPr>
        <w:bidi w:val="0"/>
        <w:rPr>
          <w:rFonts w:hint="eastAsia"/>
          <w:color w:val="auto"/>
          <w:lang w:val="en-US" w:eastAsia="zh-CN"/>
        </w:rPr>
      </w:pPr>
      <w:r>
        <w:rPr>
          <w:rFonts w:hint="eastAsia"/>
          <w:color w:val="auto"/>
          <w:lang w:val="en-US" w:eastAsia="zh-CN"/>
        </w:rPr>
        <w:t>（1）无功功率补偿装置宜设置在变压器低压侧，补偿容量宜按最大负荷时变压器高压侧功率因数不低于0.95确定。</w:t>
      </w:r>
      <w:r>
        <w:rPr>
          <w:rFonts w:hint="eastAsia"/>
          <w:color w:val="auto"/>
          <w:lang w:val="en-US" w:eastAsia="zh-CN"/>
        </w:rPr>
        <w:br w:type="textWrapping"/>
      </w:r>
      <w:r>
        <w:rPr>
          <w:rFonts w:hint="eastAsia"/>
          <w:color w:val="auto"/>
          <w:lang w:val="en-US" w:eastAsia="zh-CN"/>
        </w:rPr>
        <w:t>      （2）当用电设备的自然功率因数满足变压器高压侧功率因数不低于0.95的要求时，可不加装低压无功功率补偿装置。</w:t>
      </w:r>
    </w:p>
    <w:p>
      <w:pPr>
        <w:bidi w:val="0"/>
        <w:rPr>
          <w:rFonts w:hint="eastAsia"/>
          <w:color w:val="auto"/>
          <w:lang w:val="en-US" w:eastAsia="zh-CN"/>
        </w:rPr>
      </w:pPr>
      <w:r>
        <w:rPr>
          <w:rFonts w:hint="eastAsia"/>
          <w:color w:val="auto"/>
          <w:lang w:val="en-US" w:eastAsia="zh-CN"/>
        </w:rPr>
        <w:t>6、 配电线路的设计应符合下列要求：</w:t>
      </w:r>
      <w:r>
        <w:rPr>
          <w:rFonts w:hint="eastAsia"/>
          <w:color w:val="auto"/>
          <w:lang w:val="en-US" w:eastAsia="zh-CN"/>
        </w:rPr>
        <w:br w:type="textWrapping"/>
      </w:r>
      <w:r>
        <w:rPr>
          <w:rFonts w:hint="eastAsia"/>
          <w:color w:val="auto"/>
          <w:lang w:val="en-US" w:eastAsia="zh-CN"/>
        </w:rPr>
        <w:t>      （1）中压电力电缆宜选用铜芯交联聚乙烯绝缘类型，低压电力电缆宜选用铜芯交联聚乙烯绝缘类型，也可选用铜芯聚氯乙烯绝缘类型。</w:t>
      </w:r>
      <w:r>
        <w:rPr>
          <w:rFonts w:hint="eastAsia"/>
          <w:color w:val="auto"/>
          <w:lang w:val="en-US" w:eastAsia="zh-CN"/>
        </w:rPr>
        <w:br w:type="textWrapping"/>
      </w:r>
      <w:r>
        <w:rPr>
          <w:rFonts w:hint="eastAsia"/>
          <w:color w:val="auto"/>
          <w:lang w:val="en-US" w:eastAsia="zh-CN"/>
        </w:rPr>
        <w:t>      （2）低压三相回路宜选用五芯电缆，单相回路宜选用三芯电缆，且电缆中性线截面应与相线截面相同。</w:t>
      </w:r>
      <w:r>
        <w:rPr>
          <w:rFonts w:hint="eastAsia"/>
          <w:color w:val="auto"/>
          <w:lang w:val="en-US" w:eastAsia="zh-CN"/>
        </w:rPr>
        <w:br w:type="textWrapping"/>
      </w:r>
      <w:r>
        <w:rPr>
          <w:rFonts w:hint="eastAsia"/>
          <w:color w:val="auto"/>
          <w:lang w:val="en-US" w:eastAsia="zh-CN"/>
        </w:rPr>
        <w:t>      （3）三相用电设备的电力电缆的外护套宜采用钢带铠装。单芯电缆的外护套不应采用导磁性材料铠装。</w:t>
      </w:r>
      <w:r>
        <w:rPr>
          <w:rFonts w:hint="eastAsia"/>
          <w:color w:val="auto"/>
          <w:lang w:val="en-US" w:eastAsia="zh-CN"/>
        </w:rPr>
        <w:br w:type="textWrapping"/>
      </w:r>
      <w:r>
        <w:rPr>
          <w:rFonts w:hint="eastAsia"/>
          <w:color w:val="auto"/>
          <w:lang w:val="en-US" w:eastAsia="zh-CN"/>
        </w:rPr>
        <w:t>     （4）交流单芯电缆不宜单根穿钢管敷设，当需要单根穿管时，应采用非导磁管材，也可采用经过磁路分隔处理的钢管。</w:t>
      </w:r>
    </w:p>
    <w:p>
      <w:pPr>
        <w:bidi w:val="0"/>
        <w:rPr>
          <w:b/>
          <w:bCs/>
          <w:color w:val="auto"/>
        </w:rPr>
      </w:pPr>
      <w:r>
        <w:rPr>
          <w:rFonts w:hint="eastAsia"/>
          <w:b/>
          <w:bCs/>
          <w:color w:val="auto"/>
        </w:rPr>
        <w:t>二、防雷防静电</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ascii="宋体" w:hAnsi="宋体"/>
          <w:color w:val="auto"/>
          <w:sz w:val="28"/>
          <w:szCs w:val="28"/>
          <w:lang w:val="en-US" w:eastAsia="zh-CN"/>
        </w:rPr>
      </w:pPr>
      <w:r>
        <w:rPr>
          <w:rFonts w:hint="eastAsia" w:ascii="宋体" w:hAnsi="宋体"/>
          <w:color w:val="auto"/>
          <w:sz w:val="28"/>
          <w:szCs w:val="28"/>
          <w:lang w:val="en-US" w:eastAsia="zh-CN"/>
        </w:rPr>
        <w:t>1、充电站的防雷要求应符合GB 50057、GB 50343、DL/T 620 的有关规定。</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ascii="宋体" w:hAnsi="宋体"/>
          <w:color w:val="auto"/>
          <w:sz w:val="28"/>
          <w:szCs w:val="28"/>
          <w:lang w:val="en-US" w:eastAsia="zh-CN"/>
        </w:rPr>
      </w:pPr>
      <w:r>
        <w:rPr>
          <w:rFonts w:hint="eastAsia" w:ascii="宋体" w:hAnsi="宋体"/>
          <w:color w:val="auto"/>
          <w:sz w:val="28"/>
          <w:szCs w:val="28"/>
          <w:lang w:val="en-US" w:eastAsia="zh-CN"/>
        </w:rPr>
        <w:t>2、充电站配置专用电变压器时，电力宜采用具有金属护套或绝缘护套电穿钢管埋地引入充电站，电力电缆金属护套或钢管两端应就近可靠接地。</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ascii="宋体" w:hAnsi="宋体"/>
          <w:color w:val="auto"/>
          <w:sz w:val="28"/>
          <w:szCs w:val="28"/>
          <w:lang w:val="en-US" w:eastAsia="zh-CN"/>
        </w:rPr>
      </w:pPr>
      <w:r>
        <w:rPr>
          <w:rFonts w:hint="eastAsia" w:ascii="宋体" w:hAnsi="宋体"/>
          <w:color w:val="auto"/>
          <w:sz w:val="28"/>
          <w:szCs w:val="28"/>
          <w:lang w:val="en-US" w:eastAsia="zh-CN"/>
        </w:rPr>
        <w:t>3、信号线路应采用装电缆、屏蔽电缆或导线穿钢管配线。站区内严禁布设架空缆线。</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ascii="宋体" w:hAnsi="宋体"/>
          <w:color w:val="auto"/>
          <w:sz w:val="28"/>
          <w:szCs w:val="28"/>
          <w:lang w:val="en-US" w:eastAsia="zh-CN"/>
        </w:rPr>
      </w:pPr>
      <w:r>
        <w:rPr>
          <w:rFonts w:hint="eastAsia" w:ascii="宋体" w:hAnsi="宋体"/>
          <w:color w:val="auto"/>
          <w:sz w:val="28"/>
          <w:szCs w:val="28"/>
          <w:lang w:val="en-US" w:eastAsia="zh-CN"/>
        </w:rPr>
        <w:t>4、充电站供电设备正常不带电的金属部分、避雷器的接地端均应做保护接地，严禁做接零保护；遮雨棚等基础设施需单独接地。</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default" w:ascii="宋体" w:hAnsi="宋体"/>
          <w:color w:val="auto"/>
          <w:sz w:val="28"/>
          <w:szCs w:val="28"/>
          <w:lang w:val="en-US" w:eastAsia="zh-CN"/>
        </w:rPr>
      </w:pPr>
      <w:r>
        <w:rPr>
          <w:rFonts w:hint="eastAsia" w:ascii="宋体" w:hAnsi="宋体"/>
          <w:color w:val="auto"/>
          <w:sz w:val="28"/>
          <w:szCs w:val="28"/>
          <w:lang w:val="en-US" w:eastAsia="zh-CN"/>
        </w:rPr>
        <w:t>5、电气设备内部防地线及其它接地设置应按相应设备规范进行。</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ascii="宋体" w:hAnsi="宋体"/>
          <w:color w:val="auto"/>
          <w:sz w:val="28"/>
          <w:szCs w:val="28"/>
        </w:rPr>
      </w:pPr>
      <w:r>
        <w:rPr>
          <w:rFonts w:hint="eastAsia" w:ascii="宋体" w:hAnsi="宋体"/>
          <w:color w:val="auto"/>
          <w:sz w:val="28"/>
          <w:szCs w:val="28"/>
          <w:lang w:val="en-US" w:eastAsia="zh-CN"/>
        </w:rPr>
        <w:t>6、</w:t>
      </w:r>
      <w:r>
        <w:rPr>
          <w:rFonts w:hint="eastAsia" w:ascii="宋体" w:hAnsi="宋体"/>
          <w:color w:val="auto"/>
          <w:sz w:val="28"/>
          <w:szCs w:val="28"/>
        </w:rPr>
        <w:t>供电系统的电缆金属外皮或电缆金属保护管两端均应接地，在供配电系统的电源端应安装与设备耐压水平相适应的过电压（电涌）保护器。</w:t>
      </w:r>
    </w:p>
    <w:p>
      <w:pPr>
        <w:pStyle w:val="45"/>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rPr>
          <w:rFonts w:hint="eastAsia" w:ascii="宋体" w:hAnsi="宋体"/>
          <w:color w:val="auto"/>
          <w:sz w:val="28"/>
          <w:szCs w:val="28"/>
        </w:rPr>
      </w:pPr>
      <w:r>
        <w:rPr>
          <w:rFonts w:hint="eastAsia" w:ascii="宋体" w:hAnsi="宋体"/>
          <w:color w:val="auto"/>
          <w:sz w:val="28"/>
          <w:szCs w:val="28"/>
          <w:shd w:val="clear" w:color="auto" w:fill="FFFFFF"/>
          <w:lang w:val="en-US" w:eastAsia="zh-CN"/>
        </w:rPr>
        <w:t>7、</w:t>
      </w:r>
      <w:r>
        <w:rPr>
          <w:rFonts w:hint="eastAsia" w:ascii="宋体" w:hAnsi="宋体"/>
          <w:color w:val="auto"/>
          <w:sz w:val="28"/>
          <w:szCs w:val="28"/>
          <w:shd w:val="clear" w:color="auto" w:fill="FFFFFF"/>
        </w:rPr>
        <w:t>防静电接地装置的接地电阻不应大于100Ω。</w:t>
      </w:r>
    </w:p>
    <w:p>
      <w:pPr>
        <w:pStyle w:val="4"/>
        <w:bidi w:val="0"/>
        <w:rPr>
          <w:color w:val="auto"/>
        </w:rPr>
      </w:pPr>
      <w:bookmarkStart w:id="137" w:name="_Toc13170"/>
      <w:bookmarkStart w:id="138" w:name="_Toc26431"/>
      <w:bookmarkStart w:id="139" w:name="_Toc366511233"/>
      <w:bookmarkStart w:id="140" w:name="_Toc10280"/>
      <w:r>
        <w:rPr>
          <w:rFonts w:hint="eastAsia"/>
          <w:color w:val="auto"/>
        </w:rPr>
        <w:t>7.</w:t>
      </w:r>
      <w:r>
        <w:rPr>
          <w:rFonts w:hint="eastAsia"/>
          <w:color w:val="auto"/>
          <w:lang w:val="en-US" w:eastAsia="zh-CN"/>
        </w:rPr>
        <w:t>4</w:t>
      </w:r>
      <w:r>
        <w:rPr>
          <w:color w:val="auto"/>
        </w:rPr>
        <w:t>.3安全</w:t>
      </w:r>
      <w:r>
        <w:rPr>
          <w:rFonts w:hint="eastAsia"/>
          <w:color w:val="auto"/>
          <w:lang w:val="en-US" w:eastAsia="zh-CN"/>
        </w:rPr>
        <w:t>使用</w:t>
      </w:r>
      <w:r>
        <w:rPr>
          <w:color w:val="auto"/>
        </w:rPr>
        <w:t>安全对策措施建议</w:t>
      </w:r>
      <w:bookmarkEnd w:id="137"/>
      <w:bookmarkEnd w:id="138"/>
      <w:bookmarkEnd w:id="139"/>
      <w:bookmarkEnd w:id="140"/>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rPr>
      </w:pPr>
      <w:r>
        <w:rPr>
          <w:rFonts w:hint="eastAsia" w:cs="Times New Roman"/>
          <w:color w:val="auto"/>
          <w:kern w:val="2"/>
          <w:sz w:val="28"/>
          <w:szCs w:val="24"/>
          <w:lang w:val="en-US" w:eastAsia="zh-CN" w:bidi="ar-SA"/>
        </w:rPr>
        <w:t>1、</w:t>
      </w:r>
      <w:r>
        <w:rPr>
          <w:rFonts w:hint="eastAsia"/>
          <w:color w:val="auto"/>
        </w:rPr>
        <w:t>安装在坚固的地面上或是有基础的环境，需保证地面水平、平整；</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rPr>
      </w:pPr>
      <w:r>
        <w:rPr>
          <w:rFonts w:hint="eastAsia" w:cs="Times New Roman"/>
          <w:color w:val="auto"/>
          <w:kern w:val="2"/>
          <w:sz w:val="28"/>
          <w:szCs w:val="24"/>
          <w:lang w:val="en-US" w:eastAsia="zh-CN" w:bidi="ar-SA"/>
        </w:rPr>
        <w:t>2、</w:t>
      </w:r>
      <w:r>
        <w:rPr>
          <w:rFonts w:hint="eastAsia"/>
          <w:color w:val="auto"/>
        </w:rPr>
        <w:t>开始充电以前，首先检查总控箱内器件是否有异常故障，故障指示灯是否长亮。当装置存在故障时，必须在排除故障后方可使用本台充电设备进行充电；</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rPr>
      </w:pPr>
      <w:r>
        <w:rPr>
          <w:rFonts w:hint="eastAsia" w:cs="Times New Roman"/>
          <w:color w:val="auto"/>
          <w:kern w:val="2"/>
          <w:sz w:val="28"/>
          <w:szCs w:val="24"/>
          <w:lang w:val="en-US" w:eastAsia="zh-CN" w:bidi="ar-SA"/>
        </w:rPr>
        <w:t>3、</w:t>
      </w:r>
      <w:r>
        <w:rPr>
          <w:rFonts w:hint="eastAsia"/>
          <w:color w:val="auto"/>
        </w:rPr>
        <w:t>充电设备开始充电以前，确保被充电车辆处于熄火状态；</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rPr>
      </w:pPr>
      <w:r>
        <w:rPr>
          <w:rFonts w:hint="eastAsia" w:cs="Times New Roman"/>
          <w:color w:val="auto"/>
          <w:kern w:val="2"/>
          <w:sz w:val="28"/>
          <w:szCs w:val="24"/>
          <w:lang w:val="en-US" w:eastAsia="zh-CN" w:bidi="ar-SA"/>
        </w:rPr>
        <w:t>4、</w:t>
      </w:r>
      <w:r>
        <w:rPr>
          <w:rFonts w:hint="eastAsia"/>
          <w:color w:val="auto"/>
        </w:rPr>
        <w:t>充电过程中，完全按照文字提示操作；</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rPr>
      </w:pPr>
      <w:r>
        <w:rPr>
          <w:rFonts w:hint="eastAsia" w:cs="Times New Roman"/>
          <w:color w:val="auto"/>
          <w:kern w:val="2"/>
          <w:sz w:val="28"/>
          <w:szCs w:val="24"/>
          <w:lang w:val="en-US" w:eastAsia="zh-CN" w:bidi="ar-SA"/>
        </w:rPr>
        <w:t>5、</w:t>
      </w:r>
      <w:r>
        <w:rPr>
          <w:rFonts w:hint="eastAsia"/>
          <w:color w:val="auto"/>
        </w:rPr>
        <w:t>在充电过程中禁止拔下充电连接器，以防止拉弧现象的发生，确保人身及设备安全；</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rPr>
      </w:pPr>
      <w:r>
        <w:rPr>
          <w:rFonts w:hint="eastAsia" w:cs="Times New Roman"/>
          <w:color w:val="auto"/>
          <w:kern w:val="2"/>
          <w:sz w:val="28"/>
          <w:szCs w:val="24"/>
          <w:lang w:val="en-US" w:eastAsia="zh-CN" w:bidi="ar-SA"/>
        </w:rPr>
        <w:t>6、</w:t>
      </w:r>
      <w:r>
        <w:rPr>
          <w:rFonts w:hint="eastAsia"/>
          <w:color w:val="auto"/>
        </w:rPr>
        <w:t>整个充电过程自动完成，当充电结束后充电设备自动关机，充电过程无需人工干预，但充电过程中要定期巡视，检查充电过程是否异常；</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lang w:eastAsia="zh-CN"/>
        </w:rPr>
      </w:pPr>
      <w:r>
        <w:rPr>
          <w:rFonts w:hint="eastAsia" w:cs="Times New Roman"/>
          <w:color w:val="auto"/>
          <w:kern w:val="2"/>
          <w:sz w:val="28"/>
          <w:szCs w:val="24"/>
          <w:lang w:val="en-US" w:eastAsia="zh-CN" w:bidi="ar-SA"/>
        </w:rPr>
        <w:t>7、</w:t>
      </w:r>
      <w:r>
        <w:rPr>
          <w:rFonts w:hint="eastAsia"/>
          <w:color w:val="auto"/>
        </w:rPr>
        <w:t>定期检查装置内部的电缆是否存在松动；检查充电设备接地点是否可靠接地</w:t>
      </w:r>
      <w:r>
        <w:rPr>
          <w:rFonts w:hint="eastAsia"/>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lang w:eastAsia="zh-CN"/>
        </w:rPr>
      </w:pPr>
      <w:r>
        <w:rPr>
          <w:rFonts w:hint="eastAsia" w:cs="Times New Roman"/>
          <w:color w:val="auto"/>
          <w:kern w:val="2"/>
          <w:sz w:val="28"/>
          <w:szCs w:val="24"/>
          <w:lang w:val="en-US" w:eastAsia="zh-CN" w:bidi="ar-SA"/>
        </w:rPr>
        <w:t>8、</w:t>
      </w:r>
      <w:r>
        <w:rPr>
          <w:rFonts w:hint="eastAsia"/>
          <w:color w:val="auto"/>
          <w:lang w:eastAsia="zh-CN"/>
        </w:rPr>
        <w:t>须定期检查</w:t>
      </w:r>
      <w:r>
        <w:rPr>
          <w:rFonts w:hint="eastAsia"/>
          <w:color w:val="auto"/>
          <w:lang w:val="en-US" w:eastAsia="zh-CN"/>
        </w:rPr>
        <w:t>总控箱</w:t>
      </w:r>
      <w:r>
        <w:rPr>
          <w:rFonts w:hint="eastAsia"/>
          <w:color w:val="auto"/>
          <w:lang w:eastAsia="zh-CN"/>
        </w:rPr>
        <w:t>抽屉是否有松动，以确保后部接插件的接触良好，定期检查抽屉内部及柜体内部线束是否松动，塑壳及集控器按照产品使用说明定期维护保养，若交流模块存在隐患，须立即更换并返厂维修。</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lang w:eastAsia="zh-CN"/>
        </w:rPr>
      </w:pPr>
      <w:r>
        <w:rPr>
          <w:rFonts w:hint="eastAsia" w:cs="Times New Roman"/>
          <w:color w:val="auto"/>
          <w:kern w:val="2"/>
          <w:sz w:val="28"/>
          <w:szCs w:val="24"/>
          <w:lang w:val="en-US" w:eastAsia="zh-CN" w:bidi="ar-SA"/>
        </w:rPr>
        <w:t>9、</w:t>
      </w:r>
      <w:r>
        <w:rPr>
          <w:rFonts w:hint="eastAsia"/>
          <w:color w:val="auto"/>
          <w:lang w:eastAsia="zh-CN"/>
        </w:rPr>
        <w:t>使用前请确认电动汽车与充电设备参数是否匹配；</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lang w:eastAsia="zh-CN"/>
        </w:rPr>
      </w:pPr>
      <w:r>
        <w:rPr>
          <w:rFonts w:hint="eastAsia" w:cs="Times New Roman"/>
          <w:color w:val="auto"/>
          <w:kern w:val="2"/>
          <w:sz w:val="28"/>
          <w:szCs w:val="24"/>
          <w:lang w:val="en-US" w:eastAsia="zh-CN" w:bidi="ar-SA"/>
        </w:rPr>
        <w:t>10、</w:t>
      </w:r>
      <w:r>
        <w:rPr>
          <w:rFonts w:hint="eastAsia"/>
          <w:color w:val="auto"/>
          <w:lang w:eastAsia="zh-CN"/>
        </w:rPr>
        <w:t>严禁在设备故障情况下使用充电桩，充电异常时切勿擅自操作，如有发现异常请及时联系工作人员；</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lang w:eastAsia="zh-CN"/>
        </w:rPr>
      </w:pPr>
      <w:r>
        <w:rPr>
          <w:rFonts w:hint="eastAsia" w:cs="Times New Roman"/>
          <w:color w:val="auto"/>
          <w:kern w:val="2"/>
          <w:sz w:val="28"/>
          <w:szCs w:val="24"/>
          <w:lang w:val="en-US" w:eastAsia="zh-CN" w:bidi="ar-SA"/>
        </w:rPr>
        <w:t>11、</w:t>
      </w:r>
      <w:r>
        <w:rPr>
          <w:rFonts w:hint="eastAsia"/>
          <w:color w:val="auto"/>
          <w:lang w:eastAsia="zh-CN"/>
        </w:rPr>
        <w:t>严格按照充电设备上的操作规程及提示进行操作；</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lang w:eastAsia="zh-CN"/>
        </w:rPr>
      </w:pPr>
      <w:r>
        <w:rPr>
          <w:rFonts w:hint="eastAsia" w:cs="Times New Roman"/>
          <w:color w:val="auto"/>
          <w:kern w:val="2"/>
          <w:sz w:val="28"/>
          <w:szCs w:val="24"/>
          <w:lang w:val="en-US" w:eastAsia="zh-CN" w:bidi="ar-SA"/>
        </w:rPr>
        <w:t>12、</w:t>
      </w:r>
      <w:r>
        <w:rPr>
          <w:rFonts w:hint="eastAsia"/>
          <w:color w:val="auto"/>
          <w:lang w:eastAsia="zh-CN"/>
        </w:rPr>
        <w:t>发生火灾、充电设施浸水等事故，严禁靠近充电设备，请及时通知熟悉设备和应急处理方法的人员进行应急处理；</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lang w:eastAsia="zh-CN"/>
        </w:rPr>
      </w:pPr>
      <w:r>
        <w:rPr>
          <w:rFonts w:hint="eastAsia" w:cs="Times New Roman"/>
          <w:color w:val="auto"/>
          <w:kern w:val="2"/>
          <w:sz w:val="28"/>
          <w:szCs w:val="24"/>
          <w:lang w:val="en-US" w:eastAsia="zh-CN" w:bidi="ar-SA"/>
        </w:rPr>
        <w:t>13、</w:t>
      </w:r>
      <w:r>
        <w:rPr>
          <w:rFonts w:hint="eastAsia"/>
          <w:color w:val="auto"/>
          <w:lang w:val="en-US" w:eastAsia="zh-CN"/>
        </w:rPr>
        <w:t>控制</w:t>
      </w:r>
      <w:r>
        <w:rPr>
          <w:rFonts w:hint="eastAsia"/>
          <w:color w:val="auto"/>
          <w:lang w:eastAsia="zh-CN"/>
        </w:rPr>
        <w:t>箱、充电桩日常应上锁管理，严禁擅自开启、接线、改造或破坏充电设备，否则存在触电风险；</w:t>
      </w: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560" w:firstLineChars="200"/>
        <w:textAlignment w:val="auto"/>
        <w:rPr>
          <w:rFonts w:hint="eastAsia"/>
          <w:color w:val="auto"/>
          <w:lang w:eastAsia="zh-CN"/>
        </w:rPr>
      </w:pPr>
      <w:r>
        <w:rPr>
          <w:rFonts w:hint="eastAsia" w:cs="Times New Roman"/>
          <w:color w:val="auto"/>
          <w:kern w:val="2"/>
          <w:sz w:val="28"/>
          <w:szCs w:val="24"/>
          <w:lang w:val="en-US" w:eastAsia="zh-CN" w:bidi="ar-SA"/>
        </w:rPr>
        <w:t>14、</w:t>
      </w:r>
      <w:r>
        <w:rPr>
          <w:rFonts w:hint="eastAsia"/>
          <w:color w:val="auto"/>
          <w:lang w:eastAsia="zh-CN"/>
        </w:rPr>
        <w:t>儿童在充电设施周围活动时，监护人应做好看护，避免发生触电等事故。</w:t>
      </w:r>
    </w:p>
    <w:bookmarkEnd w:id="132"/>
    <w:bookmarkEnd w:id="133"/>
    <w:p>
      <w:pPr>
        <w:pStyle w:val="4"/>
        <w:bidi w:val="0"/>
        <w:rPr>
          <w:color w:val="auto"/>
        </w:rPr>
      </w:pPr>
      <w:bookmarkStart w:id="141" w:name="_Toc23670"/>
      <w:bookmarkStart w:id="142" w:name="_Toc24161"/>
      <w:bookmarkStart w:id="143" w:name="_Toc21166"/>
      <w:bookmarkStart w:id="144" w:name="_Toc20019"/>
      <w:bookmarkStart w:id="145" w:name="_Toc13212"/>
      <w:r>
        <w:rPr>
          <w:rFonts w:hint="eastAsia"/>
          <w:color w:val="auto"/>
        </w:rPr>
        <w:t>7.</w:t>
      </w:r>
      <w:r>
        <w:rPr>
          <w:rFonts w:hint="eastAsia"/>
          <w:color w:val="auto"/>
          <w:lang w:val="en-US" w:eastAsia="zh-CN"/>
        </w:rPr>
        <w:t>4</w:t>
      </w:r>
      <w:r>
        <w:rPr>
          <w:color w:val="auto"/>
        </w:rPr>
        <w:t>.4安全管理对策措施建议</w:t>
      </w:r>
      <w:bookmarkEnd w:id="141"/>
      <w:bookmarkEnd w:id="142"/>
      <w:bookmarkEnd w:id="143"/>
      <w:bookmarkEnd w:id="144"/>
      <w:bookmarkEnd w:id="145"/>
    </w:p>
    <w:p>
      <w:pPr>
        <w:bidi w:val="0"/>
        <w:rPr>
          <w:color w:val="auto"/>
        </w:rPr>
      </w:pPr>
      <w:r>
        <w:rPr>
          <w:rFonts w:hint="eastAsia"/>
          <w:color w:val="auto"/>
          <w:lang w:val="en-US" w:eastAsia="zh-CN"/>
        </w:rPr>
        <w:t>1、</w:t>
      </w:r>
      <w:r>
        <w:rPr>
          <w:color w:val="auto"/>
        </w:rPr>
        <w:t>严格贯彻落实安全第</w:t>
      </w:r>
      <w:r>
        <w:rPr>
          <w:color w:val="auto"/>
          <w:lang w:val="en-US" w:eastAsia="en-US"/>
        </w:rPr>
        <w:t>一</w:t>
      </w:r>
      <w:r>
        <w:rPr>
          <w:rFonts w:hint="eastAsia"/>
          <w:color w:val="auto"/>
          <w:lang w:val="en-US" w:eastAsia="zh-CN"/>
        </w:rPr>
        <w:t>，</w:t>
      </w:r>
      <w:r>
        <w:rPr>
          <w:color w:val="auto"/>
        </w:rPr>
        <w:t>预防为主的方针。</w:t>
      </w:r>
    </w:p>
    <w:p>
      <w:pPr>
        <w:bidi w:val="0"/>
        <w:rPr>
          <w:color w:val="auto"/>
        </w:rPr>
      </w:pPr>
      <w:r>
        <w:rPr>
          <w:rFonts w:hint="eastAsia"/>
          <w:color w:val="auto"/>
          <w:lang w:val="en-US" w:eastAsia="zh-CN"/>
        </w:rPr>
        <w:t>2、</w:t>
      </w:r>
      <w:r>
        <w:rPr>
          <w:color w:val="auto"/>
        </w:rPr>
        <w:t>制定安全管理制度，建立专项安全管理小组，确定安全责任人。</w:t>
      </w:r>
    </w:p>
    <w:p>
      <w:pPr>
        <w:bidi w:val="0"/>
        <w:rPr>
          <w:color w:val="auto"/>
        </w:rPr>
      </w:pPr>
      <w:r>
        <w:rPr>
          <w:rFonts w:hint="eastAsia"/>
          <w:color w:val="auto"/>
          <w:lang w:val="en-US" w:eastAsia="zh-CN"/>
        </w:rPr>
        <w:t>3、</w:t>
      </w:r>
      <w:r>
        <w:rPr>
          <w:color w:val="auto"/>
        </w:rPr>
        <w:t>定期对消防设施进行检修。</w:t>
      </w:r>
    </w:p>
    <w:p>
      <w:pPr>
        <w:bidi w:val="0"/>
        <w:rPr>
          <w:color w:val="auto"/>
        </w:rPr>
      </w:pPr>
      <w:r>
        <w:rPr>
          <w:rFonts w:hint="eastAsia"/>
          <w:color w:val="auto"/>
          <w:lang w:val="en-US" w:eastAsia="zh-CN"/>
        </w:rPr>
        <w:t>4、</w:t>
      </w:r>
      <w:r>
        <w:rPr>
          <w:color w:val="auto"/>
        </w:rPr>
        <w:t>定期组织对站内的工作人员及特种作业人员进行安全教育和技能培训，以提高员</w:t>
      </w:r>
      <w:r>
        <w:rPr>
          <w:rFonts w:hint="eastAsia"/>
          <w:color w:val="auto"/>
          <w:lang w:val="en-US" w:eastAsia="zh-CN"/>
        </w:rPr>
        <w:t>工</w:t>
      </w:r>
      <w:r>
        <w:rPr>
          <w:color w:val="auto"/>
        </w:rPr>
        <w:t>对危险的辨识能力和应对力。</w:t>
      </w:r>
    </w:p>
    <w:p>
      <w:pPr>
        <w:bidi w:val="0"/>
        <w:rPr>
          <w:color w:val="auto"/>
        </w:rPr>
      </w:pPr>
      <w:r>
        <w:rPr>
          <w:rFonts w:hint="eastAsia"/>
          <w:color w:val="auto"/>
          <w:lang w:val="en-US" w:eastAsia="zh-CN"/>
        </w:rPr>
        <w:t>5、</w:t>
      </w:r>
      <w:r>
        <w:rPr>
          <w:color w:val="auto"/>
        </w:rPr>
        <w:t>制定专项应急预案，包括触电，火灾，爆炸的预案，以便在事故发生时，将</w:t>
      </w:r>
      <w:r>
        <w:rPr>
          <w:rFonts w:hint="eastAsia"/>
          <w:color w:val="auto"/>
          <w:lang w:val="en-US" w:eastAsia="zh-CN"/>
        </w:rPr>
        <w:t>事</w:t>
      </w:r>
      <w:r>
        <w:rPr>
          <w:color w:val="auto"/>
        </w:rPr>
        <w:t>故对人和充电站的损失降到最低。</w:t>
      </w:r>
    </w:p>
    <w:p>
      <w:pPr>
        <w:bidi w:val="0"/>
        <w:rPr>
          <w:color w:val="auto"/>
        </w:rPr>
      </w:pPr>
      <w:r>
        <w:rPr>
          <w:rFonts w:hint="eastAsia"/>
          <w:color w:val="auto"/>
          <w:lang w:val="en-US" w:eastAsia="zh-CN"/>
        </w:rPr>
        <w:t>6、</w:t>
      </w:r>
      <w:r>
        <w:rPr>
          <w:color w:val="auto"/>
        </w:rPr>
        <w:t>未经过公司三级安全教育的员工不得上</w:t>
      </w:r>
      <w:r>
        <w:rPr>
          <w:rFonts w:hint="eastAsia"/>
          <w:color w:val="auto"/>
          <w:lang w:val="en-US" w:eastAsia="zh-CN"/>
        </w:rPr>
        <w:t>岗</w:t>
      </w:r>
      <w:r>
        <w:rPr>
          <w:color w:val="auto"/>
        </w:rPr>
        <w:t>.</w:t>
      </w:r>
    </w:p>
    <w:p>
      <w:pPr>
        <w:bidi w:val="0"/>
        <w:rPr>
          <w:color w:val="auto"/>
        </w:rPr>
      </w:pPr>
      <w:r>
        <w:rPr>
          <w:rFonts w:hint="eastAsia"/>
          <w:color w:val="auto"/>
          <w:lang w:val="en-US" w:eastAsia="zh-CN"/>
        </w:rPr>
        <w:t>7、</w:t>
      </w:r>
      <w:r>
        <w:rPr>
          <w:color w:val="auto"/>
        </w:rPr>
        <w:t>特种</w:t>
      </w:r>
      <w:r>
        <w:rPr>
          <w:rFonts w:hint="eastAsia"/>
          <w:color w:val="auto"/>
          <w:lang w:val="en-US" w:eastAsia="zh-CN"/>
        </w:rPr>
        <w:t>作业人员</w:t>
      </w:r>
      <w:r>
        <w:rPr>
          <w:color w:val="auto"/>
        </w:rPr>
        <w:t>必须取得资格证</w:t>
      </w:r>
      <w:r>
        <w:rPr>
          <w:rFonts w:hint="eastAsia"/>
          <w:color w:val="auto"/>
          <w:lang w:val="en-US" w:eastAsia="zh-CN"/>
        </w:rPr>
        <w:t>书</w:t>
      </w:r>
      <w:r>
        <w:rPr>
          <w:color w:val="auto"/>
        </w:rPr>
        <w:t>才能上岗.</w:t>
      </w:r>
    </w:p>
    <w:p>
      <w:pPr>
        <w:bidi w:val="0"/>
        <w:rPr>
          <w:color w:val="auto"/>
        </w:rPr>
      </w:pPr>
      <w:r>
        <w:rPr>
          <w:rFonts w:hint="eastAsia"/>
          <w:color w:val="auto"/>
          <w:lang w:val="en-US" w:eastAsia="zh-CN"/>
        </w:rPr>
        <w:t>8、充电站主要负责人</w:t>
      </w:r>
      <w:r>
        <w:rPr>
          <w:color w:val="auto"/>
        </w:rPr>
        <w:t>每月都应举行一次安全活动</w:t>
      </w:r>
      <w:r>
        <w:rPr>
          <w:rFonts w:hint="eastAsia"/>
          <w:color w:val="auto"/>
          <w:lang w:eastAsia="zh-CN"/>
        </w:rPr>
        <w:t>，</w:t>
      </w:r>
      <w:r>
        <w:rPr>
          <w:color w:val="auto"/>
        </w:rPr>
        <w:t>转达并学习上级下发的文件，结合本充电站整月的安全生产情况，按照安全生产规程找出本月有哪些违章的操作和危险有害因素，针对这些做出防范措施并落实到工作中。</w:t>
      </w:r>
    </w:p>
    <w:p>
      <w:pPr>
        <w:bidi w:val="0"/>
        <w:rPr>
          <w:rFonts w:hint="eastAsia" w:eastAsia="宋体"/>
          <w:color w:val="auto"/>
          <w:lang w:eastAsia="zh-CN"/>
        </w:rPr>
      </w:pPr>
      <w:r>
        <w:rPr>
          <w:rFonts w:hint="eastAsia"/>
          <w:color w:val="auto"/>
          <w:lang w:val="en-US" w:eastAsia="zh-CN"/>
        </w:rPr>
        <w:t>9、</w:t>
      </w:r>
      <w:r>
        <w:rPr>
          <w:color w:val="auto"/>
        </w:rPr>
        <w:t>要求活动中做好安全活动记录表，要详细的记录出活动中讨论的危险有害因</w:t>
      </w:r>
      <w:r>
        <w:rPr>
          <w:rFonts w:hint="eastAsia"/>
          <w:color w:val="auto"/>
          <w:lang w:val="en-US" w:eastAsia="zh-CN"/>
        </w:rPr>
        <w:t>素</w:t>
      </w:r>
      <w:r>
        <w:rPr>
          <w:color w:val="auto"/>
        </w:rPr>
        <w:t>以及提出的建议和制定的措施等</w:t>
      </w:r>
      <w:r>
        <w:rPr>
          <w:rFonts w:hint="eastAsia"/>
          <w:color w:val="auto"/>
          <w:lang w:eastAsia="zh-CN"/>
        </w:rPr>
        <w:t>。</w:t>
      </w:r>
    </w:p>
    <w:p>
      <w:pPr>
        <w:bidi w:val="0"/>
        <w:rPr>
          <w:color w:val="auto"/>
        </w:rPr>
      </w:pPr>
      <w:r>
        <w:rPr>
          <w:rFonts w:hint="eastAsia"/>
          <w:color w:val="auto"/>
          <w:lang w:val="en-US" w:eastAsia="zh-CN"/>
        </w:rPr>
        <w:t>10、</w:t>
      </w:r>
      <w:r>
        <w:rPr>
          <w:color w:val="auto"/>
        </w:rPr>
        <w:t>充电站应结合人员设</w:t>
      </w:r>
      <w:r>
        <w:rPr>
          <w:rFonts w:hint="eastAsia"/>
          <w:color w:val="auto"/>
          <w:lang w:val="en-US" w:eastAsia="zh-CN"/>
        </w:rPr>
        <w:t>备</w:t>
      </w:r>
      <w:r>
        <w:rPr>
          <w:color w:val="auto"/>
        </w:rPr>
        <w:t>和</w:t>
      </w:r>
      <w:r>
        <w:rPr>
          <w:rFonts w:hint="eastAsia"/>
          <w:color w:val="auto"/>
          <w:lang w:val="en-US" w:eastAsia="zh-CN"/>
        </w:rPr>
        <w:t>工</w:t>
      </w:r>
      <w:r>
        <w:rPr>
          <w:color w:val="auto"/>
        </w:rPr>
        <w:t>作情况制定安全管理目标</w:t>
      </w:r>
      <w:r>
        <w:rPr>
          <w:rFonts w:hint="eastAsia"/>
          <w:color w:val="auto"/>
          <w:lang w:eastAsia="zh-CN"/>
        </w:rPr>
        <w:t>，</w:t>
      </w:r>
      <w:r>
        <w:rPr>
          <w:color w:val="auto"/>
        </w:rPr>
        <w:t>每月检查</w:t>
      </w:r>
      <w:r>
        <w:rPr>
          <w:rFonts w:hint="eastAsia"/>
          <w:color w:val="auto"/>
          <w:lang w:val="en-US" w:eastAsia="zh-CN"/>
        </w:rPr>
        <w:t>目</w:t>
      </w:r>
      <w:r>
        <w:rPr>
          <w:color w:val="auto"/>
        </w:rPr>
        <w:t>标的完成情况，对存在的问题进行解决，在年终进行完成情况的总结。</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rPr>
      </w:pPr>
      <w:r>
        <w:rPr>
          <w:rFonts w:hint="eastAsia"/>
          <w:color w:val="auto"/>
          <w:sz w:val="28"/>
          <w:szCs w:val="28"/>
          <w:lang w:val="en-US" w:eastAsia="zh-CN"/>
        </w:rPr>
        <w:t>11、</w:t>
      </w:r>
      <w:r>
        <w:rPr>
          <w:rFonts w:hint="default" w:ascii="Times New Roman" w:hAnsi="Times New Roman" w:cs="Times New Roman"/>
          <w:color w:val="auto"/>
          <w:sz w:val="28"/>
        </w:rPr>
        <w:t>上岗前应按规定给员工办理工伤保险及安全责任险，并按要求</w:t>
      </w:r>
      <w:r>
        <w:rPr>
          <w:rFonts w:hint="default" w:ascii="Times New Roman" w:hAnsi="Times New Roman" w:cs="Times New Roman"/>
          <w:color w:val="auto"/>
          <w:sz w:val="28"/>
          <w:szCs w:val="28"/>
        </w:rPr>
        <w:t>进行安全投入</w:t>
      </w:r>
      <w:r>
        <w:rPr>
          <w:rFonts w:hint="default" w:ascii="Times New Roman" w:hAnsi="Times New Roman" w:cs="Times New Roman"/>
          <w:color w:val="auto"/>
          <w:sz w:val="28"/>
        </w:rPr>
        <w:t>。</w:t>
      </w:r>
      <w:r>
        <w:rPr>
          <w:rFonts w:hint="eastAsia" w:ascii="Times New Roman" w:hAnsi="Times New Roman" w:cs="Times New Roman"/>
          <w:color w:val="auto"/>
          <w:sz w:val="28"/>
          <w:lang w:val="en-US" w:eastAsia="zh-CN"/>
        </w:rPr>
        <w:t>充电</w:t>
      </w:r>
      <w:r>
        <w:rPr>
          <w:rFonts w:hint="default" w:ascii="Times New Roman" w:hAnsi="Times New Roman" w:cs="Times New Roman"/>
          <w:color w:val="auto"/>
          <w:sz w:val="28"/>
        </w:rPr>
        <w:t>站建成运行后，应开展安全生产标准化工作。</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eastAsia" w:ascii="Times New Roman" w:hAnsi="Times New Roman" w:cs="Times New Roman"/>
          <w:color w:val="auto"/>
          <w:sz w:val="28"/>
          <w:lang w:val="en-US" w:eastAsia="zh-CN"/>
        </w:rPr>
        <w:t>12、</w:t>
      </w:r>
      <w:r>
        <w:rPr>
          <w:rFonts w:hint="default" w:ascii="Times New Roman" w:hAnsi="Times New Roman" w:cs="Times New Roman"/>
          <w:color w:val="auto"/>
          <w:sz w:val="28"/>
          <w:lang w:val="en-US" w:eastAsia="zh-CN"/>
        </w:rPr>
        <w:t>根据《生产安全事故应急条例》（国务院令【2019】第708号），建设单位应：</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default" w:ascii="Times New Roman" w:hAnsi="Times New Roman" w:cs="Times New Roman"/>
          <w:color w:val="auto"/>
          <w:sz w:val="28"/>
          <w:lang w:val="en-US" w:eastAsia="zh-CN"/>
        </w:rPr>
        <w:t xml:space="preserve">（1）针对本单位可能发生的生产安全事故的特点和危害，进行风险辨识和评估，制定相应的生产安全事故应急救援预案，并向本单位从业人员公布。  </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default" w:ascii="Times New Roman" w:hAnsi="Times New Roman" w:cs="Times New Roman"/>
          <w:color w:val="auto"/>
          <w:sz w:val="28"/>
          <w:lang w:val="en-US" w:eastAsia="zh-CN"/>
        </w:rPr>
        <w:t>（2）应当将制定的生产安全事故应急救援预案按照国家有关规定报送县级以上人民政府负有安全生产监督管理职责的部门备案，并依法向社会公布。</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default" w:ascii="Times New Roman" w:hAnsi="Times New Roman" w:cs="Times New Roman"/>
          <w:color w:val="auto"/>
          <w:sz w:val="28"/>
          <w:lang w:val="en-US" w:eastAsia="zh-CN"/>
        </w:rPr>
        <w:t>（3）应当至少每半年组织1次生产安全事故应急救援预案演练，并将演练情况报送所在地县级以上地方人民政府负有安全生产监督管理职责的部门。</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default" w:ascii="Times New Roman" w:hAnsi="Times New Roman" w:cs="Times New Roman"/>
          <w:color w:val="auto"/>
          <w:sz w:val="28"/>
          <w:lang w:val="en-US" w:eastAsia="zh-CN"/>
        </w:rPr>
        <w:t>（4）应当指定兼职的应急救援人员，并且可以与邻近的应急救援队伍签订应急救援协议。应当按照国家有关规定对应急救援人员进行培训；应急救援人员经培训合格后，方可参加应急救援工作。应急救援队伍应当配备必要的应急救援装备和物资，并定期组织训练。</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default" w:ascii="Times New Roman" w:hAnsi="Times New Roman" w:cs="Times New Roman"/>
          <w:color w:val="auto"/>
          <w:sz w:val="28"/>
          <w:lang w:val="en-US" w:eastAsia="zh-CN"/>
        </w:rPr>
        <w:t>（5）应当根据本项目可能发生的生产安全事故的特点和危害，配备必要的灭火、排水、通风以及危险物品稀释、掩埋、收集等应急救援器材、设备和物资，并进行经常性维护、保养，保证正常运转。</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default" w:ascii="Times New Roman" w:hAnsi="Times New Roman" w:cs="Times New Roman"/>
          <w:color w:val="auto"/>
          <w:sz w:val="28"/>
          <w:lang w:val="en-US" w:eastAsia="zh-CN"/>
        </w:rPr>
        <w:t>（6）应当建立应急值班制度，配备应急值班人员。</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default" w:ascii="Times New Roman" w:hAnsi="Times New Roman" w:cs="Times New Roman"/>
          <w:color w:val="auto"/>
          <w:sz w:val="28"/>
          <w:lang w:val="en-US" w:eastAsia="zh-CN"/>
        </w:rPr>
        <w:t>（7）应当对从业人员进行应急教育和培训，保证从业人员具备必要的应急知识，掌握风险防范技能和事故应急措施。</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eastAsia" w:ascii="Times New Roman" w:hAnsi="Times New Roman" w:cs="Times New Roman"/>
          <w:color w:val="auto"/>
          <w:sz w:val="28"/>
          <w:lang w:val="en-US" w:eastAsia="zh-CN"/>
        </w:rPr>
        <w:t>13</w:t>
      </w:r>
      <w:r>
        <w:rPr>
          <w:rFonts w:hint="default" w:ascii="Times New Roman" w:hAnsi="Times New Roman" w:cs="Times New Roman"/>
          <w:color w:val="auto"/>
          <w:sz w:val="28"/>
          <w:lang w:val="en-US" w:eastAsia="zh-CN"/>
        </w:rPr>
        <w:t>、</w:t>
      </w:r>
      <w:r>
        <w:rPr>
          <w:rFonts w:hint="eastAsia" w:ascii="Times New Roman" w:hAnsi="Times New Roman" w:cs="Times New Roman"/>
          <w:color w:val="auto"/>
          <w:sz w:val="28"/>
          <w:lang w:val="en-US" w:eastAsia="zh-CN"/>
        </w:rPr>
        <w:t>充电</w:t>
      </w:r>
      <w:r>
        <w:rPr>
          <w:rFonts w:hint="default" w:ascii="Times New Roman" w:hAnsi="Times New Roman" w:cs="Times New Roman"/>
          <w:color w:val="auto"/>
          <w:sz w:val="28"/>
          <w:lang w:val="en-US" w:eastAsia="zh-CN"/>
        </w:rPr>
        <w:t>站应按照消防法律、法规的要求，制定并遵守各项消防安全制度和保障消防安全的操作规程，确定消防安全重点部位，落实岗位职责和安全禁令，严格站区内动火、用电管理，做好设备维护保养及防火、防爆工作，建立完善消防档案，做好基础信息管理建设。</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eastAsia" w:ascii="Times New Roman" w:hAnsi="Times New Roman" w:cs="Times New Roman"/>
          <w:color w:val="auto"/>
          <w:sz w:val="28"/>
          <w:lang w:val="en-US" w:eastAsia="zh-CN"/>
        </w:rPr>
        <w:t>14</w:t>
      </w:r>
      <w:r>
        <w:rPr>
          <w:rFonts w:hint="default" w:ascii="Times New Roman" w:hAnsi="Times New Roman" w:cs="Times New Roman"/>
          <w:color w:val="auto"/>
          <w:sz w:val="28"/>
          <w:lang w:val="en-US" w:eastAsia="zh-CN"/>
        </w:rPr>
        <w:t>、</w:t>
      </w:r>
      <w:r>
        <w:rPr>
          <w:rFonts w:hint="eastAsia" w:ascii="Times New Roman" w:hAnsi="Times New Roman" w:cs="Times New Roman"/>
          <w:color w:val="auto"/>
          <w:sz w:val="28"/>
          <w:lang w:val="en-US" w:eastAsia="zh-CN"/>
        </w:rPr>
        <w:t>充电</w:t>
      </w:r>
      <w:r>
        <w:rPr>
          <w:rFonts w:hint="default" w:ascii="Times New Roman" w:hAnsi="Times New Roman" w:cs="Times New Roman"/>
          <w:color w:val="auto"/>
          <w:sz w:val="28"/>
          <w:lang w:val="en-US" w:eastAsia="zh-CN"/>
        </w:rPr>
        <w:t>站应设置安全管理岗位，配备人员和装备，结合</w:t>
      </w:r>
      <w:r>
        <w:rPr>
          <w:rFonts w:hint="eastAsia" w:ascii="Times New Roman" w:hAnsi="Times New Roman" w:cs="Times New Roman"/>
          <w:color w:val="auto"/>
          <w:sz w:val="28"/>
          <w:lang w:val="en-US" w:eastAsia="zh-CN"/>
        </w:rPr>
        <w:t>充电</w:t>
      </w:r>
      <w:r>
        <w:rPr>
          <w:rFonts w:hint="default" w:ascii="Times New Roman" w:hAnsi="Times New Roman" w:cs="Times New Roman"/>
          <w:color w:val="auto"/>
          <w:sz w:val="28"/>
          <w:lang w:val="en-US" w:eastAsia="zh-CN"/>
        </w:rPr>
        <w:t>站火灾特点做好经常性消防演练。</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eastAsia" w:ascii="Times New Roman" w:hAnsi="Times New Roman" w:cs="Times New Roman"/>
          <w:color w:val="auto"/>
          <w:sz w:val="28"/>
          <w:lang w:val="en-US" w:eastAsia="zh-CN"/>
        </w:rPr>
      </w:pPr>
      <w:r>
        <w:rPr>
          <w:rFonts w:hint="eastAsia" w:ascii="Times New Roman" w:hAnsi="Times New Roman" w:cs="Times New Roman"/>
          <w:color w:val="auto"/>
          <w:sz w:val="28"/>
          <w:lang w:val="en-US" w:eastAsia="zh-CN"/>
        </w:rPr>
        <w:t>18、充电站应按《企业安全生产费用提取和使用管理办法》（财资（2022）136号）相关规定，进行安全投入。</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eastAsia" w:ascii="Times New Roman" w:hAnsi="Times New Roman" w:cs="Times New Roman"/>
          <w:color w:val="auto"/>
          <w:sz w:val="28"/>
          <w:lang w:val="en-US" w:eastAsia="zh-CN"/>
        </w:rPr>
      </w:pPr>
      <w:r>
        <w:rPr>
          <w:rFonts w:hint="eastAsia" w:ascii="Times New Roman" w:hAnsi="Times New Roman" w:cs="Times New Roman"/>
          <w:color w:val="auto"/>
          <w:sz w:val="28"/>
          <w:lang w:val="en-US" w:eastAsia="zh-CN"/>
        </w:rPr>
        <w:t>19、除本站定期组织的应急演练以外，还应与加油站定期组织联合应急演练，并签订安全协议。</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eastAsia" w:ascii="Times New Roman" w:hAnsi="Times New Roman" w:cs="Times New Roman"/>
          <w:color w:val="auto"/>
          <w:sz w:val="28"/>
          <w:lang w:val="en-US" w:eastAsia="zh-CN"/>
        </w:rPr>
      </w:pPr>
      <w:r>
        <w:rPr>
          <w:rFonts w:hint="eastAsia" w:ascii="Times New Roman" w:hAnsi="Times New Roman" w:cs="Times New Roman"/>
          <w:color w:val="auto"/>
          <w:sz w:val="28"/>
          <w:lang w:val="en-US" w:eastAsia="zh-CN"/>
        </w:rPr>
        <w:t>20、充电站应有专门单位运营管理，应严格按照现行消防法律、法规和规定进行消防安全管理，落实社会单位消防安全“四个能力”。</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default" w:ascii="Times New Roman" w:hAnsi="Times New Roman" w:cs="Times New Roman"/>
          <w:color w:val="auto"/>
          <w:sz w:val="28"/>
          <w:lang w:val="en-US" w:eastAsia="zh-CN"/>
        </w:rPr>
      </w:pPr>
      <w:r>
        <w:rPr>
          <w:rFonts w:hint="eastAsia" w:ascii="Times New Roman" w:hAnsi="Times New Roman" w:cs="Times New Roman"/>
          <w:color w:val="auto"/>
          <w:sz w:val="28"/>
          <w:lang w:val="en-US" w:eastAsia="zh-CN"/>
        </w:rPr>
        <w:t>21、充电基础设施运营和使用单位，应加强对充电基础设施及其设置场所的日常消防安全检查及管理，及时消除火灾隐患。</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eastAsia" w:ascii="Times New Roman" w:hAnsi="Times New Roman" w:cs="Times New Roman"/>
          <w:color w:val="auto"/>
          <w:sz w:val="28"/>
          <w:lang w:val="en-US" w:eastAsia="zh-CN"/>
        </w:rPr>
      </w:pPr>
      <w:r>
        <w:rPr>
          <w:rFonts w:hint="eastAsia" w:ascii="Times New Roman" w:hAnsi="Times New Roman" w:cs="Times New Roman"/>
          <w:color w:val="auto"/>
          <w:sz w:val="28"/>
          <w:lang w:val="en-US" w:eastAsia="zh-CN"/>
        </w:rPr>
        <w:t>22、充电车位应有明显的标识，且应在明显位置标示“充电时禁止人员停留在车内”的警告。</w:t>
      </w:r>
    </w:p>
    <w:p>
      <w:pPr>
        <w:pStyle w:val="10"/>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textAlignment w:val="auto"/>
        <w:rPr>
          <w:rFonts w:hint="eastAsia" w:ascii="Times New Roman" w:hAnsi="Times New Roman" w:cs="Times New Roman"/>
          <w:color w:val="auto"/>
          <w:sz w:val="28"/>
          <w:lang w:val="en-US" w:eastAsia="zh-CN"/>
        </w:rPr>
      </w:pPr>
      <w:r>
        <w:rPr>
          <w:rFonts w:hint="eastAsia" w:ascii="Times New Roman" w:hAnsi="Times New Roman" w:cs="Times New Roman"/>
          <w:color w:val="auto"/>
          <w:sz w:val="28"/>
          <w:lang w:val="en-US" w:eastAsia="zh-CN"/>
        </w:rPr>
        <w:t>23、充电站内电动汽车发生火灾、碰撞、泡水等事故时，应按照 GB 38283 进行事故处置。</w:t>
      </w:r>
    </w:p>
    <w:p>
      <w:pPr>
        <w:pStyle w:val="4"/>
        <w:bidi w:val="0"/>
        <w:rPr>
          <w:color w:val="auto"/>
        </w:rPr>
      </w:pPr>
      <w:bookmarkStart w:id="146" w:name="_Toc22161"/>
      <w:bookmarkStart w:id="147" w:name="_Toc17834"/>
      <w:bookmarkStart w:id="148" w:name="_Toc16973"/>
      <w:bookmarkStart w:id="149" w:name="_Toc18162"/>
      <w:bookmarkStart w:id="150" w:name="_Toc6749"/>
      <w:r>
        <w:rPr>
          <w:rFonts w:hint="eastAsia"/>
          <w:color w:val="auto"/>
        </w:rPr>
        <w:t>7.</w:t>
      </w:r>
      <w:r>
        <w:rPr>
          <w:color w:val="auto"/>
        </w:rPr>
        <w:t>3.5施工时安全对策措施建议</w:t>
      </w:r>
      <w:bookmarkEnd w:id="146"/>
      <w:bookmarkEnd w:id="147"/>
      <w:bookmarkEnd w:id="148"/>
      <w:bookmarkEnd w:id="149"/>
      <w:bookmarkEnd w:id="150"/>
    </w:p>
    <w:p>
      <w:pPr>
        <w:bidi w:val="0"/>
        <w:rPr>
          <w:rFonts w:hint="eastAsia"/>
          <w:color w:val="auto"/>
          <w:lang w:val="en-US" w:eastAsia="zh-CN"/>
        </w:rPr>
      </w:pPr>
      <w:r>
        <w:rPr>
          <w:rFonts w:hint="eastAsia"/>
          <w:color w:val="auto"/>
          <w:lang w:val="en-US" w:eastAsia="zh-CN"/>
        </w:rPr>
        <w:t>1、安装注意事项：</w:t>
      </w:r>
    </w:p>
    <w:p>
      <w:pPr>
        <w:bidi w:val="0"/>
        <w:rPr>
          <w:rFonts w:hint="eastAsia"/>
          <w:color w:val="auto"/>
          <w:lang w:val="en-US" w:eastAsia="zh-CN"/>
        </w:rPr>
      </w:pPr>
      <w:r>
        <w:rPr>
          <w:rFonts w:hint="eastAsia"/>
          <w:color w:val="auto"/>
          <w:lang w:val="en-US" w:eastAsia="zh-CN"/>
        </w:rPr>
        <w:t>（1）按照相关施工安全法规、标准进行施工，避免发生安全事故；</w:t>
      </w:r>
    </w:p>
    <w:p>
      <w:pPr>
        <w:bidi w:val="0"/>
        <w:rPr>
          <w:rFonts w:hint="eastAsia"/>
          <w:color w:val="auto"/>
          <w:lang w:val="en-US" w:eastAsia="zh-CN"/>
        </w:rPr>
      </w:pPr>
      <w:r>
        <w:rPr>
          <w:rFonts w:hint="eastAsia"/>
          <w:color w:val="auto"/>
          <w:lang w:val="en-US" w:eastAsia="zh-CN"/>
        </w:rPr>
        <w:t>（2）安装地点避免选择在低洼易积水位置且应与周围存在具有火灾爆炸性设施、地下管线保持安全距离，安装位置应远离明火、高温、粉尘及腐蚀环境，所选用产品外壳防护等级应与安装环境相适应；</w:t>
      </w:r>
    </w:p>
    <w:p>
      <w:pPr>
        <w:bidi w:val="0"/>
        <w:rPr>
          <w:rFonts w:hint="eastAsia"/>
          <w:color w:val="auto"/>
          <w:lang w:val="en-US" w:eastAsia="zh-CN"/>
        </w:rPr>
      </w:pPr>
      <w:r>
        <w:rPr>
          <w:rFonts w:hint="eastAsia"/>
          <w:color w:val="auto"/>
          <w:lang w:val="en-US" w:eastAsia="zh-CN"/>
        </w:rPr>
        <w:t>（3）安装位置强度必须满足要求，所有固定螺栓应紧固；</w:t>
      </w:r>
    </w:p>
    <w:p>
      <w:pPr>
        <w:bidi w:val="0"/>
        <w:rPr>
          <w:rFonts w:hint="eastAsia"/>
          <w:color w:val="auto"/>
          <w:lang w:val="en-US" w:eastAsia="zh-CN"/>
        </w:rPr>
      </w:pPr>
      <w:r>
        <w:rPr>
          <w:rFonts w:hint="eastAsia"/>
          <w:color w:val="auto"/>
          <w:lang w:val="en-US" w:eastAsia="zh-CN"/>
        </w:rPr>
        <w:t>（4）吊装时按照吊装示意图和吊点标识指示进行吊装，选用满足要求的起重设备和吊索具进行吊装；</w:t>
      </w:r>
    </w:p>
    <w:p>
      <w:pPr>
        <w:bidi w:val="0"/>
        <w:rPr>
          <w:rFonts w:hint="eastAsia"/>
          <w:color w:val="auto"/>
          <w:lang w:val="en-US" w:eastAsia="zh-CN"/>
        </w:rPr>
      </w:pPr>
      <w:r>
        <w:rPr>
          <w:rFonts w:hint="eastAsia"/>
          <w:color w:val="auto"/>
          <w:lang w:val="en-US" w:eastAsia="zh-CN"/>
        </w:rPr>
        <w:t>（5）安装所选用的电缆、接线端子等部件应符合电流需求，安装前后应确保充电设备相关所有接线紧固、绝缘良好、接线正确、无磨损、挤压破坏风险，否则存在火灾及触电风险；</w:t>
      </w:r>
    </w:p>
    <w:p>
      <w:pPr>
        <w:bidi w:val="0"/>
        <w:rPr>
          <w:rFonts w:hint="eastAsia"/>
          <w:color w:val="auto"/>
          <w:lang w:val="en-US" w:eastAsia="zh-CN"/>
        </w:rPr>
      </w:pPr>
      <w:r>
        <w:rPr>
          <w:rFonts w:hint="eastAsia"/>
          <w:color w:val="auto"/>
          <w:lang w:val="en-US" w:eastAsia="zh-CN"/>
        </w:rPr>
        <w:t>（6）接线后应确保所有进入充电设备的孔洞应封堵良好，否则存在电缆延燃风险；</w:t>
      </w:r>
    </w:p>
    <w:p>
      <w:pPr>
        <w:bidi w:val="0"/>
        <w:rPr>
          <w:rFonts w:hint="eastAsia"/>
          <w:color w:val="auto"/>
          <w:lang w:val="en-US" w:eastAsia="zh-CN"/>
        </w:rPr>
      </w:pPr>
      <w:r>
        <w:rPr>
          <w:rFonts w:hint="eastAsia"/>
          <w:color w:val="auto"/>
          <w:spacing w:val="-6"/>
          <w:sz w:val="28"/>
          <w:lang w:val="en-US" w:eastAsia="zh-CN"/>
        </w:rPr>
        <w:t>（7）设备上电之前，请务必确认设备是否接地良好，以免造成触电事故；</w:t>
      </w:r>
    </w:p>
    <w:p>
      <w:pPr>
        <w:bidi w:val="0"/>
        <w:rPr>
          <w:rFonts w:hint="eastAsia"/>
          <w:color w:val="auto"/>
          <w:lang w:val="en-US" w:eastAsia="zh-CN"/>
        </w:rPr>
      </w:pPr>
      <w:r>
        <w:rPr>
          <w:rFonts w:hint="eastAsia"/>
          <w:color w:val="auto"/>
          <w:lang w:val="en-US" w:eastAsia="zh-CN"/>
        </w:rPr>
        <w:t>（8）安装完成后确保所有电气元器件保护壳、绝缘套管等装置无遗失，否则会有触电风险；</w:t>
      </w:r>
    </w:p>
    <w:p>
      <w:pPr>
        <w:bidi w:val="0"/>
        <w:rPr>
          <w:rFonts w:hint="eastAsia"/>
          <w:color w:val="auto"/>
          <w:lang w:val="en-US" w:eastAsia="zh-CN"/>
        </w:rPr>
      </w:pPr>
      <w:r>
        <w:rPr>
          <w:rFonts w:hint="eastAsia"/>
          <w:color w:val="auto"/>
          <w:lang w:val="en-US" w:eastAsia="zh-CN"/>
        </w:rPr>
        <w:t>（9）安装中若产生部件损坏应及时修复和更换，避免带病使用；</w:t>
      </w:r>
    </w:p>
    <w:p>
      <w:pPr>
        <w:bidi w:val="0"/>
        <w:rPr>
          <w:color w:val="auto"/>
          <w:lang w:eastAsia="zh-CN"/>
        </w:rPr>
      </w:pPr>
      <w:r>
        <w:rPr>
          <w:rFonts w:hint="eastAsia"/>
          <w:color w:val="auto"/>
          <w:lang w:val="en-US" w:eastAsia="zh-CN"/>
        </w:rPr>
        <w:t>（10）安装完成后请确认充电设施内部是否遗留金属工具、可燃易燃物品，否则存在火灾风险；</w:t>
      </w:r>
    </w:p>
    <w:p>
      <w:pPr>
        <w:bidi w:val="0"/>
        <w:rPr>
          <w:color w:val="auto"/>
          <w:lang w:eastAsia="zh-CN"/>
        </w:rPr>
      </w:pPr>
      <w:r>
        <w:rPr>
          <w:rFonts w:hint="eastAsia"/>
          <w:color w:val="auto"/>
          <w:lang w:val="en-US" w:eastAsia="zh-CN"/>
        </w:rPr>
        <w:t>2</w:t>
      </w:r>
      <w:r>
        <w:rPr>
          <w:color w:val="auto"/>
          <w:lang w:eastAsia="zh-CN"/>
        </w:rPr>
        <w:t>、设计单位必须具备相应资质条件。</w:t>
      </w:r>
    </w:p>
    <w:p>
      <w:pPr>
        <w:bidi w:val="0"/>
        <w:rPr>
          <w:color w:val="auto"/>
        </w:rPr>
      </w:pPr>
      <w:r>
        <w:rPr>
          <w:rFonts w:hint="eastAsia"/>
          <w:color w:val="auto"/>
          <w:lang w:val="en-US" w:eastAsia="zh-CN"/>
        </w:rPr>
        <w:t>3</w:t>
      </w:r>
      <w:r>
        <w:rPr>
          <w:color w:val="auto"/>
          <w:lang w:eastAsia="zh-CN"/>
        </w:rPr>
        <w:t>、</w:t>
      </w:r>
      <w:r>
        <w:rPr>
          <w:color w:val="auto"/>
        </w:rPr>
        <w:t>在项目建造中，建设指挥部明确建设方、施工方、监理方等多方在施工期间的安全职责，加强与施工单位和工程监理部门的联系和沟通，监督和配合施工单位共同做好建筑施工过程中的安全防范工作。</w:t>
      </w:r>
    </w:p>
    <w:p>
      <w:pPr>
        <w:bidi w:val="0"/>
        <w:rPr>
          <w:color w:val="auto"/>
          <w:lang w:eastAsia="zh-CN"/>
        </w:rPr>
      </w:pPr>
      <w:r>
        <w:rPr>
          <w:rFonts w:hint="eastAsia"/>
          <w:color w:val="auto"/>
          <w:lang w:val="en-US" w:eastAsia="zh-CN"/>
        </w:rPr>
        <w:t>4</w:t>
      </w:r>
      <w:r>
        <w:rPr>
          <w:color w:val="auto"/>
          <w:lang w:eastAsia="zh-CN"/>
        </w:rPr>
        <w:t>、承建</w:t>
      </w:r>
      <w:r>
        <w:rPr>
          <w:rFonts w:hint="eastAsia"/>
          <w:color w:val="auto"/>
          <w:lang w:eastAsia="zh-CN"/>
        </w:rPr>
        <w:t>项目</w:t>
      </w:r>
      <w:r>
        <w:rPr>
          <w:color w:val="auto"/>
          <w:lang w:eastAsia="zh-CN"/>
        </w:rPr>
        <w:t>的施工单位应具有相应资质。承建</w:t>
      </w:r>
      <w:r>
        <w:rPr>
          <w:rFonts w:hint="eastAsia"/>
          <w:color w:val="auto"/>
          <w:lang w:eastAsia="zh-CN"/>
        </w:rPr>
        <w:t>充电桩</w:t>
      </w:r>
      <w:r>
        <w:rPr>
          <w:color w:val="auto"/>
          <w:lang w:eastAsia="zh-CN"/>
        </w:rPr>
        <w:t>安装工程的施工单位应具有相应级别的安装许可证。承建防爆电气设备安装的施工单位应具有相应项目的资格证书。</w:t>
      </w:r>
    </w:p>
    <w:p>
      <w:pPr>
        <w:bidi w:val="0"/>
        <w:rPr>
          <w:color w:val="auto"/>
          <w:lang w:eastAsia="zh-CN"/>
        </w:rPr>
      </w:pPr>
      <w:r>
        <w:rPr>
          <w:rFonts w:hint="eastAsia"/>
          <w:color w:val="auto"/>
          <w:lang w:val="en-US" w:eastAsia="zh-CN"/>
        </w:rPr>
        <w:t>5</w:t>
      </w:r>
      <w:r>
        <w:rPr>
          <w:color w:val="auto"/>
          <w:lang w:eastAsia="zh-CN"/>
        </w:rPr>
        <w:t>、工程施工应按工程设计文件及工艺设备、电气仪表的产品使用说明书进行，如需修改设计或材料代用，应有原设计单位变更设计的书面文件或经原设计单位同意的设计变更书面文件。</w:t>
      </w:r>
    </w:p>
    <w:p>
      <w:pPr>
        <w:bidi w:val="0"/>
        <w:rPr>
          <w:color w:val="auto"/>
        </w:rPr>
      </w:pPr>
      <w:r>
        <w:rPr>
          <w:rFonts w:hint="eastAsia"/>
          <w:color w:val="auto"/>
          <w:lang w:val="en-US" w:eastAsia="zh-CN"/>
        </w:rPr>
        <w:t>6</w:t>
      </w:r>
      <w:r>
        <w:rPr>
          <w:color w:val="auto"/>
          <w:lang w:eastAsia="zh-CN"/>
        </w:rPr>
        <w:t>、</w:t>
      </w:r>
      <w:r>
        <w:rPr>
          <w:color w:val="auto"/>
        </w:rPr>
        <w:t>施工单位应编制施工方案，并在施工前进行设计交底和技术交底。施工方案宜包括下列内容：工程概况、施工部署、施工进度计划、资源配置计划、主要施工方法和质量标准、质量保证措施和安全保证措施、施工平面布置、施工记录。</w:t>
      </w:r>
    </w:p>
    <w:p>
      <w:pPr>
        <w:bidi w:val="0"/>
        <w:rPr>
          <w:color w:val="auto"/>
        </w:rPr>
      </w:pPr>
      <w:r>
        <w:rPr>
          <w:rFonts w:hint="eastAsia"/>
          <w:color w:val="auto"/>
          <w:lang w:val="en-US" w:eastAsia="zh-CN"/>
        </w:rPr>
        <w:t>7</w:t>
      </w:r>
      <w:r>
        <w:rPr>
          <w:color w:val="auto"/>
          <w:lang w:eastAsia="zh-CN"/>
        </w:rPr>
        <w:t>、</w:t>
      </w:r>
      <w:r>
        <w:rPr>
          <w:color w:val="auto"/>
        </w:rPr>
        <w:t>应做好施工记录，其中隐蔽工程施工记录应有建设或监理单位代表确认签字。</w:t>
      </w:r>
    </w:p>
    <w:p>
      <w:pPr>
        <w:bidi w:val="0"/>
        <w:rPr>
          <w:color w:val="auto"/>
          <w:lang w:eastAsia="zh-CN"/>
        </w:rPr>
      </w:pPr>
      <w:r>
        <w:rPr>
          <w:rFonts w:hint="eastAsia"/>
          <w:color w:val="auto"/>
          <w:lang w:val="en-US" w:eastAsia="zh-CN"/>
        </w:rPr>
        <w:t>8</w:t>
      </w:r>
      <w:r>
        <w:rPr>
          <w:color w:val="auto"/>
          <w:lang w:eastAsia="zh-CN"/>
        </w:rPr>
        <w:t>、</w:t>
      </w:r>
      <w:r>
        <w:rPr>
          <w:color w:val="auto"/>
        </w:rPr>
        <w:t>当在敷设有地下管道、线缆的地段进行土石方作业时，应采取安全施工措施。</w:t>
      </w:r>
    </w:p>
    <w:p>
      <w:pPr>
        <w:bidi w:val="0"/>
        <w:rPr>
          <w:rFonts w:hint="eastAsia"/>
          <w:color w:val="auto"/>
          <w:lang w:val="en-US" w:eastAsia="zh-CN"/>
        </w:rPr>
      </w:pPr>
      <w:r>
        <w:rPr>
          <w:rFonts w:hint="eastAsia"/>
          <w:color w:val="auto"/>
          <w:lang w:val="en-US" w:eastAsia="zh-CN"/>
        </w:rPr>
        <w:t>9、充电设施的施工过程中，施工区域要采取作业区采取有效的隔离防护、防火措施，严格加强基建施工安装过程的安全管理。控制工程施工车辆进出路线和速度，并戴防火罩。施工过程中的动火作业、高处作业、电气作业、起重作业等均按照相应的作业规程进行。</w:t>
      </w:r>
    </w:p>
    <w:p>
      <w:pPr>
        <w:bidi w:val="0"/>
        <w:rPr>
          <w:color w:val="auto"/>
        </w:rPr>
      </w:pPr>
      <w:r>
        <w:rPr>
          <w:rFonts w:hint="eastAsia"/>
          <w:color w:val="auto"/>
          <w:lang w:val="en-US" w:eastAsia="zh-CN"/>
        </w:rPr>
        <w:t>10</w:t>
      </w:r>
      <w:r>
        <w:rPr>
          <w:color w:val="auto"/>
        </w:rPr>
        <w:t>、项目在试经营运行期间，应制订完备的试经营安全运行方案，保证试经营的安全，同时搜集和积累资料，不断补充和完善安全操作规程。</w:t>
      </w:r>
    </w:p>
    <w:p>
      <w:pPr>
        <w:bidi w:val="0"/>
        <w:rPr>
          <w:color w:val="auto"/>
        </w:rPr>
      </w:pPr>
      <w:r>
        <w:rPr>
          <w:color w:val="auto"/>
        </w:rPr>
        <w:t>1</w:t>
      </w:r>
      <w:r>
        <w:rPr>
          <w:rFonts w:hint="eastAsia"/>
          <w:color w:val="auto"/>
          <w:lang w:val="en-US" w:eastAsia="zh-CN"/>
        </w:rPr>
        <w:t>1</w:t>
      </w:r>
      <w:r>
        <w:rPr>
          <w:color w:val="auto"/>
        </w:rPr>
        <w:t>、工程建成后，应组织有关人员对工程进行验收，对建筑物、构筑物、生产装置、设备设施及隐蔽工程等进行全面验收，作出验收结论；应对安全设施、设备和与安全有关的装置、附件等按有关规范进行检验、调试保证其功能达到有关技术标准、产品质量的要求，并有详细调试记录。</w:t>
      </w:r>
    </w:p>
    <w:p>
      <w:pPr>
        <w:bidi w:val="0"/>
        <w:rPr>
          <w:color w:val="auto"/>
        </w:rPr>
      </w:pPr>
      <w:r>
        <w:rPr>
          <w:color w:val="auto"/>
        </w:rPr>
        <w:t>1</w:t>
      </w:r>
      <w:r>
        <w:rPr>
          <w:rFonts w:hint="eastAsia"/>
          <w:color w:val="auto"/>
          <w:lang w:val="en-US" w:eastAsia="zh-CN"/>
        </w:rPr>
        <w:t>2</w:t>
      </w:r>
      <w:r>
        <w:rPr>
          <w:color w:val="auto"/>
        </w:rPr>
        <w:t>、工程建成后，应邀请检测、检验单位对工程的设备、附件、防雷、防静电设施进行检测、检验，确保安全设施有效。项目建成试运行</w:t>
      </w:r>
      <w:r>
        <w:rPr>
          <w:rFonts w:hint="eastAsia"/>
          <w:color w:val="auto"/>
          <w:lang w:val="en-US" w:eastAsia="zh-CN"/>
        </w:rPr>
        <w:t>一</w:t>
      </w:r>
      <w:r>
        <w:rPr>
          <w:color w:val="auto"/>
        </w:rPr>
        <w:t>个月后应申请“三同时”安全验收。</w:t>
      </w:r>
    </w:p>
    <w:p>
      <w:pPr>
        <w:pStyle w:val="2"/>
        <w:rPr>
          <w:color w:val="auto"/>
          <w:sz w:val="32"/>
          <w:szCs w:val="32"/>
        </w:rPr>
      </w:pPr>
      <w:r>
        <w:rPr>
          <w:bCs/>
          <w:color w:val="auto"/>
          <w:szCs w:val="32"/>
        </w:rPr>
        <w:br w:type="page"/>
      </w:r>
      <w:bookmarkStart w:id="151" w:name="_Toc23637"/>
      <w:bookmarkStart w:id="152" w:name="_Toc15197"/>
      <w:bookmarkStart w:id="153" w:name="_Toc32441"/>
      <w:r>
        <w:rPr>
          <w:rFonts w:hint="eastAsia"/>
          <w:color w:val="auto"/>
          <w:lang w:eastAsia="zh-CN"/>
        </w:rPr>
        <w:t xml:space="preserve">8 </w:t>
      </w:r>
      <w:r>
        <w:rPr>
          <w:color w:val="auto"/>
          <w:lang w:eastAsia="zh-CN"/>
        </w:rPr>
        <w:t>评价结论及建议</w:t>
      </w:r>
      <w:bookmarkEnd w:id="151"/>
      <w:bookmarkEnd w:id="152"/>
      <w:bookmarkEnd w:id="153"/>
    </w:p>
    <w:p>
      <w:pPr>
        <w:pStyle w:val="3"/>
        <w:rPr>
          <w:color w:val="auto"/>
        </w:rPr>
      </w:pPr>
      <w:bookmarkStart w:id="154" w:name="_Toc21782"/>
      <w:bookmarkStart w:id="155" w:name="_Toc8305"/>
      <w:bookmarkStart w:id="156" w:name="_Toc1132"/>
      <w:r>
        <w:rPr>
          <w:rFonts w:hint="eastAsia"/>
          <w:color w:val="auto"/>
        </w:rPr>
        <w:t>8</w:t>
      </w:r>
      <w:r>
        <w:rPr>
          <w:color w:val="auto"/>
        </w:rPr>
        <w:t>.1</w:t>
      </w:r>
      <w:r>
        <w:rPr>
          <w:rFonts w:hint="eastAsia"/>
          <w:color w:val="auto"/>
        </w:rPr>
        <w:t>项目评价综述</w:t>
      </w:r>
      <w:bookmarkEnd w:id="154"/>
      <w:bookmarkEnd w:id="155"/>
      <w:bookmarkEnd w:id="156"/>
    </w:p>
    <w:p>
      <w:pPr>
        <w:spacing w:line="600" w:lineRule="exact"/>
        <w:ind w:firstLine="560" w:firstLineChars="200"/>
        <w:rPr>
          <w:color w:val="auto"/>
          <w:sz w:val="28"/>
        </w:rPr>
      </w:pPr>
      <w:r>
        <w:rPr>
          <w:color w:val="auto"/>
          <w:sz w:val="28"/>
        </w:rPr>
        <w:t>通过对</w:t>
      </w:r>
      <w:r>
        <w:rPr>
          <w:color w:val="auto"/>
          <w:sz w:val="28"/>
          <w:szCs w:val="28"/>
        </w:rPr>
        <w:t>中国石化销售股份有限公司</w:t>
      </w:r>
      <w:r>
        <w:rPr>
          <w:rFonts w:hint="eastAsia"/>
          <w:color w:val="auto"/>
          <w:sz w:val="28"/>
          <w:szCs w:val="28"/>
          <w:lang w:eastAsia="zh-CN"/>
        </w:rPr>
        <w:t>江西上饶市广信石油分公司第五加油站改造项目（充电站）</w:t>
      </w:r>
      <w:r>
        <w:rPr>
          <w:color w:val="auto"/>
          <w:sz w:val="28"/>
        </w:rPr>
        <w:t>的危险、有害分析及定性、定量分析，结果为：</w:t>
      </w:r>
    </w:p>
    <w:p>
      <w:pPr>
        <w:adjustRightInd w:val="0"/>
        <w:snapToGrid w:val="0"/>
        <w:spacing w:line="600" w:lineRule="exact"/>
        <w:ind w:firstLine="560" w:firstLineChars="200"/>
        <w:rPr>
          <w:rFonts w:hint="eastAsia"/>
          <w:color w:val="auto"/>
          <w:sz w:val="28"/>
        </w:rPr>
      </w:pPr>
      <w:r>
        <w:rPr>
          <w:rFonts w:hint="eastAsia"/>
          <w:color w:val="auto"/>
          <w:sz w:val="28"/>
        </w:rPr>
        <w:t>1、</w:t>
      </w:r>
      <w:r>
        <w:rPr>
          <w:color w:val="auto"/>
          <w:sz w:val="28"/>
        </w:rPr>
        <w:t>本项目存在</w:t>
      </w:r>
      <w:r>
        <w:rPr>
          <w:rFonts w:hint="eastAsia"/>
          <w:color w:val="auto"/>
          <w:sz w:val="28"/>
        </w:rPr>
        <w:t>的主要</w:t>
      </w:r>
      <w:r>
        <w:rPr>
          <w:color w:val="auto"/>
          <w:sz w:val="28"/>
        </w:rPr>
        <w:t>危险因素有</w:t>
      </w:r>
      <w:r>
        <w:rPr>
          <w:rFonts w:hint="eastAsia"/>
          <w:color w:val="auto"/>
          <w:sz w:val="28"/>
        </w:rPr>
        <w:t>触电、</w:t>
      </w:r>
      <w:r>
        <w:rPr>
          <w:color w:val="auto"/>
          <w:sz w:val="28"/>
        </w:rPr>
        <w:t>火灾</w:t>
      </w:r>
      <w:r>
        <w:rPr>
          <w:rFonts w:hint="eastAsia"/>
          <w:color w:val="auto"/>
          <w:sz w:val="28"/>
        </w:rPr>
        <w:t>和</w:t>
      </w:r>
      <w:r>
        <w:rPr>
          <w:color w:val="auto"/>
          <w:sz w:val="28"/>
        </w:rPr>
        <w:t>爆炸</w:t>
      </w:r>
      <w:r>
        <w:rPr>
          <w:rFonts w:hint="eastAsia"/>
          <w:color w:val="auto"/>
          <w:sz w:val="28"/>
        </w:rPr>
        <w:t>、</w:t>
      </w:r>
      <w:r>
        <w:rPr>
          <w:color w:val="auto"/>
          <w:sz w:val="28"/>
        </w:rPr>
        <w:t>车辆伤害</w:t>
      </w:r>
      <w:r>
        <w:rPr>
          <w:rFonts w:hint="eastAsia"/>
          <w:color w:val="auto"/>
          <w:sz w:val="28"/>
        </w:rPr>
        <w:t>、物体打击、其他</w:t>
      </w:r>
      <w:r>
        <w:rPr>
          <w:color w:val="auto"/>
          <w:sz w:val="28"/>
        </w:rPr>
        <w:t>等</w:t>
      </w:r>
      <w:r>
        <w:rPr>
          <w:rFonts w:hint="eastAsia"/>
          <w:color w:val="auto"/>
          <w:sz w:val="28"/>
        </w:rPr>
        <w:t>；主要有害因素有噪声、高温等。</w:t>
      </w:r>
      <w:r>
        <w:rPr>
          <w:color w:val="auto"/>
          <w:sz w:val="28"/>
          <w:szCs w:val="28"/>
        </w:rPr>
        <w:t>需重点防范的危险有害因素为</w:t>
      </w:r>
      <w:r>
        <w:rPr>
          <w:rFonts w:hint="eastAsia"/>
          <w:color w:val="auto"/>
          <w:sz w:val="28"/>
          <w:szCs w:val="28"/>
        </w:rPr>
        <w:t>触电、</w:t>
      </w:r>
      <w:r>
        <w:rPr>
          <w:color w:val="auto"/>
          <w:sz w:val="28"/>
          <w:szCs w:val="28"/>
        </w:rPr>
        <w:t>火灾</w:t>
      </w:r>
      <w:r>
        <w:rPr>
          <w:rFonts w:hint="eastAsia"/>
          <w:color w:val="auto"/>
          <w:sz w:val="28"/>
          <w:szCs w:val="28"/>
        </w:rPr>
        <w:t>。</w:t>
      </w:r>
    </w:p>
    <w:p>
      <w:pPr>
        <w:autoSpaceDE w:val="0"/>
        <w:autoSpaceDN w:val="0"/>
        <w:adjustRightInd w:val="0"/>
        <w:spacing w:line="600" w:lineRule="exact"/>
        <w:ind w:firstLine="560" w:firstLineChars="200"/>
        <w:rPr>
          <w:color w:val="auto"/>
          <w:kern w:val="0"/>
          <w:sz w:val="28"/>
          <w:szCs w:val="28"/>
        </w:rPr>
      </w:pPr>
      <w:r>
        <w:rPr>
          <w:color w:val="auto"/>
          <w:sz w:val="28"/>
        </w:rPr>
        <w:t>2、</w:t>
      </w:r>
      <w:r>
        <w:rPr>
          <w:color w:val="auto"/>
          <w:sz w:val="28"/>
          <w:szCs w:val="28"/>
          <w:lang w:val="zh-CN"/>
        </w:rPr>
        <w:t>根据《危险化学品重大危险源辨识》（GB18218-2018）的规定，</w:t>
      </w:r>
      <w:r>
        <w:rPr>
          <w:rFonts w:hint="eastAsia"/>
          <w:color w:val="auto"/>
          <w:sz w:val="28"/>
          <w:szCs w:val="28"/>
          <w:lang w:val="en-US" w:eastAsia="zh-CN"/>
        </w:rPr>
        <w:t>本项目</w:t>
      </w:r>
      <w:r>
        <w:rPr>
          <w:color w:val="auto"/>
          <w:sz w:val="28"/>
        </w:rPr>
        <w:t>不构成危险化学品重大危险源</w:t>
      </w:r>
      <w:r>
        <w:rPr>
          <w:color w:val="auto"/>
          <w:sz w:val="28"/>
          <w:szCs w:val="28"/>
        </w:rPr>
        <w:t>。</w:t>
      </w:r>
    </w:p>
    <w:p>
      <w:pPr>
        <w:spacing w:line="600" w:lineRule="exact"/>
        <w:ind w:firstLine="560" w:firstLineChars="200"/>
        <w:rPr>
          <w:color w:val="auto"/>
        </w:rPr>
      </w:pPr>
      <w:r>
        <w:rPr>
          <w:color w:val="auto"/>
          <w:sz w:val="28"/>
        </w:rPr>
        <w:t>3、预先危险分析表明主要生产装置火灾、爆炸</w:t>
      </w:r>
      <w:r>
        <w:rPr>
          <w:rFonts w:hint="eastAsia"/>
          <w:color w:val="auto"/>
          <w:sz w:val="28"/>
        </w:rPr>
        <w:t>，</w:t>
      </w:r>
      <w:r>
        <w:rPr>
          <w:color w:val="auto"/>
          <w:sz w:val="28"/>
        </w:rPr>
        <w:t>触电的危险等级为</w:t>
      </w:r>
      <w:r>
        <w:rPr>
          <w:b/>
          <w:bCs/>
          <w:color w:val="auto"/>
          <w:sz w:val="28"/>
        </w:rPr>
        <w:t>Ⅲ</w:t>
      </w:r>
      <w:r>
        <w:rPr>
          <w:color w:val="auto"/>
          <w:sz w:val="28"/>
        </w:rPr>
        <w:t>级，其余危险等级为</w:t>
      </w:r>
      <w:r>
        <w:rPr>
          <w:b/>
          <w:bCs/>
          <w:color w:val="auto"/>
          <w:sz w:val="28"/>
        </w:rPr>
        <w:t>Ⅱ</w:t>
      </w:r>
      <w:r>
        <w:rPr>
          <w:color w:val="auto"/>
          <w:sz w:val="28"/>
        </w:rPr>
        <w:t>级。</w:t>
      </w:r>
    </w:p>
    <w:p>
      <w:pPr>
        <w:spacing w:line="600" w:lineRule="exact"/>
        <w:ind w:firstLine="560" w:firstLineChars="200"/>
        <w:rPr>
          <w:bCs/>
          <w:color w:val="auto"/>
          <w:sz w:val="28"/>
          <w:szCs w:val="21"/>
        </w:rPr>
      </w:pPr>
      <w:r>
        <w:rPr>
          <w:rFonts w:hint="eastAsia"/>
          <w:color w:val="auto"/>
          <w:sz w:val="28"/>
          <w:lang w:val="en-US" w:eastAsia="zh-CN"/>
        </w:rPr>
        <w:t>4</w:t>
      </w:r>
      <w:r>
        <w:rPr>
          <w:color w:val="auto"/>
          <w:sz w:val="28"/>
        </w:rPr>
        <w:t>、从作业条件危险性分析</w:t>
      </w:r>
      <w:r>
        <w:rPr>
          <w:bCs/>
          <w:color w:val="auto"/>
          <w:sz w:val="28"/>
          <w:szCs w:val="21"/>
        </w:rPr>
        <w:t>结果可以看出，在选定的单元中作业条件</w:t>
      </w:r>
      <w:r>
        <w:rPr>
          <w:rFonts w:hAnsi="宋体"/>
          <w:bCs/>
          <w:color w:val="auto"/>
          <w:spacing w:val="-4"/>
          <w:sz w:val="28"/>
          <w:szCs w:val="28"/>
        </w:rPr>
        <w:t>均在</w:t>
      </w:r>
      <w:r>
        <w:rPr>
          <w:rFonts w:hint="eastAsia" w:hAnsi="宋体"/>
          <w:bCs/>
          <w:color w:val="auto"/>
          <w:spacing w:val="-4"/>
          <w:sz w:val="28"/>
          <w:szCs w:val="28"/>
        </w:rPr>
        <w:t>“</w:t>
      </w:r>
      <w:r>
        <w:rPr>
          <w:rFonts w:hAnsi="宋体"/>
          <w:color w:val="auto"/>
          <w:spacing w:val="-4"/>
          <w:sz w:val="28"/>
          <w:szCs w:val="28"/>
        </w:rPr>
        <w:t>一般危险</w:t>
      </w:r>
      <w:r>
        <w:rPr>
          <w:rFonts w:hint="eastAsia" w:hAnsi="宋体"/>
          <w:color w:val="auto"/>
          <w:spacing w:val="-4"/>
          <w:sz w:val="28"/>
          <w:szCs w:val="28"/>
        </w:rPr>
        <w:t>”“稍有危险</w:t>
      </w:r>
      <w:r>
        <w:rPr>
          <w:rFonts w:hint="eastAsia" w:hAnsi="宋体"/>
          <w:bCs/>
          <w:color w:val="auto"/>
          <w:spacing w:val="-4"/>
          <w:sz w:val="28"/>
          <w:szCs w:val="28"/>
        </w:rPr>
        <w:t>”</w:t>
      </w:r>
      <w:r>
        <w:rPr>
          <w:rFonts w:hAnsi="宋体"/>
          <w:bCs/>
          <w:color w:val="auto"/>
          <w:spacing w:val="-4"/>
          <w:sz w:val="28"/>
          <w:szCs w:val="28"/>
        </w:rPr>
        <w:t>范围，作业条件相对安全。</w:t>
      </w:r>
    </w:p>
    <w:p>
      <w:pPr>
        <w:spacing w:line="600" w:lineRule="exact"/>
        <w:ind w:firstLine="560" w:firstLineChars="200"/>
        <w:rPr>
          <w:color w:val="auto"/>
          <w:sz w:val="28"/>
        </w:rPr>
      </w:pPr>
      <w:r>
        <w:rPr>
          <w:rFonts w:hint="eastAsia"/>
          <w:color w:val="auto"/>
          <w:sz w:val="28"/>
          <w:lang w:val="en-US" w:eastAsia="zh-CN"/>
        </w:rPr>
        <w:t>5</w:t>
      </w:r>
      <w:r>
        <w:rPr>
          <w:color w:val="auto"/>
          <w:sz w:val="28"/>
        </w:rPr>
        <w:t>、</w:t>
      </w:r>
      <w:r>
        <w:rPr>
          <w:rFonts w:hint="eastAsia"/>
          <w:color w:val="auto"/>
          <w:sz w:val="28"/>
          <w:lang w:val="en-US" w:eastAsia="zh-CN"/>
        </w:rPr>
        <w:t>本项目</w:t>
      </w:r>
      <w:r>
        <w:rPr>
          <w:color w:val="auto"/>
          <w:sz w:val="28"/>
          <w:szCs w:val="28"/>
        </w:rPr>
        <w:t>选址能够符合当地规划，外部环境总体相对安全</w:t>
      </w:r>
      <w:r>
        <w:rPr>
          <w:bCs/>
          <w:color w:val="auto"/>
          <w:sz w:val="28"/>
          <w:szCs w:val="28"/>
        </w:rPr>
        <w:t>。</w:t>
      </w:r>
    </w:p>
    <w:p>
      <w:pPr>
        <w:snapToGrid w:val="0"/>
        <w:spacing w:line="600" w:lineRule="exact"/>
        <w:ind w:firstLine="560" w:firstLineChars="200"/>
        <w:rPr>
          <w:color w:val="auto"/>
          <w:sz w:val="28"/>
        </w:rPr>
      </w:pPr>
      <w:r>
        <w:rPr>
          <w:rFonts w:hint="eastAsia"/>
          <w:color w:val="auto"/>
          <w:sz w:val="28"/>
          <w:lang w:val="en-US" w:eastAsia="zh-CN"/>
        </w:rPr>
        <w:t>6</w:t>
      </w:r>
      <w:r>
        <w:rPr>
          <w:color w:val="auto"/>
          <w:sz w:val="28"/>
        </w:rPr>
        <w:t>、本</w:t>
      </w:r>
      <w:r>
        <w:rPr>
          <w:rFonts w:hint="eastAsia"/>
          <w:color w:val="auto"/>
          <w:sz w:val="28"/>
        </w:rPr>
        <w:t>建设</w:t>
      </w:r>
      <w:r>
        <w:rPr>
          <w:color w:val="auto"/>
          <w:sz w:val="28"/>
        </w:rPr>
        <w:t>项目采用成熟的工艺设备，项目在严格按照国家相关法规、法规及技术标准制造、安装、检测检验的情况下，其安全生产风险程度在可接受范围。</w:t>
      </w:r>
    </w:p>
    <w:p>
      <w:pPr>
        <w:pStyle w:val="3"/>
        <w:rPr>
          <w:color w:val="auto"/>
        </w:rPr>
      </w:pPr>
      <w:bookmarkStart w:id="157" w:name="_Toc478378224"/>
      <w:bookmarkStart w:id="158" w:name="_Toc382922582"/>
      <w:bookmarkStart w:id="159" w:name="_Toc3023"/>
      <w:bookmarkStart w:id="160" w:name="_Toc28275"/>
      <w:r>
        <w:rPr>
          <w:color w:val="auto"/>
        </w:rPr>
        <w:t>8.</w:t>
      </w:r>
      <w:r>
        <w:rPr>
          <w:rFonts w:hint="eastAsia"/>
          <w:color w:val="auto"/>
          <w:lang w:val="en-US" w:eastAsia="zh-CN"/>
        </w:rPr>
        <w:t>2</w:t>
      </w:r>
      <w:r>
        <w:rPr>
          <w:color w:val="auto"/>
        </w:rPr>
        <w:t>建议</w:t>
      </w:r>
      <w:bookmarkEnd w:id="157"/>
      <w:bookmarkEnd w:id="158"/>
      <w:bookmarkEnd w:id="159"/>
      <w:bookmarkEnd w:id="160"/>
    </w:p>
    <w:p>
      <w:pPr>
        <w:snapToGrid w:val="0"/>
        <w:spacing w:line="600" w:lineRule="exact"/>
        <w:ind w:firstLine="560" w:firstLineChars="200"/>
        <w:rPr>
          <w:color w:val="auto"/>
          <w:sz w:val="28"/>
          <w:szCs w:val="28"/>
        </w:rPr>
      </w:pPr>
      <w:r>
        <w:rPr>
          <w:color w:val="auto"/>
          <w:sz w:val="28"/>
          <w:szCs w:val="28"/>
        </w:rPr>
        <w:t>1、该项目在设计、施工建设过程中应认真落实提出的安全对策措施，竣工后必须进行竣工检测检查及验收。</w:t>
      </w:r>
    </w:p>
    <w:p>
      <w:pPr>
        <w:snapToGrid w:val="0"/>
        <w:spacing w:line="600" w:lineRule="exact"/>
        <w:ind w:firstLine="560" w:firstLineChars="200"/>
        <w:rPr>
          <w:color w:val="auto"/>
          <w:sz w:val="28"/>
          <w:szCs w:val="28"/>
        </w:rPr>
      </w:pPr>
      <w:r>
        <w:rPr>
          <w:rFonts w:hint="eastAsia"/>
          <w:color w:val="auto"/>
          <w:sz w:val="28"/>
          <w:szCs w:val="28"/>
          <w:lang w:val="en-US" w:eastAsia="zh-CN"/>
        </w:rPr>
        <w:t>2</w:t>
      </w:r>
      <w:r>
        <w:rPr>
          <w:color w:val="auto"/>
          <w:sz w:val="28"/>
          <w:szCs w:val="28"/>
        </w:rPr>
        <w:t>、安全设施在施工、安装过程及完成后应经相应的检测检验。</w:t>
      </w:r>
    </w:p>
    <w:p>
      <w:pPr>
        <w:snapToGrid w:val="0"/>
        <w:spacing w:line="600" w:lineRule="exact"/>
        <w:ind w:firstLine="560" w:firstLineChars="200"/>
        <w:rPr>
          <w:color w:val="auto"/>
          <w:sz w:val="28"/>
          <w:szCs w:val="28"/>
        </w:rPr>
      </w:pPr>
      <w:r>
        <w:rPr>
          <w:rFonts w:hint="eastAsia"/>
          <w:color w:val="auto"/>
          <w:sz w:val="28"/>
          <w:szCs w:val="28"/>
          <w:lang w:val="en-US" w:eastAsia="zh-CN"/>
        </w:rPr>
        <w:t>3</w:t>
      </w:r>
      <w:r>
        <w:rPr>
          <w:color w:val="auto"/>
          <w:sz w:val="28"/>
          <w:szCs w:val="28"/>
        </w:rPr>
        <w:t>、建立安全保证体系，实施安全标准化管理。</w:t>
      </w:r>
    </w:p>
    <w:p>
      <w:pPr>
        <w:snapToGrid w:val="0"/>
        <w:spacing w:line="600" w:lineRule="exact"/>
        <w:ind w:firstLine="560" w:firstLineChars="200"/>
        <w:rPr>
          <w:rFonts w:hint="eastAsia"/>
          <w:color w:val="auto"/>
          <w:sz w:val="28"/>
          <w:szCs w:val="28"/>
          <w:lang w:val="en-US" w:eastAsia="zh-CN"/>
        </w:rPr>
      </w:pPr>
      <w:r>
        <w:rPr>
          <w:rFonts w:hint="eastAsia"/>
          <w:color w:val="auto"/>
          <w:sz w:val="28"/>
          <w:szCs w:val="28"/>
          <w:lang w:val="en-US" w:eastAsia="zh-CN"/>
        </w:rPr>
        <w:t>4、投入试运营前，必须进行严格的人员技术培训、安全培训，编制完善的安全操作规程，确保安全。</w:t>
      </w:r>
    </w:p>
    <w:p>
      <w:pPr>
        <w:snapToGrid w:val="0"/>
        <w:spacing w:line="600" w:lineRule="exact"/>
        <w:ind w:firstLine="560" w:firstLineChars="200"/>
        <w:rPr>
          <w:rFonts w:hint="eastAsia"/>
          <w:color w:val="auto"/>
          <w:sz w:val="28"/>
          <w:szCs w:val="28"/>
          <w:lang w:val="en-US" w:eastAsia="zh-CN"/>
        </w:rPr>
      </w:pPr>
      <w:r>
        <w:rPr>
          <w:rFonts w:hint="eastAsia"/>
          <w:color w:val="auto"/>
          <w:sz w:val="28"/>
          <w:szCs w:val="28"/>
          <w:lang w:val="en-US" w:eastAsia="zh-CN"/>
        </w:rPr>
        <w:t>5、企业应编制相应的专项事故应急救援预案，明确具体突发情况中的应急救援措施以及紧急疏散的路线等，并定期进行演练，确保预案的可操作性。</w:t>
      </w:r>
    </w:p>
    <w:p>
      <w:pPr>
        <w:snapToGrid w:val="0"/>
        <w:spacing w:line="600" w:lineRule="exact"/>
        <w:ind w:firstLine="560" w:firstLineChars="200"/>
        <w:rPr>
          <w:rFonts w:hint="default"/>
          <w:color w:val="auto"/>
          <w:sz w:val="28"/>
          <w:szCs w:val="28"/>
          <w:lang w:val="en-US" w:eastAsia="zh-CN"/>
        </w:rPr>
      </w:pPr>
      <w:r>
        <w:rPr>
          <w:rFonts w:hint="eastAsia"/>
          <w:color w:val="auto"/>
          <w:sz w:val="28"/>
          <w:szCs w:val="28"/>
          <w:lang w:val="en-US" w:eastAsia="zh-CN"/>
        </w:rPr>
        <w:t>6、企业应做好所有的检查记录，包括对各类设备、设施的检查和记录，还包括对消防器材等的检查记录。还应建立包括“动火许可”、“现场施工许可”等作业票证，实行“无票不准动火”等制度许可。</w:t>
      </w:r>
    </w:p>
    <w:p>
      <w:pPr>
        <w:pStyle w:val="3"/>
        <w:rPr>
          <w:color w:val="auto"/>
        </w:rPr>
      </w:pPr>
      <w:bookmarkStart w:id="161" w:name="_Toc10803"/>
      <w:bookmarkStart w:id="162" w:name="_Toc29337"/>
      <w:bookmarkStart w:id="163" w:name="_Toc27259"/>
      <w:r>
        <w:rPr>
          <w:rFonts w:hint="eastAsia"/>
          <w:color w:val="auto"/>
        </w:rPr>
        <w:t>8</w:t>
      </w:r>
      <w:r>
        <w:rPr>
          <w:color w:val="auto"/>
        </w:rPr>
        <w:t>.</w:t>
      </w:r>
      <w:r>
        <w:rPr>
          <w:rFonts w:hint="eastAsia"/>
          <w:color w:val="auto"/>
          <w:lang w:val="en-US" w:eastAsia="zh-CN"/>
        </w:rPr>
        <w:t>3</w:t>
      </w:r>
      <w:r>
        <w:rPr>
          <w:color w:val="auto"/>
        </w:rPr>
        <w:t>评价结论</w:t>
      </w:r>
      <w:bookmarkEnd w:id="161"/>
      <w:bookmarkEnd w:id="162"/>
      <w:bookmarkEnd w:id="163"/>
    </w:p>
    <w:p>
      <w:pPr>
        <w:snapToGrid w:val="0"/>
        <w:spacing w:line="620" w:lineRule="exact"/>
        <w:ind w:firstLine="560" w:firstLineChars="200"/>
        <w:rPr>
          <w:rFonts w:hint="eastAsia"/>
          <w:color w:val="auto"/>
          <w:sz w:val="28"/>
          <w:szCs w:val="28"/>
        </w:rPr>
      </w:pPr>
      <w:r>
        <w:rPr>
          <w:bCs/>
          <w:color w:val="auto"/>
          <w:sz w:val="28"/>
          <w:szCs w:val="28"/>
        </w:rPr>
        <w:t>1</w:t>
      </w:r>
      <w:r>
        <w:rPr>
          <w:rFonts w:hAnsi="宋体"/>
          <w:bCs/>
          <w:color w:val="auto"/>
          <w:sz w:val="28"/>
          <w:szCs w:val="28"/>
        </w:rPr>
        <w:t>、</w:t>
      </w:r>
      <w:r>
        <w:rPr>
          <w:color w:val="auto"/>
          <w:sz w:val="28"/>
          <w:szCs w:val="28"/>
        </w:rPr>
        <w:t>中国石化销售股份有限公司</w:t>
      </w:r>
      <w:r>
        <w:rPr>
          <w:rFonts w:hint="eastAsia"/>
          <w:color w:val="auto"/>
          <w:sz w:val="28"/>
          <w:szCs w:val="28"/>
          <w:lang w:eastAsia="zh-CN"/>
        </w:rPr>
        <w:t>江西上饶市广信石油分公司第五加油站改造项目（充电站）</w:t>
      </w:r>
      <w:r>
        <w:rPr>
          <w:rFonts w:hAnsi="宋体"/>
          <w:color w:val="auto"/>
          <w:sz w:val="28"/>
        </w:rPr>
        <w:t>采用的</w:t>
      </w:r>
      <w:r>
        <w:rPr>
          <w:rFonts w:hAnsi="宋体"/>
          <w:color w:val="auto"/>
          <w:sz w:val="28"/>
          <w:szCs w:val="28"/>
        </w:rPr>
        <w:t>设备设施成熟，且同类</w:t>
      </w:r>
      <w:r>
        <w:rPr>
          <w:rFonts w:hint="eastAsia" w:hAnsi="宋体"/>
          <w:color w:val="auto"/>
          <w:sz w:val="28"/>
          <w:szCs w:val="28"/>
        </w:rPr>
        <w:t>项目</w:t>
      </w:r>
      <w:r>
        <w:rPr>
          <w:rFonts w:hAnsi="宋体"/>
          <w:color w:val="auto"/>
          <w:sz w:val="28"/>
          <w:szCs w:val="28"/>
        </w:rPr>
        <w:t>在国内有</w:t>
      </w:r>
      <w:r>
        <w:rPr>
          <w:rFonts w:hint="eastAsia" w:hAnsi="宋体"/>
          <w:color w:val="auto"/>
          <w:sz w:val="28"/>
          <w:szCs w:val="28"/>
        </w:rPr>
        <w:t>许</w:t>
      </w:r>
      <w:r>
        <w:rPr>
          <w:rFonts w:hAnsi="宋体"/>
          <w:color w:val="auto"/>
          <w:sz w:val="28"/>
          <w:szCs w:val="28"/>
        </w:rPr>
        <w:t>多成功运行的先例，工程风险小</w:t>
      </w:r>
      <w:r>
        <w:rPr>
          <w:rFonts w:hint="eastAsia" w:hAnsi="宋体"/>
          <w:color w:val="auto"/>
          <w:sz w:val="28"/>
          <w:szCs w:val="28"/>
        </w:rPr>
        <w:t>。</w:t>
      </w:r>
    </w:p>
    <w:p>
      <w:pPr>
        <w:snapToGrid w:val="0"/>
        <w:spacing w:line="620" w:lineRule="exact"/>
        <w:ind w:firstLine="560" w:firstLineChars="200"/>
        <w:rPr>
          <w:rFonts w:hint="eastAsia"/>
          <w:color w:val="auto"/>
          <w:sz w:val="28"/>
          <w:szCs w:val="28"/>
        </w:rPr>
      </w:pPr>
      <w:r>
        <w:rPr>
          <w:color w:val="auto"/>
          <w:sz w:val="28"/>
          <w:szCs w:val="28"/>
        </w:rPr>
        <w:t>2</w:t>
      </w:r>
      <w:r>
        <w:rPr>
          <w:rFonts w:hAnsi="宋体"/>
          <w:color w:val="auto"/>
          <w:sz w:val="28"/>
          <w:szCs w:val="28"/>
        </w:rPr>
        <w:t>、项目的建成能够为企业的发展带来新的</w:t>
      </w:r>
      <w:r>
        <w:rPr>
          <w:rFonts w:hint="eastAsia" w:hAnsi="宋体"/>
          <w:color w:val="auto"/>
          <w:sz w:val="28"/>
          <w:szCs w:val="28"/>
        </w:rPr>
        <w:t>增</w:t>
      </w:r>
      <w:r>
        <w:rPr>
          <w:rFonts w:hAnsi="宋体"/>
          <w:color w:val="auto"/>
          <w:sz w:val="28"/>
          <w:szCs w:val="28"/>
        </w:rPr>
        <w:t>长点，对活跃当地经济、为人民生活提供便利均具有积极意义；同时项目具有清洁经营、环境保护性好的特点，符合国家政策</w:t>
      </w:r>
      <w:r>
        <w:rPr>
          <w:rFonts w:hint="eastAsia" w:hAnsi="宋体"/>
          <w:color w:val="auto"/>
          <w:sz w:val="28"/>
          <w:szCs w:val="28"/>
        </w:rPr>
        <w:t>。</w:t>
      </w:r>
    </w:p>
    <w:p>
      <w:pPr>
        <w:spacing w:line="600" w:lineRule="exact"/>
        <w:ind w:firstLine="560" w:firstLineChars="200"/>
        <w:rPr>
          <w:rFonts w:hint="eastAsia"/>
          <w:color w:val="auto"/>
          <w:sz w:val="28"/>
          <w:szCs w:val="28"/>
        </w:rPr>
      </w:pPr>
      <w:r>
        <w:rPr>
          <w:color w:val="auto"/>
          <w:sz w:val="28"/>
          <w:szCs w:val="28"/>
        </w:rPr>
        <w:t>3</w:t>
      </w:r>
      <w:r>
        <w:rPr>
          <w:rFonts w:hAnsi="宋体"/>
          <w:color w:val="auto"/>
          <w:sz w:val="28"/>
          <w:szCs w:val="28"/>
        </w:rPr>
        <w:t>、</w:t>
      </w:r>
      <w:r>
        <w:rPr>
          <w:color w:val="auto"/>
          <w:sz w:val="28"/>
          <w:szCs w:val="28"/>
        </w:rPr>
        <w:t>项目选址外部环境能够满足安全要求</w:t>
      </w:r>
      <w:r>
        <w:rPr>
          <w:rFonts w:hint="eastAsia" w:hAnsi="宋体"/>
          <w:color w:val="auto"/>
          <w:sz w:val="28"/>
          <w:szCs w:val="28"/>
        </w:rPr>
        <w:t>。</w:t>
      </w:r>
    </w:p>
    <w:p>
      <w:pPr>
        <w:spacing w:line="600" w:lineRule="exact"/>
        <w:ind w:firstLine="554" w:firstLineChars="200"/>
        <w:rPr>
          <w:b/>
          <w:bCs/>
          <w:color w:val="auto"/>
          <w:spacing w:val="-2"/>
          <w:sz w:val="28"/>
          <w:szCs w:val="28"/>
        </w:rPr>
      </w:pPr>
      <w:r>
        <w:rPr>
          <w:b/>
          <w:color w:val="auto"/>
          <w:spacing w:val="-2"/>
          <w:sz w:val="28"/>
          <w:szCs w:val="28"/>
        </w:rPr>
        <w:t>综上所述：</w:t>
      </w:r>
      <w:r>
        <w:rPr>
          <w:rFonts w:hint="eastAsia"/>
          <w:b/>
          <w:color w:val="auto"/>
          <w:spacing w:val="-2"/>
          <w:sz w:val="28"/>
          <w:szCs w:val="28"/>
          <w:lang w:val="en-US" w:eastAsia="zh-CN"/>
        </w:rPr>
        <w:t>该项目的建设能够方便快捷的对现有加油站进行改造，使加油站增加电动汽车充电服务功能，可以快速增加电动汽车充电服务网点。</w:t>
      </w:r>
      <w:r>
        <w:rPr>
          <w:b/>
          <w:color w:val="auto"/>
          <w:spacing w:val="-2"/>
          <w:sz w:val="28"/>
          <w:szCs w:val="28"/>
        </w:rPr>
        <w:t>在以后的项目建设和运行阶段，</w:t>
      </w:r>
      <w:r>
        <w:rPr>
          <w:rFonts w:hint="eastAsia"/>
          <w:b/>
          <w:color w:val="auto"/>
          <w:spacing w:val="-2"/>
          <w:sz w:val="28"/>
          <w:szCs w:val="28"/>
        </w:rPr>
        <w:t>如初步设计</w:t>
      </w:r>
      <w:r>
        <w:rPr>
          <w:b/>
          <w:color w:val="auto"/>
          <w:spacing w:val="-2"/>
          <w:sz w:val="28"/>
          <w:szCs w:val="28"/>
        </w:rPr>
        <w:t>和建设施工、安装调试及生产运行中，应严格执行国家有关安全生产法律、法规和有关标准、规范，合理采纳本报告书中安全对策措施建议，真正做到安全设施与主体工程同时设计、同时施工、同时投入生产和使用，同时保证</w:t>
      </w:r>
      <w:r>
        <w:rPr>
          <w:b/>
          <w:color w:val="auto"/>
          <w:spacing w:val="-2"/>
          <w:sz w:val="28"/>
        </w:rPr>
        <w:t>企业的安全设施设备和安全管理体系、制度综合发挥作用，</w:t>
      </w:r>
      <w:r>
        <w:rPr>
          <w:b/>
          <w:color w:val="auto"/>
          <w:spacing w:val="-2"/>
          <w:sz w:val="28"/>
          <w:szCs w:val="28"/>
        </w:rPr>
        <w:t>拟建的中国石化销售股份有限公司</w:t>
      </w:r>
      <w:r>
        <w:rPr>
          <w:rFonts w:hint="eastAsia"/>
          <w:b/>
          <w:color w:val="auto"/>
          <w:spacing w:val="-2"/>
          <w:sz w:val="28"/>
          <w:szCs w:val="28"/>
          <w:lang w:eastAsia="zh-CN"/>
        </w:rPr>
        <w:t>江西上饶市广信石油分公司第五加油站改造项目（充电站）</w:t>
      </w:r>
      <w:r>
        <w:rPr>
          <w:b/>
          <w:color w:val="auto"/>
          <w:spacing w:val="-2"/>
          <w:sz w:val="28"/>
        </w:rPr>
        <w:t>则能够</w:t>
      </w:r>
      <w:r>
        <w:rPr>
          <w:b/>
          <w:bCs/>
          <w:color w:val="auto"/>
          <w:spacing w:val="-2"/>
          <w:sz w:val="28"/>
          <w:szCs w:val="28"/>
        </w:rPr>
        <w:t>符合现行安全生产法律、法规和技术标准、规范的要求，工程建成后运行系统的安全风险在可接受范围。</w:t>
      </w:r>
    </w:p>
    <w:p>
      <w:pPr>
        <w:snapToGrid w:val="0"/>
        <w:spacing w:line="600" w:lineRule="exact"/>
        <w:ind w:firstLine="560" w:firstLineChars="200"/>
        <w:rPr>
          <w:color w:val="auto"/>
          <w:sz w:val="28"/>
          <w:szCs w:val="28"/>
        </w:rPr>
      </w:pPr>
    </w:p>
    <w:p>
      <w:pPr>
        <w:snapToGrid w:val="0"/>
        <w:spacing w:line="620" w:lineRule="exact"/>
        <w:rPr>
          <w:color w:val="auto"/>
          <w:sz w:val="28"/>
          <w:szCs w:val="28"/>
        </w:rPr>
      </w:pPr>
    </w:p>
    <w:p>
      <w:pPr>
        <w:pStyle w:val="45"/>
        <w:rPr>
          <w:rFonts w:ascii="Verdana" w:hAnsi="Verdana"/>
          <w:color w:val="auto"/>
          <w:kern w:val="0"/>
          <w:sz w:val="20"/>
          <w:szCs w:val="20"/>
        </w:rPr>
        <w:sectPr>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linePitch="312" w:charSpace="0"/>
        </w:sectPr>
      </w:pPr>
    </w:p>
    <w:bookmarkEnd w:id="116"/>
    <w:bookmarkEnd w:id="117"/>
    <w:p>
      <w:pPr>
        <w:pStyle w:val="2"/>
        <w:bidi w:val="0"/>
        <w:rPr>
          <w:rFonts w:hint="eastAsia"/>
          <w:color w:val="auto"/>
          <w:lang w:val="en-US" w:eastAsia="zh-CN"/>
        </w:rPr>
      </w:pPr>
      <w:bookmarkStart w:id="164" w:name="_Toc13374"/>
      <w:r>
        <w:rPr>
          <w:rFonts w:hint="eastAsia"/>
          <w:color w:val="auto"/>
          <w:lang w:val="en-US" w:eastAsia="zh-CN"/>
        </w:rPr>
        <w:t>现场影像</w:t>
      </w:r>
      <w:bookmarkEnd w:id="164"/>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bookmarkStart w:id="165" w:name="_Toc46760280"/>
      <w:bookmarkStart w:id="166" w:name="_Toc28191"/>
      <w:r>
        <w:rPr>
          <w:rFonts w:hint="eastAsia" w:ascii="Times New Roman" w:hAnsi="Times New Roman" w:eastAsia="宋体" w:cs="Times New Roman"/>
          <w:b/>
          <w:bCs/>
          <w:color w:val="auto"/>
          <w:sz w:val="28"/>
          <w:lang w:eastAsia="zh-CN"/>
        </w:rPr>
        <w:drawing>
          <wp:anchor distT="0" distB="0" distL="114300" distR="114300" simplePos="0" relativeHeight="251663360" behindDoc="0" locked="0" layoutInCell="1" allowOverlap="1">
            <wp:simplePos x="0" y="0"/>
            <wp:positionH relativeFrom="column">
              <wp:posOffset>39370</wp:posOffset>
            </wp:positionH>
            <wp:positionV relativeFrom="paragraph">
              <wp:posOffset>186055</wp:posOffset>
            </wp:positionV>
            <wp:extent cx="5744845" cy="4308475"/>
            <wp:effectExtent l="0" t="0" r="8255" b="15875"/>
            <wp:wrapSquare wrapText="bothSides"/>
            <wp:docPr id="22" name="图片 22" descr="IMG_20231020_1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31020_120112"/>
                    <pic:cNvPicPr>
                      <a:picLocks noChangeAspect="1"/>
                    </pic:cNvPicPr>
                  </pic:nvPicPr>
                  <pic:blipFill>
                    <a:blip r:embed="rId20"/>
                    <a:stretch>
                      <a:fillRect/>
                    </a:stretch>
                  </pic:blipFill>
                  <pic:spPr>
                    <a:xfrm>
                      <a:off x="0" y="0"/>
                      <a:ext cx="5744845" cy="430847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0"/>
          <w:szCs w:val="32"/>
        </w:rPr>
      </w:pPr>
    </w:p>
    <w:p>
      <w:pPr>
        <w:pStyle w:val="2"/>
        <w:bidi w:val="0"/>
        <w:rPr>
          <w:rFonts w:hint="eastAsia" w:eastAsia="宋体"/>
          <w:color w:val="auto"/>
          <w:lang w:eastAsia="zh-CN"/>
        </w:rPr>
      </w:pPr>
      <w:bookmarkStart w:id="167" w:name="_Toc31542"/>
      <w:r>
        <w:rPr>
          <w:rStyle w:val="47"/>
          <w:rFonts w:hint="eastAsia"/>
          <w:b/>
          <w:bCs/>
          <w:color w:val="auto"/>
        </w:rPr>
        <w:t>附件</w:t>
      </w:r>
      <w:bookmarkEnd w:id="165"/>
      <w:bookmarkEnd w:id="166"/>
      <w:r>
        <w:rPr>
          <w:rStyle w:val="47"/>
          <w:rFonts w:hint="eastAsia"/>
          <w:b/>
          <w:bCs/>
          <w:color w:val="auto"/>
          <w:lang w:eastAsia="zh-CN"/>
        </w:rPr>
        <w:t>：</w:t>
      </w:r>
      <w:bookmarkEnd w:id="167"/>
    </w:p>
    <w:p>
      <w:pPr>
        <w:numPr>
          <w:ilvl w:val="0"/>
          <w:numId w:val="5"/>
        </w:numPr>
        <w:spacing w:line="360" w:lineRule="auto"/>
        <w:ind w:left="70" w:firstLine="560"/>
        <w:rPr>
          <w:rFonts w:hint="eastAsia"/>
          <w:color w:val="auto"/>
          <w:sz w:val="28"/>
          <w:szCs w:val="28"/>
        </w:rPr>
      </w:pPr>
      <w:r>
        <w:rPr>
          <w:rFonts w:hint="eastAsia"/>
          <w:color w:val="auto"/>
          <w:sz w:val="28"/>
          <w:szCs w:val="28"/>
        </w:rPr>
        <w:t>营业执照</w:t>
      </w:r>
    </w:p>
    <w:p>
      <w:pPr>
        <w:numPr>
          <w:ilvl w:val="0"/>
          <w:numId w:val="5"/>
        </w:numPr>
        <w:spacing w:line="360" w:lineRule="auto"/>
        <w:ind w:left="70" w:firstLine="560"/>
        <w:rPr>
          <w:rFonts w:hint="eastAsia"/>
          <w:color w:val="auto"/>
          <w:sz w:val="28"/>
          <w:szCs w:val="28"/>
        </w:rPr>
      </w:pPr>
      <w:r>
        <w:rPr>
          <w:rFonts w:hint="eastAsia"/>
          <w:color w:val="auto"/>
          <w:sz w:val="28"/>
          <w:szCs w:val="28"/>
          <w:lang w:val="en-US" w:eastAsia="zh-CN"/>
        </w:rPr>
        <w:t>立项文件</w:t>
      </w:r>
    </w:p>
    <w:p>
      <w:pPr>
        <w:numPr>
          <w:ilvl w:val="0"/>
          <w:numId w:val="5"/>
        </w:numPr>
        <w:ind w:left="70" w:firstLine="560"/>
        <w:rPr>
          <w:color w:val="auto"/>
          <w:sz w:val="28"/>
          <w:szCs w:val="36"/>
        </w:rPr>
      </w:pPr>
      <w:r>
        <w:rPr>
          <w:rFonts w:hint="eastAsia"/>
          <w:color w:val="auto"/>
          <w:sz w:val="28"/>
          <w:szCs w:val="28"/>
          <w:lang w:val="en-US" w:eastAsia="zh-CN"/>
        </w:rPr>
        <w:t>不动产证</w:t>
      </w:r>
    </w:p>
    <w:p>
      <w:pPr>
        <w:numPr>
          <w:ilvl w:val="0"/>
          <w:numId w:val="5"/>
        </w:numPr>
        <w:ind w:left="70" w:firstLine="560"/>
        <w:rPr>
          <w:color w:val="auto"/>
          <w:sz w:val="28"/>
          <w:szCs w:val="36"/>
        </w:rPr>
      </w:pPr>
      <w:r>
        <w:rPr>
          <w:rFonts w:hint="eastAsia"/>
          <w:color w:val="auto"/>
          <w:sz w:val="28"/>
          <w:szCs w:val="28"/>
          <w:lang w:val="en-US" w:eastAsia="zh-CN"/>
        </w:rPr>
        <w:t>设计单位资质证书</w:t>
      </w:r>
    </w:p>
    <w:p>
      <w:pPr>
        <w:numPr>
          <w:ilvl w:val="0"/>
          <w:numId w:val="5"/>
        </w:numPr>
        <w:ind w:left="70" w:firstLine="560"/>
        <w:rPr>
          <w:color w:val="auto"/>
          <w:sz w:val="28"/>
          <w:szCs w:val="36"/>
        </w:rPr>
      </w:pPr>
      <w:r>
        <w:rPr>
          <w:rFonts w:hint="eastAsia"/>
          <w:color w:val="auto"/>
          <w:sz w:val="28"/>
          <w:szCs w:val="28"/>
          <w:lang w:val="en-US" w:eastAsia="zh-CN"/>
        </w:rPr>
        <w:t>总平面布置图</w:t>
      </w:r>
    </w:p>
    <w:p>
      <w:pPr>
        <w:ind w:left="560" w:leftChars="200"/>
        <w:rPr>
          <w:color w:val="auto"/>
          <w:sz w:val="28"/>
          <w:szCs w:val="36"/>
        </w:rPr>
        <w:sectPr>
          <w:headerReference r:id="rId9" w:type="default"/>
          <w:footerReference r:id="rId10" w:type="default"/>
          <w:pgSz w:w="11906" w:h="16838"/>
          <w:pgMar w:top="1417" w:right="1417" w:bottom="1417" w:left="1417" w:header="851" w:footer="992" w:gutter="0"/>
          <w:cols w:space="720" w:num="1"/>
          <w:docGrid w:type="lines" w:linePitch="312" w:charSpace="0"/>
        </w:sectPr>
      </w:pPr>
    </w:p>
    <w:p>
      <w:pPr>
        <w:spacing w:line="240" w:lineRule="auto"/>
        <w:ind w:left="560" w:leftChars="200"/>
        <w:rPr>
          <w:rFonts w:hint="eastAsia" w:eastAsia="宋体"/>
          <w:color w:val="auto"/>
          <w:sz w:val="28"/>
          <w:szCs w:val="36"/>
          <w:lang w:eastAsia="zh-CN"/>
        </w:rPr>
        <w:sectPr>
          <w:headerReference r:id="rId11" w:type="default"/>
          <w:footerReference r:id="rId12" w:type="default"/>
          <w:pgSz w:w="11906" w:h="16838"/>
          <w:pgMar w:top="1417" w:right="1417" w:bottom="1417" w:left="1417" w:header="851" w:footer="992" w:gutter="0"/>
          <w:cols w:space="720" w:num="1"/>
          <w:docGrid w:type="lines" w:linePitch="312" w:charSpace="0"/>
        </w:sectPr>
      </w:pPr>
      <w:r>
        <w:drawing>
          <wp:anchor distT="0" distB="0" distL="114300" distR="114300" simplePos="0" relativeHeight="251664384" behindDoc="1" locked="0" layoutInCell="0" allowOverlap="1">
            <wp:simplePos x="0" y="0"/>
            <wp:positionH relativeFrom="page">
              <wp:posOffset>-1656715</wp:posOffset>
            </wp:positionH>
            <wp:positionV relativeFrom="page">
              <wp:posOffset>1533525</wp:posOffset>
            </wp:positionV>
            <wp:extent cx="10800080" cy="7560310"/>
            <wp:effectExtent l="0" t="0" r="2540" b="1270"/>
            <wp:wrapNone/>
            <wp:docPr id="31" name="drawingObject1"/>
            <wp:cNvGraphicFramePr/>
            <a:graphic xmlns:a="http://schemas.openxmlformats.org/drawingml/2006/main">
              <a:graphicData uri="http://schemas.openxmlformats.org/drawingml/2006/picture">
                <pic:pic xmlns:pic="http://schemas.openxmlformats.org/drawingml/2006/picture">
                  <pic:nvPicPr>
                    <pic:cNvPr id="31" name="drawingObject1"/>
                    <pic:cNvPicPr/>
                  </pic:nvPicPr>
                  <pic:blipFill>
                    <a:blip r:embed="rId21"/>
                    <a:stretch>
                      <a:fillRect/>
                    </a:stretch>
                  </pic:blipFill>
                  <pic:spPr>
                    <a:xfrm rot="16200000">
                      <a:off x="0" y="0"/>
                      <a:ext cx="10800080" cy="7560310"/>
                    </a:xfrm>
                    <a:prstGeom prst="rect">
                      <a:avLst/>
                    </a:prstGeom>
                    <a:noFill/>
                  </pic:spPr>
                </pic:pic>
              </a:graphicData>
            </a:graphic>
          </wp:anchor>
        </w:drawing>
      </w:r>
    </w:p>
    <w:p>
      <w:pPr>
        <w:spacing w:line="240" w:lineRule="auto"/>
        <w:ind w:left="560" w:leftChars="200"/>
        <w:rPr>
          <w:rFonts w:hint="eastAsia" w:eastAsia="宋体"/>
          <w:color w:val="auto"/>
          <w:sz w:val="28"/>
          <w:szCs w:val="36"/>
          <w:lang w:eastAsia="zh-CN"/>
        </w:rPr>
        <w:sectPr>
          <w:pgSz w:w="11906" w:h="16838"/>
          <w:pgMar w:top="1417" w:right="1417" w:bottom="1417" w:left="1417" w:header="851" w:footer="992" w:gutter="0"/>
          <w:cols w:space="720" w:num="1"/>
          <w:docGrid w:type="lines" w:linePitch="312" w:charSpace="0"/>
        </w:sectPr>
      </w:pPr>
      <w:r>
        <w:rPr>
          <w:rFonts w:hint="eastAsia" w:eastAsia="宋体"/>
          <w:color w:val="auto"/>
          <w:sz w:val="28"/>
          <w:szCs w:val="36"/>
          <w:lang w:eastAsia="zh-CN"/>
        </w:rPr>
        <w:drawing>
          <wp:anchor distT="0" distB="0" distL="114300" distR="114300" simplePos="0" relativeHeight="251664384" behindDoc="0" locked="0" layoutInCell="1" allowOverlap="1">
            <wp:simplePos x="0" y="0"/>
            <wp:positionH relativeFrom="column">
              <wp:posOffset>-853440</wp:posOffset>
            </wp:positionH>
            <wp:positionV relativeFrom="paragraph">
              <wp:posOffset>-907415</wp:posOffset>
            </wp:positionV>
            <wp:extent cx="7429500" cy="10506075"/>
            <wp:effectExtent l="0" t="0" r="0" b="9525"/>
            <wp:wrapSquare wrapText="bothSides"/>
            <wp:docPr id="20" name="图片 20" descr="关于上饶石油分公司广信第五加油站增设充电站项目立项的批复(复制件)(2)-副本 con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关于上饶石油分公司广信第五加油站增设充电站项目立项的批复(复制件)(2)-副本 conv 1"/>
                    <pic:cNvPicPr>
                      <a:picLocks noChangeAspect="1"/>
                    </pic:cNvPicPr>
                  </pic:nvPicPr>
                  <pic:blipFill>
                    <a:blip r:embed="rId22"/>
                    <a:stretch>
                      <a:fillRect/>
                    </a:stretch>
                  </pic:blipFill>
                  <pic:spPr>
                    <a:xfrm>
                      <a:off x="0" y="0"/>
                      <a:ext cx="7429500" cy="10506075"/>
                    </a:xfrm>
                    <a:prstGeom prst="rect">
                      <a:avLst/>
                    </a:prstGeom>
                  </pic:spPr>
                </pic:pic>
              </a:graphicData>
            </a:graphic>
          </wp:anchor>
        </w:drawing>
      </w:r>
    </w:p>
    <w:p>
      <w:pPr>
        <w:spacing w:line="240" w:lineRule="auto"/>
        <w:ind w:left="560" w:leftChars="200"/>
        <w:rPr>
          <w:rFonts w:hint="eastAsia" w:eastAsia="宋体"/>
          <w:color w:val="auto"/>
          <w:sz w:val="28"/>
          <w:szCs w:val="36"/>
          <w:lang w:eastAsia="zh-CN"/>
        </w:rPr>
        <w:sectPr>
          <w:pgSz w:w="11906" w:h="16838"/>
          <w:pgMar w:top="1417" w:right="1417" w:bottom="1417" w:left="1417" w:header="851" w:footer="992" w:gutter="0"/>
          <w:cols w:space="720" w:num="1"/>
          <w:docGrid w:type="lines" w:linePitch="312" w:charSpace="0"/>
        </w:sectPr>
      </w:pPr>
      <w:r>
        <w:rPr>
          <w:rFonts w:hint="eastAsia" w:eastAsia="宋体"/>
          <w:color w:val="auto"/>
          <w:sz w:val="28"/>
          <w:szCs w:val="36"/>
          <w:lang w:eastAsia="zh-CN"/>
        </w:rPr>
        <w:drawing>
          <wp:anchor distT="0" distB="0" distL="114300" distR="114300" simplePos="0" relativeHeight="251665408" behindDoc="0" locked="0" layoutInCell="1" allowOverlap="1">
            <wp:simplePos x="0" y="0"/>
            <wp:positionH relativeFrom="column">
              <wp:posOffset>-1071245</wp:posOffset>
            </wp:positionH>
            <wp:positionV relativeFrom="paragraph">
              <wp:posOffset>-950595</wp:posOffset>
            </wp:positionV>
            <wp:extent cx="7507605" cy="10616565"/>
            <wp:effectExtent l="0" t="0" r="17145" b="13335"/>
            <wp:wrapSquare wrapText="bothSides"/>
            <wp:docPr id="30" name="图片 30" descr="关于上饶石油分公司广信第五加油站增设充电站项目立项的批复(复制件)(2)-副本 con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关于上饶石油分公司广信第五加油站增设充电站项目立项的批复(复制件)(2)-副本 conv 2"/>
                    <pic:cNvPicPr>
                      <a:picLocks noChangeAspect="1"/>
                    </pic:cNvPicPr>
                  </pic:nvPicPr>
                  <pic:blipFill>
                    <a:blip r:embed="rId23"/>
                    <a:stretch>
                      <a:fillRect/>
                    </a:stretch>
                  </pic:blipFill>
                  <pic:spPr>
                    <a:xfrm>
                      <a:off x="0" y="0"/>
                      <a:ext cx="7507605" cy="10616565"/>
                    </a:xfrm>
                    <a:prstGeom prst="rect">
                      <a:avLst/>
                    </a:prstGeom>
                  </pic:spPr>
                </pic:pic>
              </a:graphicData>
            </a:graphic>
          </wp:anchor>
        </w:drawing>
      </w:r>
    </w:p>
    <w:p>
      <w:pPr>
        <w:ind w:left="560" w:leftChars="200"/>
        <w:rPr>
          <w:rFonts w:hint="eastAsia" w:eastAsia="宋体"/>
          <w:color w:val="auto"/>
          <w:sz w:val="28"/>
          <w:szCs w:val="36"/>
          <w:lang w:eastAsia="zh-CN"/>
        </w:rPr>
        <w:sectPr>
          <w:headerReference r:id="rId13" w:type="default"/>
          <w:footerReference r:id="rId14" w:type="default"/>
          <w:pgSz w:w="11906" w:h="16838"/>
          <w:pgMar w:top="1417" w:right="1417" w:bottom="1417" w:left="1417" w:header="851" w:footer="992" w:gutter="0"/>
          <w:cols w:space="720" w:num="1"/>
          <w:docGrid w:type="lines" w:linePitch="312" w:charSpace="0"/>
        </w:sectPr>
      </w:pPr>
      <w:r>
        <w:drawing>
          <wp:anchor distT="0" distB="0" distL="114300" distR="114300" simplePos="0" relativeHeight="251666432" behindDoc="1" locked="0" layoutInCell="0" allowOverlap="1">
            <wp:simplePos x="0" y="0"/>
            <wp:positionH relativeFrom="page">
              <wp:posOffset>-1596390</wp:posOffset>
            </wp:positionH>
            <wp:positionV relativeFrom="page">
              <wp:posOffset>1583690</wp:posOffset>
            </wp:positionV>
            <wp:extent cx="10800080" cy="7573645"/>
            <wp:effectExtent l="0" t="0" r="8255" b="1270"/>
            <wp:wrapNone/>
            <wp:docPr id="55" name="drawingObject7"/>
            <wp:cNvGraphicFramePr/>
            <a:graphic xmlns:a="http://schemas.openxmlformats.org/drawingml/2006/main">
              <a:graphicData uri="http://schemas.openxmlformats.org/drawingml/2006/picture">
                <pic:pic xmlns:pic="http://schemas.openxmlformats.org/drawingml/2006/picture">
                  <pic:nvPicPr>
                    <pic:cNvPr id="55" name="drawingObject7"/>
                    <pic:cNvPicPr/>
                  </pic:nvPicPr>
                  <pic:blipFill>
                    <a:blip r:embed="rId24"/>
                    <a:srcRect b="2873"/>
                    <a:stretch>
                      <a:fillRect/>
                    </a:stretch>
                  </pic:blipFill>
                  <pic:spPr>
                    <a:xfrm rot="16200000">
                      <a:off x="0" y="0"/>
                      <a:ext cx="10800080" cy="7573645"/>
                    </a:xfrm>
                    <a:prstGeom prst="rect">
                      <a:avLst/>
                    </a:prstGeom>
                    <a:noFill/>
                  </pic:spPr>
                </pic:pic>
              </a:graphicData>
            </a:graphic>
          </wp:anchor>
        </w:drawing>
      </w:r>
    </w:p>
    <w:p>
      <w:pPr>
        <w:ind w:left="0" w:leftChars="0" w:firstLine="0" w:firstLineChars="0"/>
        <w:rPr>
          <w:rFonts w:hint="eastAsia" w:eastAsia="宋体"/>
          <w:color w:val="auto"/>
          <w:sz w:val="28"/>
          <w:szCs w:val="36"/>
          <w:lang w:eastAsia="zh-CN"/>
        </w:rPr>
      </w:pPr>
      <w:r>
        <w:drawing>
          <wp:anchor distT="0" distB="0" distL="114300" distR="114300" simplePos="0" relativeHeight="251667456" behindDoc="1" locked="0" layoutInCell="0" allowOverlap="1">
            <wp:simplePos x="0" y="0"/>
            <wp:positionH relativeFrom="page">
              <wp:posOffset>-130810</wp:posOffset>
            </wp:positionH>
            <wp:positionV relativeFrom="page">
              <wp:posOffset>-34925</wp:posOffset>
            </wp:positionV>
            <wp:extent cx="7731125" cy="10800080"/>
            <wp:effectExtent l="0" t="0" r="3175" b="1270"/>
            <wp:wrapNone/>
            <wp:docPr id="59" name="drawingObject15"/>
            <wp:cNvGraphicFramePr/>
            <a:graphic xmlns:a="http://schemas.openxmlformats.org/drawingml/2006/main">
              <a:graphicData uri="http://schemas.openxmlformats.org/drawingml/2006/picture">
                <pic:pic xmlns:pic="http://schemas.openxmlformats.org/drawingml/2006/picture">
                  <pic:nvPicPr>
                    <pic:cNvPr id="59" name="drawingObject15"/>
                    <pic:cNvPicPr/>
                  </pic:nvPicPr>
                  <pic:blipFill>
                    <a:blip r:embed="rId25"/>
                    <a:stretch>
                      <a:fillRect/>
                    </a:stretch>
                  </pic:blipFill>
                  <pic:spPr>
                    <a:xfrm>
                      <a:off x="0" y="0"/>
                      <a:ext cx="7731125" cy="10800080"/>
                    </a:xfrm>
                    <a:prstGeom prst="rect">
                      <a:avLst/>
                    </a:prstGeom>
                    <a:noFill/>
                  </pic:spPr>
                </pic:pic>
              </a:graphicData>
            </a:graphic>
          </wp:anchor>
        </w:drawing>
      </w:r>
    </w:p>
    <w:sectPr>
      <w:pgSz w:w="11906" w:h="16838"/>
      <w:pgMar w:top="1417" w:right="1417" w:bottom="1417" w:left="1417"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Book Antiqua">
    <w:panose1 w:val="02040602050305030304"/>
    <w:charset w:val="00"/>
    <w:family w:val="roman"/>
    <w:pitch w:val="default"/>
    <w:sig w:usb0="00000287" w:usb1="00000000" w:usb2="00000000" w:usb3="00000000" w:csb0="2000009F" w:csb1="DFD70000"/>
  </w:font>
  <w:font w:name="MingLiU">
    <w:altName w:val="PMingLiU-ExtB"/>
    <w:panose1 w:val="02010609000101010101"/>
    <w:charset w:val="88"/>
    <w:family w:val="modern"/>
    <w:pitch w:val="default"/>
    <w:sig w:usb0="00000000" w:usb1="00000000" w:usb2="00000010" w:usb3="00000000" w:csb0="00100000" w:csb1="00000000"/>
  </w:font>
  <w:font w:name="AngsanaUPC">
    <w:altName w:val="Microsoft Sans Serif"/>
    <w:panose1 w:val="02020603050405020304"/>
    <w:charset w:val="DE"/>
    <w:family w:val="roman"/>
    <w:pitch w:val="default"/>
    <w:sig w:usb0="00000000" w:usb1="00000000" w:usb2="00000000" w:usb3="00000000" w:csb0="00010001" w:csb1="00000000"/>
  </w:font>
  <w:font w:name="仿宋_GB2312">
    <w:altName w:val="仿宋"/>
    <w:panose1 w:val="02010609030101010101"/>
    <w:charset w:val="86"/>
    <w:family w:val="auto"/>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3000509000000000000"/>
    <w:charset w:val="86"/>
    <w:family w:val="roman"/>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7FFAEFF" w:usb1="F9DFFFFF" w:usb2="0000007F" w:usb3="00000000" w:csb0="203F01FF" w:csb1="DFFF0000"/>
  </w:font>
  <w:font w:name="PMingLiU-ExtB">
    <w:panose1 w:val="02020500000000000000"/>
    <w:charset w:val="88"/>
    <w:family w:val="auto"/>
    <w:pitch w:val="default"/>
    <w:sig w:usb0="8000002F" w:usb1="02000008" w:usb2="00000000" w:usb3="00000000" w:csb0="00100001" w:csb1="00000000"/>
  </w:font>
  <w:font w:name="Microsoft Sans Serif">
    <w:panose1 w:val="020B0604020202020204"/>
    <w:charset w:val="00"/>
    <w:family w:val="auto"/>
    <w:pitch w:val="default"/>
    <w:sig w:usb0="E5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I</w:t>
                          </w:r>
                          <w:r>
                            <w:fldChar w:fldCharType="end"/>
                          </w:r>
                        </w:p>
                      </w:txbxContent>
                    </wps:txbx>
                    <wps:bodyPr vert="horz" wrap="none" lIns="0" tIns="0" rIns="0" bIns="0" anchor="t" anchorCtr="0" upright="0">
                      <a:spAutoFit/>
                    </wps:bodyPr>
                  </wps:wsp>
                </a:graphicData>
              </a:graphic>
            </wp:anchor>
          </w:drawing>
        </mc:Choice>
        <mc:Fallback>
          <w:pict>
            <v:shape id="文本框 3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C8KgSDo&#10;AQAAygMAAA4AAAAAAAAAAQAgAAAAIgEAAGRycy9lMm9Eb2MueG1sUEsFBgAAAAAGAAYAWQEAAHwF&#10;A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keepNext w:val="0"/>
      <w:keepLines w:val="0"/>
      <w:pageBreakBefore w:val="0"/>
      <w:framePr w:wrap="around" w:vAnchor="text" w:hAnchor="margin" w:xAlign="center" w:y="1"/>
      <w:widowControl w:val="0"/>
      <w:kinsoku/>
      <w:wordWrap/>
      <w:overflowPunct/>
      <w:topLinePunct w:val="0"/>
      <w:bidi w:val="0"/>
      <w:adjustRightInd/>
      <w:snapToGrid w:val="0"/>
      <w:spacing w:line="240" w:lineRule="auto"/>
      <w:ind w:firstLine="0" w:firstLineChars="0"/>
      <w:textAlignment w:val="auto"/>
      <w:rPr>
        <w:rStyle w:val="34"/>
      </w:rPr>
    </w:pPr>
    <w:r>
      <w:fldChar w:fldCharType="begin"/>
    </w:r>
    <w:r>
      <w:rPr>
        <w:rStyle w:val="34"/>
      </w:rPr>
      <w:instrText xml:space="preserve">PAGE  </w:instrText>
    </w:r>
    <w:r>
      <w:fldChar w:fldCharType="separate"/>
    </w:r>
    <w:r>
      <w:rPr>
        <w:rStyle w:val="34"/>
      </w:rPr>
      <w:t>VII</w:t>
    </w:r>
    <w:r>
      <w:fldChar w:fldCharType="end"/>
    </w:r>
  </w:p>
  <w:p>
    <w:pPr>
      <w:pStyle w:val="19"/>
      <w:keepNext w:val="0"/>
      <w:keepLines w:val="0"/>
      <w:pageBreakBefore w:val="0"/>
      <w:widowControl w:val="0"/>
      <w:pBdr>
        <w:top w:val="single" w:color="auto" w:sz="4" w:space="1"/>
      </w:pBdr>
      <w:kinsoku/>
      <w:wordWrap/>
      <w:overflowPunct/>
      <w:topLinePunct w:val="0"/>
      <w:bidi w:val="0"/>
      <w:adjustRightInd/>
      <w:snapToGrid w:val="0"/>
      <w:spacing w:line="240" w:lineRule="auto"/>
      <w:ind w:firstLine="0" w:firstLineChars="0"/>
      <w:jc w:val="both"/>
      <w:textAlignment w:val="auto"/>
      <w:rPr>
        <w:rFonts w:hint="eastAsia"/>
      </w:rPr>
    </w:pPr>
    <w:r>
      <w:rPr>
        <w:rFonts w:hint="eastAsia"/>
        <w:kern w:val="0"/>
        <w:szCs w:val="21"/>
      </w:rPr>
      <w:t xml:space="preserve">江西赣安安全生产科学技术咨询服务中心                                                   </w:t>
    </w:r>
    <w:r>
      <w:rPr>
        <w:kern w:val="0"/>
        <w:szCs w:val="21"/>
      </w:rPr>
      <w:t>APJ-（赣）-002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keepNext w:val="0"/>
      <w:keepLines w:val="0"/>
      <w:pageBreakBefore w:val="0"/>
      <w:widowControl w:val="0"/>
      <w:pBdr>
        <w:top w:val="single" w:color="auto" w:sz="4" w:space="1"/>
      </w:pBdr>
      <w:kinsoku/>
      <w:wordWrap/>
      <w:overflowPunct/>
      <w:topLinePunct w:val="0"/>
      <w:bidi w:val="0"/>
      <w:adjustRightInd/>
      <w:snapToGrid w:val="0"/>
      <w:spacing w:line="240" w:lineRule="auto"/>
      <w:ind w:firstLine="0" w:firstLineChars="0"/>
      <w:textAlignment w:val="auto"/>
      <w:rPr>
        <w:rFonts w:hint="eastAsia"/>
        <w:b/>
        <w:bCs/>
      </w:rPr>
    </w:pPr>
    <w:r>
      <w:rPr>
        <w:rFonts w:hint="eastAsia"/>
      </w:rPr>
      <w:t xml:space="preserve">江西赣安安全生产科学技术咨询服务中心 </w: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57200" cy="131445"/>
              <wp:effectExtent l="0" t="0" r="0" b="0"/>
              <wp:wrapNone/>
              <wp:docPr id="21" name="文本框 23"/>
              <wp:cNvGraphicFramePr/>
              <a:graphic xmlns:a="http://schemas.openxmlformats.org/drawingml/2006/main">
                <a:graphicData uri="http://schemas.microsoft.com/office/word/2010/wordprocessingShape">
                  <wps:wsp>
                    <wps:cNvSpPr txBox="1"/>
                    <wps:spPr>
                      <a:xfrm>
                        <a:off x="0" y="0"/>
                        <a:ext cx="457200" cy="131445"/>
                      </a:xfrm>
                      <a:prstGeom prst="rect">
                        <a:avLst/>
                      </a:prstGeom>
                      <a:noFill/>
                      <a:ln w="15875">
                        <a:noFill/>
                      </a:ln>
                    </wps:spPr>
                    <wps:txbx>
                      <w:txbxContent>
                        <w:p>
                          <w:pPr>
                            <w:snapToGrid w:val="0"/>
                            <w:spacing w:line="240" w:lineRule="auto"/>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wrap="square" lIns="0" tIns="0" rIns="0" bIns="0" upright="0">
                      <a:spAutoFit/>
                    </wps:bodyPr>
                  </wps:wsp>
                </a:graphicData>
              </a:graphic>
            </wp:anchor>
          </w:drawing>
        </mc:Choice>
        <mc:Fallback>
          <w:pict>
            <v:shape id="文本框 23" o:spid="_x0000_s1026" o:spt="202" type="#_x0000_t202" style="position:absolute;left:0pt;margin-top:0pt;height:10.35pt;width:36pt;mso-position-horizontal:center;mso-position-horizontal-relative:margin;z-index:251660288;mso-width-relative:page;mso-height-relative:page;" filled="f" stroked="f" coordsize="21600,21600" o:gfxdata="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sP2xHTAAAAAwEAAA8AAAAAAAAAAQAg&#10;AAAAIgAAAGRycy9kb3ducmV2LnhtbFBLAQIUABQAAAAIAIdO4kD3HWG22gEAAKUDAAAOAAAAAAAA&#10;AAEAIAAAACIBAABkcnMvZTJvRG9jLnhtbFBLBQYAAAAABgAGAFkBAABuBQAAAAA=&#10;">
              <v:fill on="f" focussize="0,0"/>
              <v:stroke on="f" weight="1.25pt"/>
              <v:imagedata o:title=""/>
              <o:lock v:ext="edit" aspectratio="f"/>
              <v:textbox inset="0mm,0mm,0mm,0mm" style="mso-fit-shape-to-text:t;">
                <w:txbxContent>
                  <w:p>
                    <w:pPr>
                      <w:snapToGrid w:val="0"/>
                      <w:spacing w:line="240" w:lineRule="auto"/>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r>
      <w:rPr>
        <w:rFonts w:hint="eastAsia"/>
        <w:kern w:val="0"/>
        <w:szCs w:val="21"/>
      </w:rPr>
      <w:t xml:space="preserve">                                                 </w:t>
    </w:r>
    <w:r>
      <w:rPr>
        <w:kern w:val="0"/>
        <w:szCs w:val="21"/>
      </w:rPr>
      <w:t>APJ-</w:t>
    </w:r>
    <w:r>
      <w:rPr>
        <w:rFonts w:hint="eastAsia"/>
        <w:kern w:val="0"/>
        <w:szCs w:val="21"/>
      </w:rPr>
      <w:t>（赣）-002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single" w:color="auto" w:sz="6" w:space="0"/>
      </w:pBdr>
      <w:kinsoku/>
      <w:wordWrap/>
      <w:overflowPunct/>
      <w:topLinePunct w:val="0"/>
      <w:bidi w:val="0"/>
      <w:adjustRightInd/>
      <w:snapToGrid w:val="0"/>
      <w:spacing w:line="240" w:lineRule="auto"/>
      <w:ind w:firstLine="0" w:firstLineChars="0"/>
      <w:jc w:val="left"/>
      <w:textAlignment w:val="auto"/>
      <w:rPr>
        <w:rFonts w:hint="eastAsia"/>
      </w:rPr>
    </w:pPr>
    <w:r>
      <w:rPr>
        <w:rFonts w:hint="eastAsia"/>
      </w:rPr>
      <w:t>中国石化销售股份有限公司</w:t>
    </w:r>
    <w:r>
      <w:rPr>
        <w:rFonts w:hint="eastAsia"/>
        <w:lang w:eastAsia="zh-CN"/>
      </w:rPr>
      <w:t>江西上饶市广信石油分公司第五加油站改造项目</w:t>
    </w:r>
    <w:r>
      <w:rPr>
        <w:rFonts w:hint="eastAsia"/>
        <w:lang w:val="en-US" w:eastAsia="zh-CN"/>
      </w:rPr>
      <w:t xml:space="preserve">（充电站） </w:t>
    </w:r>
    <w:r>
      <w:rPr>
        <w:rFonts w:hint="eastAsia"/>
      </w:rPr>
      <w:t xml:space="preserve"> </w:t>
    </w:r>
    <w:r>
      <w:t xml:space="preserve">  </w:t>
    </w:r>
    <w:r>
      <w:rPr>
        <w:rFonts w:hint="eastAsia"/>
        <w:lang w:val="en-US" w:eastAsia="zh-CN"/>
      </w:rPr>
      <w:t xml:space="preserve"> </w:t>
    </w:r>
    <w:r>
      <w:rPr>
        <w:lang w:bidi="ar"/>
      </w:rPr>
      <w:t>GAAP[</w:t>
    </w:r>
    <w:r>
      <w:rPr>
        <w:rFonts w:hint="eastAsia"/>
        <w:lang w:bidi="ar"/>
      </w:rPr>
      <w:t>20</w:t>
    </w:r>
    <w:r>
      <w:rPr>
        <w:rFonts w:hint="eastAsia"/>
        <w:lang w:val="en-US" w:eastAsia="zh-CN" w:bidi="ar"/>
      </w:rPr>
      <w:t>24</w:t>
    </w:r>
    <w:r>
      <w:rPr>
        <w:lang w:bidi="ar"/>
      </w:rPr>
      <w:t>]</w:t>
    </w:r>
    <w:r>
      <w:rPr>
        <w:rFonts w:hint="eastAsia"/>
        <w:lang w:val="en-US" w:eastAsia="zh-CN" w:bidi="ar"/>
      </w:rPr>
      <w:t xml:space="preserve">      </w:t>
    </w:r>
    <w:r>
      <w:rPr>
        <w:rFonts w:hint="eastAsia"/>
        <w:lang w:bidi="ar"/>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keepNext w:val="0"/>
      <w:keepLines w:val="0"/>
      <w:pageBreakBefore w:val="0"/>
      <w:widowControl w:val="0"/>
      <w:pBdr>
        <w:bottom w:val="single" w:color="auto" w:sz="6" w:space="0"/>
      </w:pBdr>
      <w:kinsoku/>
      <w:wordWrap/>
      <w:overflowPunct/>
      <w:topLinePunct w:val="0"/>
      <w:bidi w:val="0"/>
      <w:adjustRightInd/>
      <w:snapToGrid w:val="0"/>
      <w:spacing w:line="240" w:lineRule="auto"/>
      <w:ind w:firstLine="0" w:firstLineChars="0"/>
      <w:jc w:val="left"/>
      <w:textAlignment w:val="auto"/>
      <w:rPr>
        <w:rFonts w:hint="eastAsia"/>
      </w:rPr>
    </w:pPr>
    <w:r>
      <w:rPr>
        <w:rFonts w:hint="eastAsia"/>
      </w:rPr>
      <w:t>中国石化销售股份有限公司</w:t>
    </w:r>
    <w:r>
      <w:rPr>
        <w:rFonts w:hint="eastAsia"/>
        <w:lang w:eastAsia="zh-CN"/>
      </w:rPr>
      <w:t>江西上饶市广信石油分公司第五加油站改造项目</w:t>
    </w:r>
    <w:r>
      <w:rPr>
        <w:rFonts w:hint="eastAsia"/>
        <w:lang w:val="en-US" w:eastAsia="zh-CN"/>
      </w:rPr>
      <w:t xml:space="preserve">（充电站）   </w:t>
    </w:r>
    <w:r>
      <w:rPr>
        <w:rFonts w:hint="eastAsia"/>
      </w:rPr>
      <w:t xml:space="preserve">  </w:t>
    </w:r>
    <w:r>
      <w:t xml:space="preserve"> </w:t>
    </w:r>
    <w:r>
      <w:rPr>
        <w:rFonts w:hint="eastAsia"/>
        <w:lang w:val="en-US" w:eastAsia="zh-CN"/>
      </w:rPr>
      <w:t xml:space="preserve"> </w:t>
    </w:r>
    <w:r>
      <w:rPr>
        <w:lang w:bidi="ar"/>
      </w:rPr>
      <w:t>GAAP[</w:t>
    </w:r>
    <w:r>
      <w:rPr>
        <w:rFonts w:hint="eastAsia"/>
        <w:lang w:bidi="ar"/>
      </w:rPr>
      <w:t>202</w:t>
    </w:r>
    <w:r>
      <w:rPr>
        <w:rFonts w:hint="eastAsia"/>
        <w:lang w:val="en-US" w:eastAsia="zh-CN" w:bidi="ar"/>
      </w:rPr>
      <w:t>4</w:t>
    </w:r>
    <w:r>
      <w:rPr>
        <w:lang w:bidi="ar"/>
      </w:rPr>
      <w:t>]</w:t>
    </w:r>
    <w:r>
      <w:rPr>
        <w:rFonts w:hint="eastAsia"/>
        <w:lang w:bidi="ar"/>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478044"/>
    <w:multiLevelType w:val="singleLevel"/>
    <w:tmpl w:val="A9478044"/>
    <w:lvl w:ilvl="0" w:tentative="0">
      <w:start w:val="1"/>
      <w:numFmt w:val="decimal"/>
      <w:suff w:val="nothing"/>
      <w:lvlText w:val="（%1）"/>
      <w:lvlJc w:val="left"/>
    </w:lvl>
  </w:abstractNum>
  <w:abstractNum w:abstractNumId="1">
    <w:nsid w:val="CE014279"/>
    <w:multiLevelType w:val="singleLevel"/>
    <w:tmpl w:val="CE014279"/>
    <w:lvl w:ilvl="0" w:tentative="0">
      <w:start w:val="1"/>
      <w:numFmt w:val="decimal"/>
      <w:suff w:val="nothing"/>
      <w:lvlText w:val="%1．"/>
      <w:lvlJc w:val="left"/>
      <w:pPr>
        <w:ind w:left="210" w:firstLine="400"/>
      </w:pPr>
      <w:rPr>
        <w:rFonts w:hint="default"/>
        <w:sz w:val="28"/>
        <w:szCs w:val="28"/>
      </w:rPr>
    </w:lvl>
  </w:abstractNum>
  <w:abstractNum w:abstractNumId="2">
    <w:nsid w:val="4E58F0B8"/>
    <w:multiLevelType w:val="singleLevel"/>
    <w:tmpl w:val="4E58F0B8"/>
    <w:lvl w:ilvl="0" w:tentative="0">
      <w:start w:val="1"/>
      <w:numFmt w:val="decimal"/>
      <w:suff w:val="nothing"/>
      <w:lvlText w:val="%1、"/>
      <w:lvlJc w:val="left"/>
    </w:lvl>
  </w:abstractNum>
  <w:abstractNum w:abstractNumId="3">
    <w:nsid w:val="58EB5DA3"/>
    <w:multiLevelType w:val="singleLevel"/>
    <w:tmpl w:val="58EB5DA3"/>
    <w:lvl w:ilvl="0" w:tentative="0">
      <w:start w:val="2"/>
      <w:numFmt w:val="chineseCounting"/>
      <w:suff w:val="nothing"/>
      <w:lvlText w:val="%1、"/>
      <w:lvlJc w:val="left"/>
    </w:lvl>
  </w:abstractNum>
  <w:abstractNum w:abstractNumId="4">
    <w:nsid w:val="58EB5E69"/>
    <w:multiLevelType w:val="singleLevel"/>
    <w:tmpl w:val="58EB5E69"/>
    <w:lvl w:ilvl="0" w:tentative="0">
      <w:start w:val="1"/>
      <w:numFmt w:val="decimal"/>
      <w:suff w:val="nothing"/>
      <w:lvlText w:val="（%1）"/>
      <w:lvlJc w:val="left"/>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mYmQ5ZTY4NjZiMjcyOGEwZjU5OWI1YjEzNzgxN2YifQ=="/>
    <w:docVar w:name="KSO_WPS_MARK_KEY" w:val="6c2df52b-4556-4c3f-a28a-49dd4e7d59ba"/>
  </w:docVars>
  <w:rsids>
    <w:rsidRoot w:val="00172A27"/>
    <w:rsid w:val="00004B8F"/>
    <w:rsid w:val="00044E6A"/>
    <w:rsid w:val="00047145"/>
    <w:rsid w:val="00055580"/>
    <w:rsid w:val="0008047F"/>
    <w:rsid w:val="00082399"/>
    <w:rsid w:val="00094DE2"/>
    <w:rsid w:val="000978AC"/>
    <w:rsid w:val="000A648F"/>
    <w:rsid w:val="000D31C7"/>
    <w:rsid w:val="001407A5"/>
    <w:rsid w:val="001463ED"/>
    <w:rsid w:val="00181574"/>
    <w:rsid w:val="00183352"/>
    <w:rsid w:val="001C2599"/>
    <w:rsid w:val="001C60D3"/>
    <w:rsid w:val="001D205B"/>
    <w:rsid w:val="001F3A6B"/>
    <w:rsid w:val="00211BD4"/>
    <w:rsid w:val="00233A4E"/>
    <w:rsid w:val="00235F79"/>
    <w:rsid w:val="00236493"/>
    <w:rsid w:val="00243193"/>
    <w:rsid w:val="00244C98"/>
    <w:rsid w:val="002620EC"/>
    <w:rsid w:val="00264878"/>
    <w:rsid w:val="00273E02"/>
    <w:rsid w:val="00291DD6"/>
    <w:rsid w:val="00295C79"/>
    <w:rsid w:val="002A4DD0"/>
    <w:rsid w:val="002A66B7"/>
    <w:rsid w:val="002A77B7"/>
    <w:rsid w:val="002B0AC7"/>
    <w:rsid w:val="002E072B"/>
    <w:rsid w:val="002E7D84"/>
    <w:rsid w:val="002F2A38"/>
    <w:rsid w:val="002F5B17"/>
    <w:rsid w:val="00302DB9"/>
    <w:rsid w:val="00322F0B"/>
    <w:rsid w:val="00323075"/>
    <w:rsid w:val="003236E3"/>
    <w:rsid w:val="0032387F"/>
    <w:rsid w:val="00336652"/>
    <w:rsid w:val="00341311"/>
    <w:rsid w:val="0035330F"/>
    <w:rsid w:val="0036722C"/>
    <w:rsid w:val="00383093"/>
    <w:rsid w:val="003960DB"/>
    <w:rsid w:val="003C75CF"/>
    <w:rsid w:val="003D2BFE"/>
    <w:rsid w:val="003E5FF5"/>
    <w:rsid w:val="003F0C92"/>
    <w:rsid w:val="004110CC"/>
    <w:rsid w:val="00454993"/>
    <w:rsid w:val="00460E38"/>
    <w:rsid w:val="00476CD1"/>
    <w:rsid w:val="00483E73"/>
    <w:rsid w:val="00490F2B"/>
    <w:rsid w:val="004A1280"/>
    <w:rsid w:val="004D0D7C"/>
    <w:rsid w:val="004D3F41"/>
    <w:rsid w:val="004F1E43"/>
    <w:rsid w:val="004F36EE"/>
    <w:rsid w:val="00510A4C"/>
    <w:rsid w:val="00532E67"/>
    <w:rsid w:val="00541E16"/>
    <w:rsid w:val="005535AA"/>
    <w:rsid w:val="00574647"/>
    <w:rsid w:val="005977E0"/>
    <w:rsid w:val="005D01D6"/>
    <w:rsid w:val="005E122B"/>
    <w:rsid w:val="005E18C4"/>
    <w:rsid w:val="005E533F"/>
    <w:rsid w:val="005F29AA"/>
    <w:rsid w:val="00636FBD"/>
    <w:rsid w:val="00646B6B"/>
    <w:rsid w:val="00653440"/>
    <w:rsid w:val="00660C20"/>
    <w:rsid w:val="00685727"/>
    <w:rsid w:val="0068605E"/>
    <w:rsid w:val="00692061"/>
    <w:rsid w:val="006956C4"/>
    <w:rsid w:val="006A5945"/>
    <w:rsid w:val="006C2F8D"/>
    <w:rsid w:val="006D0437"/>
    <w:rsid w:val="006F0B2F"/>
    <w:rsid w:val="007252C4"/>
    <w:rsid w:val="00726DC7"/>
    <w:rsid w:val="00734AEB"/>
    <w:rsid w:val="00745CF1"/>
    <w:rsid w:val="00754B14"/>
    <w:rsid w:val="00762CDE"/>
    <w:rsid w:val="00785131"/>
    <w:rsid w:val="00785889"/>
    <w:rsid w:val="00792435"/>
    <w:rsid w:val="00797C9E"/>
    <w:rsid w:val="007B3EEF"/>
    <w:rsid w:val="007E6536"/>
    <w:rsid w:val="007F1252"/>
    <w:rsid w:val="00807C44"/>
    <w:rsid w:val="008343FF"/>
    <w:rsid w:val="008574B6"/>
    <w:rsid w:val="00880010"/>
    <w:rsid w:val="00882C4D"/>
    <w:rsid w:val="00885097"/>
    <w:rsid w:val="00886C0E"/>
    <w:rsid w:val="0089671C"/>
    <w:rsid w:val="008C190D"/>
    <w:rsid w:val="008D1FC5"/>
    <w:rsid w:val="008E41F3"/>
    <w:rsid w:val="009116EF"/>
    <w:rsid w:val="00926D84"/>
    <w:rsid w:val="009416AB"/>
    <w:rsid w:val="00944C98"/>
    <w:rsid w:val="00957EC0"/>
    <w:rsid w:val="00961B91"/>
    <w:rsid w:val="0096290B"/>
    <w:rsid w:val="00974650"/>
    <w:rsid w:val="00977B56"/>
    <w:rsid w:val="009B70FD"/>
    <w:rsid w:val="009D59DD"/>
    <w:rsid w:val="00A12C9F"/>
    <w:rsid w:val="00A13DD5"/>
    <w:rsid w:val="00A43054"/>
    <w:rsid w:val="00A47F80"/>
    <w:rsid w:val="00A50E8B"/>
    <w:rsid w:val="00A65295"/>
    <w:rsid w:val="00AA0B3A"/>
    <w:rsid w:val="00AC170C"/>
    <w:rsid w:val="00AC2FE7"/>
    <w:rsid w:val="00AD33A8"/>
    <w:rsid w:val="00AE4423"/>
    <w:rsid w:val="00AF0B28"/>
    <w:rsid w:val="00AF157B"/>
    <w:rsid w:val="00AF54FC"/>
    <w:rsid w:val="00B003C3"/>
    <w:rsid w:val="00B17429"/>
    <w:rsid w:val="00B17E45"/>
    <w:rsid w:val="00B44457"/>
    <w:rsid w:val="00B54189"/>
    <w:rsid w:val="00B633B9"/>
    <w:rsid w:val="00B63B8C"/>
    <w:rsid w:val="00B729DF"/>
    <w:rsid w:val="00BA50A5"/>
    <w:rsid w:val="00BA548B"/>
    <w:rsid w:val="00BB2FE6"/>
    <w:rsid w:val="00BC5B3F"/>
    <w:rsid w:val="00C04BAB"/>
    <w:rsid w:val="00C224F3"/>
    <w:rsid w:val="00C343BF"/>
    <w:rsid w:val="00C55545"/>
    <w:rsid w:val="00C66F48"/>
    <w:rsid w:val="00C76E62"/>
    <w:rsid w:val="00C83D3F"/>
    <w:rsid w:val="00C90BAD"/>
    <w:rsid w:val="00CA05B5"/>
    <w:rsid w:val="00CA491C"/>
    <w:rsid w:val="00CB0D75"/>
    <w:rsid w:val="00CF18BE"/>
    <w:rsid w:val="00D01A3B"/>
    <w:rsid w:val="00D1446A"/>
    <w:rsid w:val="00D2013C"/>
    <w:rsid w:val="00D2475D"/>
    <w:rsid w:val="00D26C98"/>
    <w:rsid w:val="00D27778"/>
    <w:rsid w:val="00D33F0F"/>
    <w:rsid w:val="00D34B51"/>
    <w:rsid w:val="00D43C7B"/>
    <w:rsid w:val="00D50946"/>
    <w:rsid w:val="00D55E6C"/>
    <w:rsid w:val="00D67D17"/>
    <w:rsid w:val="00D7393E"/>
    <w:rsid w:val="00DB7138"/>
    <w:rsid w:val="00DC0BD7"/>
    <w:rsid w:val="00E24163"/>
    <w:rsid w:val="00E357B9"/>
    <w:rsid w:val="00E956C2"/>
    <w:rsid w:val="00E95D48"/>
    <w:rsid w:val="00EB7277"/>
    <w:rsid w:val="00EC5D1C"/>
    <w:rsid w:val="00ED7AE5"/>
    <w:rsid w:val="00EF455D"/>
    <w:rsid w:val="00F10C12"/>
    <w:rsid w:val="00F45C2A"/>
    <w:rsid w:val="00F74725"/>
    <w:rsid w:val="00F80828"/>
    <w:rsid w:val="00F87813"/>
    <w:rsid w:val="00FB08A3"/>
    <w:rsid w:val="00FC059C"/>
    <w:rsid w:val="01542BCA"/>
    <w:rsid w:val="015D704A"/>
    <w:rsid w:val="017D5380"/>
    <w:rsid w:val="0184241E"/>
    <w:rsid w:val="01937524"/>
    <w:rsid w:val="019571A4"/>
    <w:rsid w:val="01995CAB"/>
    <w:rsid w:val="01AB5192"/>
    <w:rsid w:val="029E5458"/>
    <w:rsid w:val="02AC4771"/>
    <w:rsid w:val="02B17112"/>
    <w:rsid w:val="02E6781F"/>
    <w:rsid w:val="030B388D"/>
    <w:rsid w:val="030D350D"/>
    <w:rsid w:val="031A67DB"/>
    <w:rsid w:val="0333594B"/>
    <w:rsid w:val="03537505"/>
    <w:rsid w:val="039C2CAF"/>
    <w:rsid w:val="03DB0262"/>
    <w:rsid w:val="045A6A33"/>
    <w:rsid w:val="047A5981"/>
    <w:rsid w:val="0493359A"/>
    <w:rsid w:val="04BE5EAA"/>
    <w:rsid w:val="04C63A71"/>
    <w:rsid w:val="04ED1825"/>
    <w:rsid w:val="051C78B7"/>
    <w:rsid w:val="05602E9B"/>
    <w:rsid w:val="058E35AC"/>
    <w:rsid w:val="05972365"/>
    <w:rsid w:val="059B1A02"/>
    <w:rsid w:val="05AF5900"/>
    <w:rsid w:val="05E3586B"/>
    <w:rsid w:val="05EE7C62"/>
    <w:rsid w:val="060C5F2C"/>
    <w:rsid w:val="063517BC"/>
    <w:rsid w:val="063C0CC3"/>
    <w:rsid w:val="063E6912"/>
    <w:rsid w:val="064F51B1"/>
    <w:rsid w:val="06593B65"/>
    <w:rsid w:val="06840641"/>
    <w:rsid w:val="069A5F7B"/>
    <w:rsid w:val="06E64E63"/>
    <w:rsid w:val="06F918BA"/>
    <w:rsid w:val="07067897"/>
    <w:rsid w:val="072B3E84"/>
    <w:rsid w:val="073203DA"/>
    <w:rsid w:val="077961C6"/>
    <w:rsid w:val="078F0773"/>
    <w:rsid w:val="07927288"/>
    <w:rsid w:val="07C46A66"/>
    <w:rsid w:val="080055AF"/>
    <w:rsid w:val="080B3940"/>
    <w:rsid w:val="086E6BFD"/>
    <w:rsid w:val="08703C2E"/>
    <w:rsid w:val="089708E2"/>
    <w:rsid w:val="08A069C0"/>
    <w:rsid w:val="09032877"/>
    <w:rsid w:val="09215687"/>
    <w:rsid w:val="093C09A4"/>
    <w:rsid w:val="09425DAE"/>
    <w:rsid w:val="09431E79"/>
    <w:rsid w:val="09645F56"/>
    <w:rsid w:val="0972418C"/>
    <w:rsid w:val="09E9764E"/>
    <w:rsid w:val="0A031AE6"/>
    <w:rsid w:val="0A0965B2"/>
    <w:rsid w:val="0A1D4F7F"/>
    <w:rsid w:val="0A1E44C3"/>
    <w:rsid w:val="0A274F6F"/>
    <w:rsid w:val="0A280437"/>
    <w:rsid w:val="0A2E1D88"/>
    <w:rsid w:val="0A3A2B21"/>
    <w:rsid w:val="0AA12680"/>
    <w:rsid w:val="0ABF5171"/>
    <w:rsid w:val="0B01399E"/>
    <w:rsid w:val="0BB579E9"/>
    <w:rsid w:val="0BDE2087"/>
    <w:rsid w:val="0C3F3951"/>
    <w:rsid w:val="0C7677A6"/>
    <w:rsid w:val="0C780449"/>
    <w:rsid w:val="0CFF0F1B"/>
    <w:rsid w:val="0DA03BB0"/>
    <w:rsid w:val="0DD2659D"/>
    <w:rsid w:val="0DED293F"/>
    <w:rsid w:val="0DF31C43"/>
    <w:rsid w:val="0DFB6B7F"/>
    <w:rsid w:val="0E52758D"/>
    <w:rsid w:val="0E860ED3"/>
    <w:rsid w:val="0EA144D0"/>
    <w:rsid w:val="0EFE67AE"/>
    <w:rsid w:val="0F0911CE"/>
    <w:rsid w:val="0F174442"/>
    <w:rsid w:val="0F2013F1"/>
    <w:rsid w:val="0F2D4F53"/>
    <w:rsid w:val="0F52196E"/>
    <w:rsid w:val="0F585E17"/>
    <w:rsid w:val="0F5F56E2"/>
    <w:rsid w:val="0FC33F6C"/>
    <w:rsid w:val="10162F2B"/>
    <w:rsid w:val="10BB05D5"/>
    <w:rsid w:val="10F1115B"/>
    <w:rsid w:val="11C101AE"/>
    <w:rsid w:val="11E506FF"/>
    <w:rsid w:val="123910F2"/>
    <w:rsid w:val="129634BF"/>
    <w:rsid w:val="12EA1748"/>
    <w:rsid w:val="12FB75AC"/>
    <w:rsid w:val="1312754A"/>
    <w:rsid w:val="1346693C"/>
    <w:rsid w:val="135463C6"/>
    <w:rsid w:val="137741E2"/>
    <w:rsid w:val="138D3FA2"/>
    <w:rsid w:val="139B7E01"/>
    <w:rsid w:val="13A12C5D"/>
    <w:rsid w:val="146D1091"/>
    <w:rsid w:val="148324C4"/>
    <w:rsid w:val="14E03E93"/>
    <w:rsid w:val="150F669C"/>
    <w:rsid w:val="151A4794"/>
    <w:rsid w:val="15495B21"/>
    <w:rsid w:val="156947AC"/>
    <w:rsid w:val="15F26165"/>
    <w:rsid w:val="1604242C"/>
    <w:rsid w:val="16294BEB"/>
    <w:rsid w:val="163361EB"/>
    <w:rsid w:val="16815279"/>
    <w:rsid w:val="1696199B"/>
    <w:rsid w:val="16A02AE3"/>
    <w:rsid w:val="16A22ADB"/>
    <w:rsid w:val="16A436F5"/>
    <w:rsid w:val="16AD3C66"/>
    <w:rsid w:val="16BC7D1E"/>
    <w:rsid w:val="16EA29EF"/>
    <w:rsid w:val="17156172"/>
    <w:rsid w:val="171D56F0"/>
    <w:rsid w:val="175B29DE"/>
    <w:rsid w:val="178C1E9D"/>
    <w:rsid w:val="178F0374"/>
    <w:rsid w:val="17C15DE0"/>
    <w:rsid w:val="17D53F72"/>
    <w:rsid w:val="185873EF"/>
    <w:rsid w:val="1872382B"/>
    <w:rsid w:val="18D32B97"/>
    <w:rsid w:val="19694CBC"/>
    <w:rsid w:val="197C77F4"/>
    <w:rsid w:val="19BC23FD"/>
    <w:rsid w:val="19D20E68"/>
    <w:rsid w:val="19FB3F66"/>
    <w:rsid w:val="1A841F91"/>
    <w:rsid w:val="1AB339DA"/>
    <w:rsid w:val="1AF464F4"/>
    <w:rsid w:val="1B003AD9"/>
    <w:rsid w:val="1B4A0A55"/>
    <w:rsid w:val="1BC6422E"/>
    <w:rsid w:val="1BED17B1"/>
    <w:rsid w:val="1C0A79A4"/>
    <w:rsid w:val="1C146DDD"/>
    <w:rsid w:val="1C2A532F"/>
    <w:rsid w:val="1C787514"/>
    <w:rsid w:val="1C7C1E48"/>
    <w:rsid w:val="1CB55D6F"/>
    <w:rsid w:val="1CED3497"/>
    <w:rsid w:val="1D0B3F40"/>
    <w:rsid w:val="1D28626C"/>
    <w:rsid w:val="1D464DDE"/>
    <w:rsid w:val="1D805D19"/>
    <w:rsid w:val="1E2248D7"/>
    <w:rsid w:val="1E3D60D1"/>
    <w:rsid w:val="1E540BC4"/>
    <w:rsid w:val="1E6D287C"/>
    <w:rsid w:val="1EA93BC2"/>
    <w:rsid w:val="1EB93414"/>
    <w:rsid w:val="1EC91FD6"/>
    <w:rsid w:val="1EEF7FE2"/>
    <w:rsid w:val="1EF67B6C"/>
    <w:rsid w:val="1F15395A"/>
    <w:rsid w:val="1F3B285E"/>
    <w:rsid w:val="1F410729"/>
    <w:rsid w:val="1F6410B2"/>
    <w:rsid w:val="1F730AA4"/>
    <w:rsid w:val="1FD6583B"/>
    <w:rsid w:val="1FDD2FF2"/>
    <w:rsid w:val="1FF325E9"/>
    <w:rsid w:val="202937FF"/>
    <w:rsid w:val="206C4540"/>
    <w:rsid w:val="209B428B"/>
    <w:rsid w:val="20E24984"/>
    <w:rsid w:val="210F3D49"/>
    <w:rsid w:val="21100065"/>
    <w:rsid w:val="2133338F"/>
    <w:rsid w:val="21373A51"/>
    <w:rsid w:val="215C6E55"/>
    <w:rsid w:val="21772473"/>
    <w:rsid w:val="2198332C"/>
    <w:rsid w:val="21C71231"/>
    <w:rsid w:val="21D7200F"/>
    <w:rsid w:val="21E2505A"/>
    <w:rsid w:val="222B744D"/>
    <w:rsid w:val="224333FE"/>
    <w:rsid w:val="22526812"/>
    <w:rsid w:val="22737BD5"/>
    <w:rsid w:val="22D022B6"/>
    <w:rsid w:val="22DE4344"/>
    <w:rsid w:val="2364201F"/>
    <w:rsid w:val="236C5333"/>
    <w:rsid w:val="23A866B1"/>
    <w:rsid w:val="23B23B5F"/>
    <w:rsid w:val="23CC72A8"/>
    <w:rsid w:val="240A3AB2"/>
    <w:rsid w:val="24AD20B3"/>
    <w:rsid w:val="24ED0821"/>
    <w:rsid w:val="253A3632"/>
    <w:rsid w:val="25B16DA7"/>
    <w:rsid w:val="25B22B68"/>
    <w:rsid w:val="25B4606C"/>
    <w:rsid w:val="25BB0620"/>
    <w:rsid w:val="25C74149"/>
    <w:rsid w:val="25D06245"/>
    <w:rsid w:val="26601378"/>
    <w:rsid w:val="26616CBA"/>
    <w:rsid w:val="26BE45B3"/>
    <w:rsid w:val="275F6D2E"/>
    <w:rsid w:val="277C14AA"/>
    <w:rsid w:val="27884D72"/>
    <w:rsid w:val="27A26A64"/>
    <w:rsid w:val="27DD6B89"/>
    <w:rsid w:val="2811454F"/>
    <w:rsid w:val="28460BE9"/>
    <w:rsid w:val="286F5EE4"/>
    <w:rsid w:val="28702D10"/>
    <w:rsid w:val="289C74AE"/>
    <w:rsid w:val="298E0E4D"/>
    <w:rsid w:val="29AC681D"/>
    <w:rsid w:val="29C0458C"/>
    <w:rsid w:val="29C27A8F"/>
    <w:rsid w:val="29D50F10"/>
    <w:rsid w:val="29DD5778"/>
    <w:rsid w:val="2A24682F"/>
    <w:rsid w:val="2A3C4F46"/>
    <w:rsid w:val="2A4D353D"/>
    <w:rsid w:val="2A6F342B"/>
    <w:rsid w:val="2A7E3929"/>
    <w:rsid w:val="2A8B0E45"/>
    <w:rsid w:val="2AD54544"/>
    <w:rsid w:val="2AE90B77"/>
    <w:rsid w:val="2AED757D"/>
    <w:rsid w:val="2AF04C7E"/>
    <w:rsid w:val="2B196150"/>
    <w:rsid w:val="2B293371"/>
    <w:rsid w:val="2B656168"/>
    <w:rsid w:val="2B6B0A96"/>
    <w:rsid w:val="2BA3170C"/>
    <w:rsid w:val="2BB248B0"/>
    <w:rsid w:val="2BE32DAA"/>
    <w:rsid w:val="2BF45B12"/>
    <w:rsid w:val="2C0C0B07"/>
    <w:rsid w:val="2C9805ED"/>
    <w:rsid w:val="2C9E7065"/>
    <w:rsid w:val="2D4C47FC"/>
    <w:rsid w:val="2D5B72F6"/>
    <w:rsid w:val="2D5D05FB"/>
    <w:rsid w:val="2D7F400A"/>
    <w:rsid w:val="2D93706D"/>
    <w:rsid w:val="2DA354EC"/>
    <w:rsid w:val="2E057F04"/>
    <w:rsid w:val="2E86076C"/>
    <w:rsid w:val="2EC73639"/>
    <w:rsid w:val="2ED459C3"/>
    <w:rsid w:val="2EEF6985"/>
    <w:rsid w:val="2EF8259B"/>
    <w:rsid w:val="2F1E127D"/>
    <w:rsid w:val="2F5E7E15"/>
    <w:rsid w:val="2F697F3B"/>
    <w:rsid w:val="2F8E3D93"/>
    <w:rsid w:val="2FB177CB"/>
    <w:rsid w:val="301D15E0"/>
    <w:rsid w:val="30605C48"/>
    <w:rsid w:val="30A00A13"/>
    <w:rsid w:val="30B319D3"/>
    <w:rsid w:val="31365957"/>
    <w:rsid w:val="31453464"/>
    <w:rsid w:val="3204001F"/>
    <w:rsid w:val="322B0F7F"/>
    <w:rsid w:val="325D7F59"/>
    <w:rsid w:val="32791981"/>
    <w:rsid w:val="32B9533F"/>
    <w:rsid w:val="330E4A64"/>
    <w:rsid w:val="33332C90"/>
    <w:rsid w:val="334653BF"/>
    <w:rsid w:val="33716EF1"/>
    <w:rsid w:val="33963E69"/>
    <w:rsid w:val="33D23A93"/>
    <w:rsid w:val="33E65459"/>
    <w:rsid w:val="342015F4"/>
    <w:rsid w:val="346C0DF0"/>
    <w:rsid w:val="348C6C89"/>
    <w:rsid w:val="34D658BF"/>
    <w:rsid w:val="34F82760"/>
    <w:rsid w:val="35082216"/>
    <w:rsid w:val="35210533"/>
    <w:rsid w:val="3543002A"/>
    <w:rsid w:val="354A1FFA"/>
    <w:rsid w:val="3569702C"/>
    <w:rsid w:val="3592207D"/>
    <w:rsid w:val="35946F77"/>
    <w:rsid w:val="35DF5619"/>
    <w:rsid w:val="36315F80"/>
    <w:rsid w:val="365732C7"/>
    <w:rsid w:val="367217D1"/>
    <w:rsid w:val="36806602"/>
    <w:rsid w:val="36FA179D"/>
    <w:rsid w:val="370F6463"/>
    <w:rsid w:val="37103EE5"/>
    <w:rsid w:val="3720417F"/>
    <w:rsid w:val="37373DA4"/>
    <w:rsid w:val="37581DE6"/>
    <w:rsid w:val="375E7809"/>
    <w:rsid w:val="378C70B1"/>
    <w:rsid w:val="379231B9"/>
    <w:rsid w:val="37B36F71"/>
    <w:rsid w:val="38173412"/>
    <w:rsid w:val="38360444"/>
    <w:rsid w:val="38C22985"/>
    <w:rsid w:val="38C4681F"/>
    <w:rsid w:val="39052F73"/>
    <w:rsid w:val="390655D5"/>
    <w:rsid w:val="390C57E0"/>
    <w:rsid w:val="39144813"/>
    <w:rsid w:val="39160F9D"/>
    <w:rsid w:val="392034F8"/>
    <w:rsid w:val="3942482E"/>
    <w:rsid w:val="397642EF"/>
    <w:rsid w:val="39A62C24"/>
    <w:rsid w:val="3A0D261A"/>
    <w:rsid w:val="3A145456"/>
    <w:rsid w:val="3A2F3A82"/>
    <w:rsid w:val="3A3D2D97"/>
    <w:rsid w:val="3A8A3AB8"/>
    <w:rsid w:val="3AD60D98"/>
    <w:rsid w:val="3ADE123E"/>
    <w:rsid w:val="3B0752BB"/>
    <w:rsid w:val="3B514E5E"/>
    <w:rsid w:val="3B62097B"/>
    <w:rsid w:val="3B7E40E5"/>
    <w:rsid w:val="3BA20A6F"/>
    <w:rsid w:val="3BBE1CB6"/>
    <w:rsid w:val="3BCC6FEC"/>
    <w:rsid w:val="3BE15B0C"/>
    <w:rsid w:val="3C2C14A5"/>
    <w:rsid w:val="3C99720B"/>
    <w:rsid w:val="3CE05E7D"/>
    <w:rsid w:val="3D0A2E41"/>
    <w:rsid w:val="3D153845"/>
    <w:rsid w:val="3D3561A5"/>
    <w:rsid w:val="3D4848B7"/>
    <w:rsid w:val="3D7E68C7"/>
    <w:rsid w:val="3DB868D1"/>
    <w:rsid w:val="3E5906C1"/>
    <w:rsid w:val="3E675770"/>
    <w:rsid w:val="3E726904"/>
    <w:rsid w:val="3EDD6FEC"/>
    <w:rsid w:val="3EF32DD6"/>
    <w:rsid w:val="3F0874F8"/>
    <w:rsid w:val="3F164CDA"/>
    <w:rsid w:val="3F472860"/>
    <w:rsid w:val="3F54703A"/>
    <w:rsid w:val="3F805BD4"/>
    <w:rsid w:val="3F8719ED"/>
    <w:rsid w:val="3F9457EA"/>
    <w:rsid w:val="3F961308"/>
    <w:rsid w:val="3FAE7C86"/>
    <w:rsid w:val="3FB402DE"/>
    <w:rsid w:val="3FBF2071"/>
    <w:rsid w:val="3FEC40D4"/>
    <w:rsid w:val="400C38A3"/>
    <w:rsid w:val="40533F4D"/>
    <w:rsid w:val="40C81A57"/>
    <w:rsid w:val="4102653D"/>
    <w:rsid w:val="4128778B"/>
    <w:rsid w:val="412E56A8"/>
    <w:rsid w:val="41554B3E"/>
    <w:rsid w:val="41874E64"/>
    <w:rsid w:val="41931657"/>
    <w:rsid w:val="41A86B47"/>
    <w:rsid w:val="41CA4DC3"/>
    <w:rsid w:val="41D7394A"/>
    <w:rsid w:val="41DC7361"/>
    <w:rsid w:val="421361F6"/>
    <w:rsid w:val="423A1DB1"/>
    <w:rsid w:val="423D15C3"/>
    <w:rsid w:val="42417305"/>
    <w:rsid w:val="42780119"/>
    <w:rsid w:val="42797037"/>
    <w:rsid w:val="427C45A1"/>
    <w:rsid w:val="42931FC8"/>
    <w:rsid w:val="42C92ECE"/>
    <w:rsid w:val="42F1152D"/>
    <w:rsid w:val="434D1CD9"/>
    <w:rsid w:val="436E42C5"/>
    <w:rsid w:val="4388101F"/>
    <w:rsid w:val="43C1464C"/>
    <w:rsid w:val="43EC4188"/>
    <w:rsid w:val="43FB1735"/>
    <w:rsid w:val="44202F3D"/>
    <w:rsid w:val="442C571D"/>
    <w:rsid w:val="4431076F"/>
    <w:rsid w:val="44340BA5"/>
    <w:rsid w:val="451C7473"/>
    <w:rsid w:val="459D5443"/>
    <w:rsid w:val="45EF0E26"/>
    <w:rsid w:val="468D006E"/>
    <w:rsid w:val="46AC5600"/>
    <w:rsid w:val="471362A9"/>
    <w:rsid w:val="47400072"/>
    <w:rsid w:val="47883CE9"/>
    <w:rsid w:val="47A37959"/>
    <w:rsid w:val="47E714F2"/>
    <w:rsid w:val="480B0A3F"/>
    <w:rsid w:val="4826706B"/>
    <w:rsid w:val="48355DE1"/>
    <w:rsid w:val="48491D0F"/>
    <w:rsid w:val="48B4669B"/>
    <w:rsid w:val="49234394"/>
    <w:rsid w:val="49317E22"/>
    <w:rsid w:val="495B7468"/>
    <w:rsid w:val="49A02346"/>
    <w:rsid w:val="49AB66DB"/>
    <w:rsid w:val="49B455B2"/>
    <w:rsid w:val="49C16F6F"/>
    <w:rsid w:val="49F92273"/>
    <w:rsid w:val="4A1C2C32"/>
    <w:rsid w:val="4AA76976"/>
    <w:rsid w:val="4AAA6714"/>
    <w:rsid w:val="4AD52CE0"/>
    <w:rsid w:val="4B15553F"/>
    <w:rsid w:val="4B1658F2"/>
    <w:rsid w:val="4B9F0DD5"/>
    <w:rsid w:val="4C017095"/>
    <w:rsid w:val="4C265FBD"/>
    <w:rsid w:val="4C274FFC"/>
    <w:rsid w:val="4C2D5A85"/>
    <w:rsid w:val="4C5658B2"/>
    <w:rsid w:val="4C660364"/>
    <w:rsid w:val="4C8555C6"/>
    <w:rsid w:val="4CA536CC"/>
    <w:rsid w:val="4CD83849"/>
    <w:rsid w:val="4D3162DF"/>
    <w:rsid w:val="4D331F40"/>
    <w:rsid w:val="4D3A3BC0"/>
    <w:rsid w:val="4D6C5694"/>
    <w:rsid w:val="4D8B5F48"/>
    <w:rsid w:val="4D8C618A"/>
    <w:rsid w:val="4DE374C2"/>
    <w:rsid w:val="4E4446C6"/>
    <w:rsid w:val="4E7E543D"/>
    <w:rsid w:val="4EA16454"/>
    <w:rsid w:val="4EA16677"/>
    <w:rsid w:val="4EF462BB"/>
    <w:rsid w:val="4F4B0870"/>
    <w:rsid w:val="4F7B0E4F"/>
    <w:rsid w:val="4F7C2E75"/>
    <w:rsid w:val="4F8F276E"/>
    <w:rsid w:val="4F9F2C9A"/>
    <w:rsid w:val="503235F2"/>
    <w:rsid w:val="50501F54"/>
    <w:rsid w:val="506D11BD"/>
    <w:rsid w:val="50896599"/>
    <w:rsid w:val="50BC3801"/>
    <w:rsid w:val="50BD4B06"/>
    <w:rsid w:val="50E20471"/>
    <w:rsid w:val="50EA500B"/>
    <w:rsid w:val="50FB4B23"/>
    <w:rsid w:val="51477DB6"/>
    <w:rsid w:val="51975645"/>
    <w:rsid w:val="51A07D23"/>
    <w:rsid w:val="51AF6DC6"/>
    <w:rsid w:val="51BD46A9"/>
    <w:rsid w:val="51C41F00"/>
    <w:rsid w:val="522054CC"/>
    <w:rsid w:val="523E5EFC"/>
    <w:rsid w:val="529A3E5D"/>
    <w:rsid w:val="52B43B7C"/>
    <w:rsid w:val="52B757C5"/>
    <w:rsid w:val="52EB3A96"/>
    <w:rsid w:val="531F5CAB"/>
    <w:rsid w:val="533F77C3"/>
    <w:rsid w:val="53855614"/>
    <w:rsid w:val="53B62D07"/>
    <w:rsid w:val="53C77F81"/>
    <w:rsid w:val="53D8496D"/>
    <w:rsid w:val="53FE7170"/>
    <w:rsid w:val="54265849"/>
    <w:rsid w:val="54275A1C"/>
    <w:rsid w:val="5430412D"/>
    <w:rsid w:val="545442A5"/>
    <w:rsid w:val="54691D09"/>
    <w:rsid w:val="547B7561"/>
    <w:rsid w:val="549434CC"/>
    <w:rsid w:val="54A977F5"/>
    <w:rsid w:val="557E7F76"/>
    <w:rsid w:val="56166782"/>
    <w:rsid w:val="56220A9D"/>
    <w:rsid w:val="56BC6CDA"/>
    <w:rsid w:val="56E83021"/>
    <w:rsid w:val="56FA4BB7"/>
    <w:rsid w:val="57347C1D"/>
    <w:rsid w:val="57542A3F"/>
    <w:rsid w:val="57673BE4"/>
    <w:rsid w:val="577F009D"/>
    <w:rsid w:val="578F4AB3"/>
    <w:rsid w:val="57B204EC"/>
    <w:rsid w:val="57B974E6"/>
    <w:rsid w:val="57CD4D3F"/>
    <w:rsid w:val="5800200F"/>
    <w:rsid w:val="58013AEE"/>
    <w:rsid w:val="580B36D7"/>
    <w:rsid w:val="583A4287"/>
    <w:rsid w:val="58ED0C9D"/>
    <w:rsid w:val="5911172D"/>
    <w:rsid w:val="59181464"/>
    <w:rsid w:val="591B3265"/>
    <w:rsid w:val="59560B9C"/>
    <w:rsid w:val="596E2717"/>
    <w:rsid w:val="59B2711D"/>
    <w:rsid w:val="59FB29AF"/>
    <w:rsid w:val="5A5451F1"/>
    <w:rsid w:val="5A770DF6"/>
    <w:rsid w:val="5A861C18"/>
    <w:rsid w:val="5AC52078"/>
    <w:rsid w:val="5AE900E2"/>
    <w:rsid w:val="5B0B1F95"/>
    <w:rsid w:val="5B2776A4"/>
    <w:rsid w:val="5B4D35C8"/>
    <w:rsid w:val="5B781C41"/>
    <w:rsid w:val="5BA54F69"/>
    <w:rsid w:val="5BB45797"/>
    <w:rsid w:val="5BFD0E7B"/>
    <w:rsid w:val="5C1E1B93"/>
    <w:rsid w:val="5D501F27"/>
    <w:rsid w:val="5D6F0919"/>
    <w:rsid w:val="5D7A166C"/>
    <w:rsid w:val="5DE35818"/>
    <w:rsid w:val="5E0B243B"/>
    <w:rsid w:val="5E0C6E26"/>
    <w:rsid w:val="5E190CDE"/>
    <w:rsid w:val="5E34780F"/>
    <w:rsid w:val="5E763CF9"/>
    <w:rsid w:val="5E885FA6"/>
    <w:rsid w:val="5EC34829"/>
    <w:rsid w:val="5EF41669"/>
    <w:rsid w:val="5F0F1702"/>
    <w:rsid w:val="5F657924"/>
    <w:rsid w:val="5FFA0406"/>
    <w:rsid w:val="60227CED"/>
    <w:rsid w:val="607E588E"/>
    <w:rsid w:val="60837066"/>
    <w:rsid w:val="60E173FF"/>
    <w:rsid w:val="60E32902"/>
    <w:rsid w:val="60F10042"/>
    <w:rsid w:val="611E1298"/>
    <w:rsid w:val="614920D1"/>
    <w:rsid w:val="61637D56"/>
    <w:rsid w:val="616B7363"/>
    <w:rsid w:val="61EE40B9"/>
    <w:rsid w:val="61F71146"/>
    <w:rsid w:val="62024F71"/>
    <w:rsid w:val="62196F18"/>
    <w:rsid w:val="622D72DA"/>
    <w:rsid w:val="625C68EC"/>
    <w:rsid w:val="626A7D5A"/>
    <w:rsid w:val="629571BA"/>
    <w:rsid w:val="62967453"/>
    <w:rsid w:val="634405AB"/>
    <w:rsid w:val="63461B81"/>
    <w:rsid w:val="639E1064"/>
    <w:rsid w:val="63D07AD2"/>
    <w:rsid w:val="640956AE"/>
    <w:rsid w:val="640E1F8A"/>
    <w:rsid w:val="644E3437"/>
    <w:rsid w:val="6476203D"/>
    <w:rsid w:val="648E02B3"/>
    <w:rsid w:val="64AC7263"/>
    <w:rsid w:val="64CA7CEA"/>
    <w:rsid w:val="64E03583"/>
    <w:rsid w:val="65336B29"/>
    <w:rsid w:val="658A505E"/>
    <w:rsid w:val="65BB267B"/>
    <w:rsid w:val="65FC4FF2"/>
    <w:rsid w:val="66331FB0"/>
    <w:rsid w:val="66522FDF"/>
    <w:rsid w:val="66807B4C"/>
    <w:rsid w:val="66950069"/>
    <w:rsid w:val="66F36075"/>
    <w:rsid w:val="671D6001"/>
    <w:rsid w:val="67410373"/>
    <w:rsid w:val="67706CC4"/>
    <w:rsid w:val="68112184"/>
    <w:rsid w:val="68220CE6"/>
    <w:rsid w:val="68357041"/>
    <w:rsid w:val="684D48DB"/>
    <w:rsid w:val="687419EA"/>
    <w:rsid w:val="69243D8C"/>
    <w:rsid w:val="69971AB2"/>
    <w:rsid w:val="69992D86"/>
    <w:rsid w:val="69F3315F"/>
    <w:rsid w:val="69F72302"/>
    <w:rsid w:val="6A120191"/>
    <w:rsid w:val="6A255D00"/>
    <w:rsid w:val="6A580905"/>
    <w:rsid w:val="6A5E0B45"/>
    <w:rsid w:val="6AA8778B"/>
    <w:rsid w:val="6AB525A4"/>
    <w:rsid w:val="6ABF15AE"/>
    <w:rsid w:val="6ACE3B8B"/>
    <w:rsid w:val="6B323077"/>
    <w:rsid w:val="6B714C55"/>
    <w:rsid w:val="6B910CC5"/>
    <w:rsid w:val="6BF07722"/>
    <w:rsid w:val="6C1A765E"/>
    <w:rsid w:val="6CCD6F3E"/>
    <w:rsid w:val="6CD25143"/>
    <w:rsid w:val="6D286357"/>
    <w:rsid w:val="6D2D29EC"/>
    <w:rsid w:val="6D3D1543"/>
    <w:rsid w:val="6D4575D1"/>
    <w:rsid w:val="6DC960AE"/>
    <w:rsid w:val="6DCE2536"/>
    <w:rsid w:val="6DFF2D05"/>
    <w:rsid w:val="6E6F2F14"/>
    <w:rsid w:val="6E761835"/>
    <w:rsid w:val="6E7E4454"/>
    <w:rsid w:val="6EB47D25"/>
    <w:rsid w:val="6EDA3A91"/>
    <w:rsid w:val="6EDD59A6"/>
    <w:rsid w:val="6F1F395C"/>
    <w:rsid w:val="6F6E27A2"/>
    <w:rsid w:val="6F7318F9"/>
    <w:rsid w:val="6F9A6F92"/>
    <w:rsid w:val="6FB26526"/>
    <w:rsid w:val="6FEE472F"/>
    <w:rsid w:val="6FF80ECF"/>
    <w:rsid w:val="7039118A"/>
    <w:rsid w:val="7048597B"/>
    <w:rsid w:val="70792114"/>
    <w:rsid w:val="70BB05FF"/>
    <w:rsid w:val="71123B75"/>
    <w:rsid w:val="711C739F"/>
    <w:rsid w:val="714E6AD4"/>
    <w:rsid w:val="717E19C2"/>
    <w:rsid w:val="718438CB"/>
    <w:rsid w:val="71AB15C7"/>
    <w:rsid w:val="71BB0D81"/>
    <w:rsid w:val="71C449E7"/>
    <w:rsid w:val="71F37403"/>
    <w:rsid w:val="7278770A"/>
    <w:rsid w:val="72910586"/>
    <w:rsid w:val="72B6031C"/>
    <w:rsid w:val="72B64F42"/>
    <w:rsid w:val="72EA6C6F"/>
    <w:rsid w:val="732B79E6"/>
    <w:rsid w:val="73B21561"/>
    <w:rsid w:val="73DC4D25"/>
    <w:rsid w:val="73DE26DE"/>
    <w:rsid w:val="743F3744"/>
    <w:rsid w:val="749C2049"/>
    <w:rsid w:val="74B64688"/>
    <w:rsid w:val="74DB35C2"/>
    <w:rsid w:val="750A3E3C"/>
    <w:rsid w:val="750B0F29"/>
    <w:rsid w:val="756B0CB3"/>
    <w:rsid w:val="75830558"/>
    <w:rsid w:val="758336FA"/>
    <w:rsid w:val="75B20A95"/>
    <w:rsid w:val="75C75101"/>
    <w:rsid w:val="75DD2917"/>
    <w:rsid w:val="75E46534"/>
    <w:rsid w:val="763B1D04"/>
    <w:rsid w:val="763B75EC"/>
    <w:rsid w:val="76557EC3"/>
    <w:rsid w:val="7680467D"/>
    <w:rsid w:val="769F582D"/>
    <w:rsid w:val="76A916E0"/>
    <w:rsid w:val="76D93296"/>
    <w:rsid w:val="770167CB"/>
    <w:rsid w:val="770976EA"/>
    <w:rsid w:val="77850FA2"/>
    <w:rsid w:val="77BC6234"/>
    <w:rsid w:val="78460C19"/>
    <w:rsid w:val="786C3735"/>
    <w:rsid w:val="78711EA5"/>
    <w:rsid w:val="788B1B55"/>
    <w:rsid w:val="789E7AD0"/>
    <w:rsid w:val="78A60180"/>
    <w:rsid w:val="79300FDE"/>
    <w:rsid w:val="79352EE7"/>
    <w:rsid w:val="79825B0A"/>
    <w:rsid w:val="798A3C76"/>
    <w:rsid w:val="79A27982"/>
    <w:rsid w:val="79B325B0"/>
    <w:rsid w:val="79C1634F"/>
    <w:rsid w:val="79ED2696"/>
    <w:rsid w:val="79FE72AE"/>
    <w:rsid w:val="7A1C4687"/>
    <w:rsid w:val="7A7A316E"/>
    <w:rsid w:val="7A892603"/>
    <w:rsid w:val="7AA00695"/>
    <w:rsid w:val="7AF244C2"/>
    <w:rsid w:val="7AFE15D9"/>
    <w:rsid w:val="7B1578B9"/>
    <w:rsid w:val="7BA80BFF"/>
    <w:rsid w:val="7BBC0438"/>
    <w:rsid w:val="7C4902F7"/>
    <w:rsid w:val="7C7158FA"/>
    <w:rsid w:val="7C800451"/>
    <w:rsid w:val="7C877DDC"/>
    <w:rsid w:val="7C92616D"/>
    <w:rsid w:val="7CA1610D"/>
    <w:rsid w:val="7CB45056"/>
    <w:rsid w:val="7CCE015A"/>
    <w:rsid w:val="7D032FA8"/>
    <w:rsid w:val="7D4B430E"/>
    <w:rsid w:val="7D68280C"/>
    <w:rsid w:val="7EA47732"/>
    <w:rsid w:val="7F2851D9"/>
    <w:rsid w:val="7F36010F"/>
    <w:rsid w:val="7F552AE0"/>
    <w:rsid w:val="7F7D45B6"/>
    <w:rsid w:val="7FA97826"/>
    <w:rsid w:val="7FF31FF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600" w:lineRule="exact"/>
      <w:ind w:firstLine="883" w:firstLineChars="200"/>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47"/>
    <w:autoRedefine/>
    <w:qFormat/>
    <w:uiPriority w:val="0"/>
    <w:pPr>
      <w:widowControl/>
      <w:spacing w:beforeLines="0" w:beforeAutospacing="0" w:afterLines="0" w:afterAutospacing="0" w:line="600" w:lineRule="exact"/>
      <w:ind w:firstLine="0" w:firstLineChars="0"/>
      <w:jc w:val="left"/>
      <w:outlineLvl w:val="0"/>
    </w:pPr>
    <w:rPr>
      <w:b/>
      <w:bCs/>
      <w:kern w:val="36"/>
      <w:sz w:val="32"/>
      <w:szCs w:val="28"/>
    </w:rPr>
  </w:style>
  <w:style w:type="paragraph" w:styleId="3">
    <w:name w:val="heading 2"/>
    <w:basedOn w:val="1"/>
    <w:next w:val="1"/>
    <w:link w:val="48"/>
    <w:autoRedefine/>
    <w:qFormat/>
    <w:uiPriority w:val="0"/>
    <w:pPr>
      <w:keepNext/>
      <w:keepLines/>
      <w:spacing w:before="50" w:beforeLines="50" w:beforeAutospacing="0" w:after="50" w:afterLines="50" w:afterAutospacing="0" w:line="600" w:lineRule="exact"/>
      <w:ind w:firstLine="0" w:firstLineChars="0"/>
      <w:outlineLvl w:val="1"/>
    </w:pPr>
    <w:rPr>
      <w:rFonts w:ascii="Times New Roman" w:hAnsi="Times New Roman" w:eastAsia="宋体"/>
      <w:b/>
      <w:sz w:val="30"/>
      <w:szCs w:val="28"/>
    </w:rPr>
  </w:style>
  <w:style w:type="paragraph" w:styleId="4">
    <w:name w:val="heading 3"/>
    <w:basedOn w:val="1"/>
    <w:next w:val="1"/>
    <w:link w:val="40"/>
    <w:autoRedefine/>
    <w:qFormat/>
    <w:uiPriority w:val="0"/>
    <w:pPr>
      <w:keepNext/>
      <w:keepLines/>
      <w:spacing w:beforeLines="0" w:beforeAutospacing="0" w:afterLines="0" w:afterAutospacing="0" w:line="600" w:lineRule="exact"/>
      <w:ind w:firstLine="0" w:firstLineChars="0"/>
      <w:outlineLvl w:val="2"/>
    </w:pPr>
    <w:rPr>
      <w:b/>
      <w:szCs w:val="28"/>
    </w:rPr>
  </w:style>
  <w:style w:type="paragraph" w:styleId="5">
    <w:name w:val="heading 4"/>
    <w:basedOn w:val="1"/>
    <w:next w:val="1"/>
    <w:autoRedefine/>
    <w:qFormat/>
    <w:uiPriority w:val="0"/>
    <w:pPr>
      <w:keepNext/>
      <w:keepLines/>
      <w:spacing w:beforeLines="0" w:beforeAutospacing="0" w:afterLines="0" w:afterAutospacing="0" w:line="580" w:lineRule="exact"/>
      <w:outlineLvl w:val="3"/>
    </w:pPr>
    <w:rPr>
      <w:rFonts w:ascii="Times New Roman" w:hAnsi="Times New Roman" w:eastAsia="宋体" w:cs="Times New Roman"/>
      <w:b/>
    </w:rPr>
  </w:style>
  <w:style w:type="character" w:default="1" w:styleId="31">
    <w:name w:val="Default Paragraph Font"/>
    <w:link w:val="32"/>
    <w:autoRedefine/>
    <w:qFormat/>
    <w:uiPriority w:val="0"/>
    <w:rPr>
      <w:rFonts w:ascii="Verdana" w:hAnsi="Verdana"/>
      <w:kern w:val="0"/>
      <w:sz w:val="20"/>
      <w:szCs w:val="20"/>
      <w:lang w:eastAsia="en-US"/>
    </w:rPr>
  </w:style>
  <w:style w:type="table" w:default="1" w:styleId="29">
    <w:name w:val="Normal Table"/>
    <w:autoRedefine/>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2520" w:leftChars="1200"/>
    </w:pPr>
  </w:style>
  <w:style w:type="paragraph" w:styleId="7">
    <w:name w:val="Document Map"/>
    <w:basedOn w:val="1"/>
    <w:next w:val="8"/>
    <w:autoRedefine/>
    <w:qFormat/>
    <w:uiPriority w:val="0"/>
    <w:pPr>
      <w:shd w:val="clear" w:color="auto" w:fill="000080"/>
      <w:jc w:val="center"/>
    </w:pPr>
    <w:rPr>
      <w:rFonts w:ascii="Times New Roman" w:hAnsi="Times New Roman" w:eastAsia="宋体"/>
    </w:rPr>
  </w:style>
  <w:style w:type="paragraph" w:customStyle="1" w:styleId="8">
    <w:name w:val="表格中文字1"/>
    <w:basedOn w:val="1"/>
    <w:autoRedefine/>
    <w:qFormat/>
    <w:uiPriority w:val="0"/>
    <w:pPr>
      <w:tabs>
        <w:tab w:val="left" w:pos="2655"/>
      </w:tabs>
      <w:spacing w:line="240" w:lineRule="exact"/>
      <w:jc w:val="center"/>
    </w:pPr>
    <w:rPr>
      <w:rFonts w:ascii="Times New Roman" w:hAnsi="Times New Roman"/>
      <w:bCs/>
      <w:color w:val="auto"/>
      <w:sz w:val="21"/>
      <w:szCs w:val="21"/>
    </w:rPr>
  </w:style>
  <w:style w:type="paragraph" w:styleId="9">
    <w:name w:val="annotation text"/>
    <w:basedOn w:val="1"/>
    <w:autoRedefine/>
    <w:qFormat/>
    <w:uiPriority w:val="0"/>
    <w:pPr>
      <w:jc w:val="left"/>
    </w:pPr>
  </w:style>
  <w:style w:type="paragraph" w:styleId="10">
    <w:name w:val="Body Text"/>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1">
    <w:name w:val="Body Text Indent"/>
    <w:basedOn w:val="1"/>
    <w:link w:val="46"/>
    <w:autoRedefine/>
    <w:qFormat/>
    <w:uiPriority w:val="0"/>
    <w:pPr>
      <w:spacing w:after="120" w:afterLines="0"/>
      <w:ind w:left="420" w:leftChars="200"/>
    </w:pPr>
    <w:rPr>
      <w:kern w:val="2"/>
      <w:sz w:val="21"/>
      <w:szCs w:val="24"/>
    </w:rPr>
  </w:style>
  <w:style w:type="paragraph" w:styleId="12">
    <w:name w:val="toc 5"/>
    <w:basedOn w:val="1"/>
    <w:next w:val="1"/>
    <w:autoRedefine/>
    <w:qFormat/>
    <w:uiPriority w:val="0"/>
    <w:pPr>
      <w:ind w:left="1680" w:leftChars="800"/>
    </w:pPr>
  </w:style>
  <w:style w:type="paragraph" w:styleId="13">
    <w:name w:val="toc 3"/>
    <w:basedOn w:val="1"/>
    <w:next w:val="1"/>
    <w:autoRedefine/>
    <w:qFormat/>
    <w:uiPriority w:val="39"/>
    <w:pPr>
      <w:ind w:left="840" w:leftChars="400"/>
    </w:pPr>
  </w:style>
  <w:style w:type="paragraph" w:styleId="14">
    <w:name w:val="Plain Text"/>
    <w:basedOn w:val="1"/>
    <w:autoRedefine/>
    <w:qFormat/>
    <w:uiPriority w:val="0"/>
    <w:rPr>
      <w:rFonts w:ascii="宋体" w:hAnsi="Courier New"/>
    </w:rPr>
  </w:style>
  <w:style w:type="paragraph" w:styleId="15">
    <w:name w:val="toc 8"/>
    <w:basedOn w:val="1"/>
    <w:next w:val="1"/>
    <w:autoRedefine/>
    <w:qFormat/>
    <w:uiPriority w:val="0"/>
    <w:pPr>
      <w:ind w:left="2940" w:leftChars="1400"/>
    </w:pPr>
  </w:style>
  <w:style w:type="paragraph" w:styleId="16">
    <w:name w:val="Date"/>
    <w:basedOn w:val="1"/>
    <w:next w:val="1"/>
    <w:autoRedefine/>
    <w:qFormat/>
    <w:uiPriority w:val="0"/>
    <w:pPr>
      <w:ind w:left="100" w:leftChars="2500"/>
    </w:pPr>
    <w:rPr>
      <w:sz w:val="28"/>
    </w:rPr>
  </w:style>
  <w:style w:type="paragraph" w:styleId="17">
    <w:name w:val="Body Text Indent 2"/>
    <w:basedOn w:val="1"/>
    <w:autoRedefine/>
    <w:qFormat/>
    <w:uiPriority w:val="0"/>
    <w:pPr>
      <w:ind w:firstLine="570"/>
    </w:pPr>
    <w:rPr>
      <w:kern w:val="2"/>
      <w:sz w:val="28"/>
      <w:szCs w:val="24"/>
    </w:rPr>
  </w:style>
  <w:style w:type="paragraph" w:styleId="18">
    <w:name w:val="Balloon Text"/>
    <w:basedOn w:val="1"/>
    <w:autoRedefine/>
    <w:qFormat/>
    <w:uiPriority w:val="0"/>
    <w:rPr>
      <w:sz w:val="18"/>
      <w:szCs w:val="18"/>
    </w:rPr>
  </w:style>
  <w:style w:type="paragraph" w:styleId="19">
    <w:name w:val="footer"/>
    <w:basedOn w:val="1"/>
    <w:next w:val="20"/>
    <w:autoRedefine/>
    <w:qFormat/>
    <w:uiPriority w:val="0"/>
    <w:pPr>
      <w:tabs>
        <w:tab w:val="center" w:pos="4153"/>
        <w:tab w:val="right" w:pos="8306"/>
      </w:tabs>
      <w:snapToGrid w:val="0"/>
      <w:jc w:val="left"/>
    </w:pPr>
    <w:rPr>
      <w:sz w:val="18"/>
      <w:szCs w:val="18"/>
    </w:rPr>
  </w:style>
  <w:style w:type="paragraph" w:styleId="20">
    <w:name w:val="Normal (Web)"/>
    <w:basedOn w:val="1"/>
    <w:next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2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style>
  <w:style w:type="paragraph" w:styleId="23">
    <w:name w:val="toc 4"/>
    <w:basedOn w:val="1"/>
    <w:next w:val="1"/>
    <w:autoRedefine/>
    <w:qFormat/>
    <w:uiPriority w:val="0"/>
    <w:pPr>
      <w:ind w:left="1260" w:leftChars="600"/>
    </w:pPr>
  </w:style>
  <w:style w:type="paragraph" w:styleId="24">
    <w:name w:val="toc 6"/>
    <w:basedOn w:val="1"/>
    <w:next w:val="1"/>
    <w:autoRedefine/>
    <w:qFormat/>
    <w:uiPriority w:val="0"/>
    <w:pPr>
      <w:ind w:left="2100" w:leftChars="1000"/>
    </w:pPr>
  </w:style>
  <w:style w:type="paragraph" w:styleId="25">
    <w:name w:val="Body Text Indent 3"/>
    <w:basedOn w:val="1"/>
    <w:autoRedefine/>
    <w:qFormat/>
    <w:uiPriority w:val="0"/>
    <w:pPr>
      <w:spacing w:after="120" w:afterLines="0"/>
      <w:ind w:left="420" w:leftChars="200"/>
    </w:pPr>
    <w:rPr>
      <w:sz w:val="16"/>
      <w:szCs w:val="16"/>
    </w:rPr>
  </w:style>
  <w:style w:type="paragraph" w:styleId="26">
    <w:name w:val="toc 2"/>
    <w:basedOn w:val="1"/>
    <w:next w:val="1"/>
    <w:autoRedefine/>
    <w:qFormat/>
    <w:uiPriority w:val="39"/>
    <w:pPr>
      <w:ind w:left="420" w:leftChars="200"/>
    </w:pPr>
  </w:style>
  <w:style w:type="paragraph" w:styleId="27">
    <w:name w:val="toc 9"/>
    <w:basedOn w:val="1"/>
    <w:next w:val="1"/>
    <w:autoRedefine/>
    <w:qFormat/>
    <w:uiPriority w:val="0"/>
    <w:pPr>
      <w:ind w:left="3360" w:leftChars="1600"/>
    </w:pPr>
  </w:style>
  <w:style w:type="paragraph" w:styleId="2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30">
    <w:name w:val="Table Grid"/>
    <w:basedOn w:val="29"/>
    <w:autoRedefine/>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 Char Char1 Char Char Char Char Char Char Char Char Char Char Char Char Char Char Char1 Char1 Char Char Char Char Char Char Char Char Char"/>
    <w:basedOn w:val="1"/>
    <w:link w:val="31"/>
    <w:autoRedefine/>
    <w:qFormat/>
    <w:uiPriority w:val="0"/>
    <w:pPr>
      <w:widowControl/>
      <w:spacing w:after="160" w:afterLines="0" w:line="240" w:lineRule="exact"/>
      <w:jc w:val="left"/>
    </w:pPr>
    <w:rPr>
      <w:rFonts w:ascii="Verdana" w:hAnsi="Verdana"/>
      <w:kern w:val="0"/>
      <w:sz w:val="20"/>
      <w:szCs w:val="20"/>
      <w:lang w:eastAsia="en-US"/>
    </w:rPr>
  </w:style>
  <w:style w:type="character" w:styleId="33">
    <w:name w:val="Strong"/>
    <w:autoRedefine/>
    <w:qFormat/>
    <w:uiPriority w:val="0"/>
    <w:rPr>
      <w:rFonts w:ascii="Verdana" w:hAnsi="Verdana"/>
      <w:b/>
      <w:bCs/>
      <w:kern w:val="0"/>
      <w:sz w:val="20"/>
      <w:szCs w:val="20"/>
      <w:lang w:eastAsia="en-US"/>
    </w:rPr>
  </w:style>
  <w:style w:type="character" w:styleId="34">
    <w:name w:val="page number"/>
    <w:autoRedefine/>
    <w:qFormat/>
    <w:uiPriority w:val="0"/>
    <w:rPr>
      <w:lang w:eastAsia="en-US"/>
    </w:rPr>
  </w:style>
  <w:style w:type="character" w:styleId="35">
    <w:name w:val="FollowedHyperlink"/>
    <w:autoRedefine/>
    <w:qFormat/>
    <w:uiPriority w:val="0"/>
    <w:rPr>
      <w:rFonts w:ascii="Verdana" w:hAnsi="Verdana"/>
      <w:color w:val="800080"/>
      <w:kern w:val="0"/>
      <w:sz w:val="20"/>
      <w:szCs w:val="20"/>
      <w:u w:val="none"/>
      <w:lang w:eastAsia="en-US"/>
    </w:rPr>
  </w:style>
  <w:style w:type="character" w:styleId="36">
    <w:name w:val="Hyperlink"/>
    <w:autoRedefine/>
    <w:qFormat/>
    <w:uiPriority w:val="99"/>
    <w:rPr>
      <w:rFonts w:ascii="Verdana" w:hAnsi="Verdana"/>
      <w:color w:val="0000FF"/>
      <w:kern w:val="0"/>
      <w:sz w:val="20"/>
      <w:szCs w:val="20"/>
      <w:u w:val="none"/>
      <w:lang w:eastAsia="en-US"/>
    </w:rPr>
  </w:style>
  <w:style w:type="paragraph" w:customStyle="1" w:styleId="37">
    <w:name w:val="0正文"/>
    <w:autoRedefine/>
    <w:unhideWhenUsed/>
    <w:qFormat/>
    <w:uiPriority w:val="0"/>
    <w:pPr>
      <w:widowControl w:val="0"/>
      <w:spacing w:line="360" w:lineRule="auto"/>
      <w:ind w:firstLine="720" w:firstLineChars="200"/>
    </w:pPr>
    <w:rPr>
      <w:rFonts w:ascii="Calibri" w:hAnsi="Calibri" w:eastAsia="宋体" w:cstheme="minorBidi"/>
      <w:sz w:val="28"/>
      <w:szCs w:val="22"/>
      <w:lang w:val="en-US" w:eastAsia="zh-CN" w:bidi="ar-SA"/>
    </w:rPr>
  </w:style>
  <w:style w:type="paragraph" w:customStyle="1" w:styleId="38">
    <w:name w:val="表格中文字"/>
    <w:basedOn w:val="1"/>
    <w:link w:val="69"/>
    <w:autoRedefine/>
    <w:qFormat/>
    <w:uiPriority w:val="0"/>
    <w:pPr>
      <w:adjustRightInd w:val="0"/>
      <w:snapToGrid w:val="0"/>
      <w:spacing w:line="240" w:lineRule="auto"/>
      <w:ind w:firstLine="0" w:firstLineChars="0"/>
      <w:jc w:val="center"/>
    </w:pPr>
    <w:rPr>
      <w:kern w:val="18"/>
      <w:sz w:val="21"/>
      <w:szCs w:val="21"/>
    </w:rPr>
  </w:style>
  <w:style w:type="character" w:customStyle="1" w:styleId="39">
    <w:name w:val="标题 2 Char"/>
    <w:link w:val="3"/>
    <w:autoRedefine/>
    <w:qFormat/>
    <w:uiPriority w:val="9"/>
    <w:rPr>
      <w:rFonts w:ascii="Arial" w:hAnsi="Arial" w:eastAsia="黑体"/>
      <w:b/>
      <w:bCs/>
      <w:kern w:val="2"/>
      <w:sz w:val="32"/>
      <w:szCs w:val="32"/>
      <w:lang w:val="en-US" w:eastAsia="zh-CN" w:bidi="ar-SA"/>
    </w:rPr>
  </w:style>
  <w:style w:type="character" w:customStyle="1" w:styleId="40">
    <w:name w:val="标题 3 Char"/>
    <w:link w:val="4"/>
    <w:autoRedefine/>
    <w:qFormat/>
    <w:uiPriority w:val="0"/>
    <w:rPr>
      <w:rFonts w:ascii="Times New Roman" w:hAnsi="Times New Roman" w:eastAsia="宋体"/>
      <w:b/>
      <w:sz w:val="28"/>
      <w:szCs w:val="28"/>
    </w:rPr>
  </w:style>
  <w:style w:type="paragraph" w:customStyle="1" w:styleId="41">
    <w:name w:val="安全专篇正方"/>
    <w:basedOn w:val="1"/>
    <w:next w:val="1"/>
    <w:autoRedefine/>
    <w:qFormat/>
    <w:uiPriority w:val="0"/>
    <w:pPr>
      <w:autoSpaceDE w:val="0"/>
      <w:autoSpaceDN w:val="0"/>
      <w:adjustRightInd w:val="0"/>
      <w:spacing w:line="360" w:lineRule="auto"/>
      <w:ind w:firstLine="200" w:firstLineChars="200"/>
      <w:jc w:val="left"/>
    </w:pPr>
    <w:rPr>
      <w:rFonts w:hAnsi="宋体"/>
      <w:color w:val="000000"/>
      <w:sz w:val="28"/>
      <w:szCs w:val="28"/>
    </w:rPr>
  </w:style>
  <w:style w:type="character" w:customStyle="1" w:styleId="42">
    <w:name w:val="标题 1 Char"/>
    <w:link w:val="2"/>
    <w:autoRedefine/>
    <w:qFormat/>
    <w:uiPriority w:val="0"/>
    <w:rPr>
      <w:rFonts w:ascii="宋体" w:hAnsi="宋体"/>
      <w:b/>
      <w:bCs/>
      <w:kern w:val="36"/>
      <w:sz w:val="48"/>
      <w:szCs w:val="48"/>
    </w:rPr>
  </w:style>
  <w:style w:type="paragraph" w:customStyle="1" w:styleId="43">
    <w:name w:val="表格表头"/>
    <w:basedOn w:val="14"/>
    <w:next w:val="38"/>
    <w:link w:val="68"/>
    <w:autoRedefine/>
    <w:qFormat/>
    <w:uiPriority w:val="0"/>
    <w:pPr>
      <w:adjustRightInd w:val="0"/>
      <w:spacing w:before="50" w:beforeLines="50" w:line="240" w:lineRule="auto"/>
      <w:ind w:firstLine="0" w:firstLineChars="0"/>
      <w:jc w:val="center"/>
      <w:textAlignment w:val="baseline"/>
    </w:pPr>
    <w:rPr>
      <w:rFonts w:ascii="Times New Roman" w:hAnsi="Times New Roman" w:cs="Times New Roman"/>
      <w:b/>
      <w:sz w:val="24"/>
      <w:szCs w:val="24"/>
    </w:rPr>
  </w:style>
  <w:style w:type="paragraph" w:customStyle="1" w:styleId="44">
    <w:name w:val="图表名"/>
    <w:basedOn w:val="1"/>
    <w:autoRedefine/>
    <w:qFormat/>
    <w:uiPriority w:val="0"/>
    <w:pPr>
      <w:spacing w:line="480" w:lineRule="auto"/>
      <w:jc w:val="center"/>
    </w:pPr>
    <w:rPr>
      <w:rFonts w:ascii="Calibri" w:hAnsi="Calibri" w:eastAsia="黑体"/>
      <w:sz w:val="24"/>
    </w:rPr>
  </w:style>
  <w:style w:type="paragraph" w:customStyle="1" w:styleId="45">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6">
    <w:name w:val="正文文本缩进 Char"/>
    <w:link w:val="11"/>
    <w:autoRedefine/>
    <w:qFormat/>
    <w:uiPriority w:val="0"/>
    <w:rPr>
      <w:rFonts w:ascii="Verdana" w:hAnsi="Verdana"/>
      <w:kern w:val="2"/>
      <w:sz w:val="21"/>
      <w:szCs w:val="24"/>
      <w:lang w:eastAsia="en-US"/>
    </w:rPr>
  </w:style>
  <w:style w:type="character" w:customStyle="1" w:styleId="47">
    <w:name w:val="标题 1 字符"/>
    <w:link w:val="2"/>
    <w:autoRedefine/>
    <w:qFormat/>
    <w:uiPriority w:val="0"/>
    <w:rPr>
      <w:rFonts w:ascii="Times New Roman" w:hAnsi="Times New Roman" w:eastAsia="宋体"/>
      <w:b/>
      <w:bCs/>
      <w:kern w:val="36"/>
      <w:sz w:val="32"/>
      <w:szCs w:val="28"/>
    </w:rPr>
  </w:style>
  <w:style w:type="character" w:customStyle="1" w:styleId="48">
    <w:name w:val="标题 2 字符"/>
    <w:link w:val="3"/>
    <w:autoRedefine/>
    <w:qFormat/>
    <w:uiPriority w:val="0"/>
    <w:rPr>
      <w:rFonts w:ascii="Times New Roman" w:hAnsi="Times New Roman" w:eastAsia="宋体"/>
      <w:b/>
      <w:sz w:val="30"/>
      <w:szCs w:val="28"/>
    </w:rPr>
  </w:style>
  <w:style w:type="paragraph" w:customStyle="1" w:styleId="49">
    <w:name w:val="样式 标题 2"/>
    <w:basedOn w:val="3"/>
    <w:autoRedefine/>
    <w:qFormat/>
    <w:uiPriority w:val="0"/>
    <w:pPr>
      <w:adjustRightInd w:val="0"/>
      <w:snapToGrid w:val="0"/>
      <w:spacing w:before="120" w:beforeLines="0" w:after="120" w:afterLines="0" w:line="240" w:lineRule="auto"/>
      <w:textAlignment w:val="baseline"/>
    </w:pPr>
    <w:rPr>
      <w:rFonts w:ascii="Arial" w:hAnsi="Arial" w:eastAsia="宋体" w:cs="宋体"/>
      <w:sz w:val="32"/>
      <w:szCs w:val="32"/>
    </w:rPr>
  </w:style>
  <w:style w:type="character" w:customStyle="1" w:styleId="50">
    <w:name w:val="正文文本 (2) + Book Antiqua"/>
    <w:autoRedefine/>
    <w:qFormat/>
    <w:uiPriority w:val="0"/>
    <w:rPr>
      <w:rFonts w:ascii="Book Antiqua" w:hAnsi="Book Antiqua" w:eastAsia="Book Antiqua" w:cs="Book Antiqua"/>
      <w:b/>
      <w:bCs/>
      <w:color w:val="000000"/>
      <w:spacing w:val="0"/>
      <w:w w:val="100"/>
      <w:kern w:val="0"/>
      <w:position w:val="0"/>
      <w:sz w:val="13"/>
      <w:szCs w:val="13"/>
      <w:u w:val="none"/>
      <w:lang w:val="en-US" w:eastAsia="en-US" w:bidi="en-US"/>
    </w:rPr>
  </w:style>
  <w:style w:type="character" w:customStyle="1" w:styleId="51">
    <w:name w:val="正文文本 + MingLiU"/>
    <w:autoRedefine/>
    <w:qFormat/>
    <w:uiPriority w:val="0"/>
    <w:rPr>
      <w:rFonts w:ascii="MingLiU" w:hAnsi="MingLiU" w:eastAsia="MingLiU" w:cs="MingLiU"/>
      <w:color w:val="000000"/>
      <w:spacing w:val="0"/>
      <w:w w:val="100"/>
      <w:kern w:val="0"/>
      <w:position w:val="0"/>
      <w:sz w:val="13"/>
      <w:szCs w:val="13"/>
      <w:u w:val="none"/>
      <w:shd w:val="clear" w:color="auto" w:fill="FFFFFF"/>
      <w:lang w:val="zh-CN" w:eastAsia="zh-CN" w:bidi="zh-CN"/>
    </w:rPr>
  </w:style>
  <w:style w:type="character" w:customStyle="1" w:styleId="52">
    <w:name w:val="正文文本 (2)_"/>
    <w:link w:val="53"/>
    <w:autoRedefine/>
    <w:qFormat/>
    <w:uiPriority w:val="0"/>
    <w:rPr>
      <w:rFonts w:ascii="AngsanaUPC" w:hAnsi="AngsanaUPC" w:eastAsia="AngsanaUPC" w:cs="AngsanaUPC"/>
      <w:b/>
      <w:bCs/>
      <w:kern w:val="0"/>
      <w:sz w:val="20"/>
      <w:szCs w:val="21"/>
      <w:lang w:eastAsia="en-US"/>
    </w:rPr>
  </w:style>
  <w:style w:type="paragraph" w:customStyle="1" w:styleId="53">
    <w:name w:val="正文文本 (2)"/>
    <w:basedOn w:val="1"/>
    <w:link w:val="52"/>
    <w:autoRedefine/>
    <w:qFormat/>
    <w:uiPriority w:val="0"/>
    <w:pPr>
      <w:shd w:val="clear" w:color="auto" w:fill="FFFFFF"/>
      <w:spacing w:before="240" w:line="269" w:lineRule="exact"/>
      <w:jc w:val="left"/>
    </w:pPr>
    <w:rPr>
      <w:rFonts w:ascii="AngsanaUPC" w:hAnsi="AngsanaUPC" w:eastAsia="AngsanaUPC" w:cs="AngsanaUPC"/>
      <w:b/>
      <w:bCs/>
      <w:szCs w:val="21"/>
    </w:rPr>
  </w:style>
  <w:style w:type="character" w:customStyle="1" w:styleId="54">
    <w:name w:val="question-title2"/>
    <w:autoRedefine/>
    <w:qFormat/>
    <w:uiPriority w:val="0"/>
    <w:rPr>
      <w:lang w:eastAsia="en-US"/>
    </w:rPr>
  </w:style>
  <w:style w:type="character" w:customStyle="1" w:styleId="55">
    <w:name w:val="正文1"/>
    <w:autoRedefine/>
    <w:qFormat/>
    <w:uiPriority w:val="0"/>
    <w:rPr>
      <w:rFonts w:hint="eastAsia" w:ascii="宋体" w:hAnsi="宋体" w:eastAsia="宋体"/>
      <w:kern w:val="0"/>
      <w:sz w:val="20"/>
      <w:szCs w:val="20"/>
      <w:lang w:eastAsia="en-US"/>
    </w:rPr>
  </w:style>
  <w:style w:type="paragraph" w:customStyle="1" w:styleId="56">
    <w:name w:val=" Char Char Char Char1 Char Char Char2 Char Char Char Char Char Char4"/>
    <w:basedOn w:val="1"/>
    <w:autoRedefine/>
    <w:qFormat/>
    <w:uiPriority w:val="0"/>
    <w:pPr>
      <w:widowControl/>
      <w:spacing w:after="160" w:afterLines="0" w:line="240" w:lineRule="exact"/>
      <w:jc w:val="left"/>
    </w:pPr>
    <w:rPr>
      <w:rFonts w:ascii="Verdana" w:hAnsi="Verdana"/>
      <w:kern w:val="0"/>
      <w:sz w:val="20"/>
      <w:szCs w:val="20"/>
      <w:lang w:eastAsia="en-US"/>
    </w:rPr>
  </w:style>
  <w:style w:type="paragraph" w:customStyle="1" w:styleId="57">
    <w:name w:val=" Char Char Char Char"/>
    <w:basedOn w:val="1"/>
    <w:autoRedefine/>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58">
    <w:name w:val="默认段落字体 Para Char"/>
    <w:basedOn w:val="1"/>
    <w:autoRedefine/>
    <w:qFormat/>
    <w:uiPriority w:val="0"/>
    <w:pPr>
      <w:spacing w:line="360" w:lineRule="auto"/>
      <w:ind w:firstLine="200" w:firstLineChars="200"/>
    </w:pPr>
    <w:rPr>
      <w:rFonts w:ascii="宋体" w:hAnsi="宋体" w:cs="宋体"/>
      <w:sz w:val="24"/>
    </w:rPr>
  </w:style>
  <w:style w:type="paragraph" w:customStyle="1" w:styleId="59">
    <w:name w:val=" Char"/>
    <w:basedOn w:val="1"/>
    <w:autoRedefine/>
    <w:qFormat/>
    <w:uiPriority w:val="0"/>
    <w:pPr>
      <w:spacing w:line="360" w:lineRule="auto"/>
      <w:ind w:firstLine="200" w:firstLineChars="200"/>
    </w:pPr>
    <w:rPr>
      <w:rFonts w:ascii="宋体" w:hAnsi="宋体" w:cs="宋体"/>
      <w:sz w:val="24"/>
    </w:rPr>
  </w:style>
  <w:style w:type="paragraph" w:customStyle="1" w:styleId="60">
    <w:name w:val="p0"/>
    <w:basedOn w:val="1"/>
    <w:autoRedefine/>
    <w:qFormat/>
    <w:uiPriority w:val="0"/>
    <w:pPr>
      <w:widowControl/>
    </w:pPr>
    <w:rPr>
      <w:rFonts w:ascii="Calibri" w:hAnsi="Calibri" w:cs="宋体"/>
      <w:kern w:val="0"/>
      <w:szCs w:val="21"/>
    </w:rPr>
  </w:style>
  <w:style w:type="paragraph" w:customStyle="1" w:styleId="61">
    <w:name w:val="Char Char Char Char"/>
    <w:basedOn w:val="1"/>
    <w:autoRedefine/>
    <w:qFormat/>
    <w:uiPriority w:val="0"/>
    <w:pPr>
      <w:widowControl/>
      <w:spacing w:after="160" w:afterLines="0" w:line="240" w:lineRule="exact"/>
      <w:jc w:val="left"/>
    </w:pPr>
    <w:rPr>
      <w:rFonts w:ascii="Verdana" w:hAnsi="Verdana" w:eastAsia="仿宋_GB2312"/>
      <w:kern w:val="0"/>
      <w:sz w:val="24"/>
      <w:szCs w:val="20"/>
      <w:lang w:eastAsia="en-US"/>
    </w:rPr>
  </w:style>
  <w:style w:type="paragraph" w:customStyle="1" w:styleId="62">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
    <w:name w:val="_Style 57"/>
    <w:basedOn w:val="2"/>
    <w:next w:val="1"/>
    <w:autoRedefine/>
    <w:qFormat/>
    <w:uiPriority w:val="39"/>
    <w:pPr>
      <w:keepNext/>
      <w:keepLines/>
      <w:spacing w:before="240" w:line="259" w:lineRule="auto"/>
      <w:jc w:val="left"/>
      <w:outlineLvl w:val="9"/>
    </w:pPr>
    <w:rPr>
      <w:rFonts w:ascii="等线 Light" w:hAnsi="等线 Light" w:eastAsia="等线 Light" w:cs="Times New Roman"/>
      <w:b w:val="0"/>
      <w:bCs w:val="0"/>
      <w:color w:val="2F5496"/>
      <w:kern w:val="0"/>
      <w:szCs w:val="32"/>
    </w:rPr>
  </w:style>
  <w:style w:type="paragraph" w:customStyle="1" w:styleId="64">
    <w:name w:val="Default1"/>
    <w:autoRedefine/>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5">
    <w:name w:val="正文文本1"/>
    <w:basedOn w:val="1"/>
    <w:link w:val="66"/>
    <w:autoRedefine/>
    <w:qFormat/>
    <w:uiPriority w:val="0"/>
    <w:pPr>
      <w:widowControl w:val="0"/>
      <w:shd w:val="clear" w:color="auto" w:fill="auto"/>
      <w:spacing w:line="463" w:lineRule="auto"/>
      <w:ind w:firstLine="400"/>
    </w:pPr>
    <w:rPr>
      <w:rFonts w:ascii="宋体" w:hAnsi="宋体" w:eastAsia="宋体" w:cs="宋体"/>
      <w:sz w:val="26"/>
      <w:szCs w:val="26"/>
      <w:u w:val="none"/>
      <w:lang w:val="zh-CN" w:eastAsia="zh-CN" w:bidi="zh-CN"/>
    </w:rPr>
  </w:style>
  <w:style w:type="character" w:customStyle="1" w:styleId="66">
    <w:name w:val="正文文本_"/>
    <w:basedOn w:val="31"/>
    <w:link w:val="65"/>
    <w:autoRedefine/>
    <w:qFormat/>
    <w:uiPriority w:val="0"/>
    <w:rPr>
      <w:rFonts w:ascii="宋体" w:hAnsi="宋体" w:eastAsia="宋体" w:cs="宋体"/>
      <w:sz w:val="26"/>
      <w:szCs w:val="26"/>
      <w:u w:val="none"/>
      <w:lang w:val="zh-CN" w:eastAsia="zh-CN" w:bidi="zh-CN"/>
    </w:rPr>
  </w:style>
  <w:style w:type="paragraph" w:customStyle="1" w:styleId="67">
    <w:name w:val="表格文字"/>
    <w:basedOn w:val="38"/>
    <w:autoRedefine/>
    <w:qFormat/>
    <w:uiPriority w:val="0"/>
    <w:rPr>
      <w:rFonts w:hint="eastAsia" w:ascii="Times New Roman" w:hAnsi="Times New Roman"/>
    </w:rPr>
  </w:style>
  <w:style w:type="character" w:customStyle="1" w:styleId="68">
    <w:name w:val="表格表头 Char1"/>
    <w:link w:val="43"/>
    <w:autoRedefine/>
    <w:qFormat/>
    <w:uiPriority w:val="0"/>
    <w:rPr>
      <w:rFonts w:ascii="Times New Roman" w:hAnsi="Times New Roman" w:cs="Times New Roman"/>
      <w:b/>
      <w:sz w:val="24"/>
      <w:szCs w:val="24"/>
    </w:rPr>
  </w:style>
  <w:style w:type="character" w:customStyle="1" w:styleId="69">
    <w:name w:val="表格中文字 Char1"/>
    <w:link w:val="38"/>
    <w:autoRedefine/>
    <w:qFormat/>
    <w:uiPriority w:val="0"/>
    <w:rPr>
      <w:rFonts w:ascii="Times New Roman" w:hAnsi="Times New Roman" w:eastAsia="宋体"/>
      <w:kern w:val="18"/>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0.png"/><Relationship Id="rId24" Type="http://schemas.openxmlformats.org/officeDocument/2006/relationships/image" Target="media/image9.jpe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Corporation</Company>
  <Pages>90</Pages>
  <Words>32463</Words>
  <Characters>35939</Characters>
  <Lines>349</Lines>
  <Paragraphs>98</Paragraphs>
  <TotalTime>11</TotalTime>
  <ScaleCrop>false</ScaleCrop>
  <LinksUpToDate>false</LinksUpToDate>
  <CharactersWithSpaces>37478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2020-07-27T06:10:00Z</dcterms:created>
  <dc:creator>万晋亮</dc:creator>
  <cp:lastModifiedBy>安若秦天</cp:lastModifiedBy>
  <cp:lastPrinted>2023-05-22T03:14:00Z</cp:lastPrinted>
  <dcterms:modified xsi:type="dcterms:W3CDTF">2024-04-25T06:39:15Z</dcterms:modified>
  <dc:title>修水县古市镇月塘加油站</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3AC2D103FBBE4878BBFE2C447AF5FDC2_13</vt:lpwstr>
  </property>
</Properties>
</file>