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eastAsia="宋体"/>
          <w:b/>
          <w:color w:val="000000" w:themeColor="text1"/>
          <w:sz w:val="44"/>
          <w:szCs w:val="44"/>
          <w:lang w:val="en-US" w:eastAsia="zh-CN"/>
          <w14:textFill>
            <w14:solidFill>
              <w14:schemeClr w14:val="tx1"/>
            </w14:solidFill>
          </w14:textFill>
        </w:rPr>
      </w:pPr>
      <w:r>
        <w:rPr>
          <w:rFonts w:hint="eastAsia"/>
          <w:b/>
          <w:color w:val="000000" w:themeColor="text1"/>
          <w:sz w:val="44"/>
          <w:szCs w:val="44"/>
          <w:lang w:val="en-US" w:eastAsia="zh-CN"/>
          <w14:textFill>
            <w14:solidFill>
              <w14:schemeClr w14:val="tx1"/>
            </w14:solidFill>
          </w14:textFill>
        </w:rPr>
        <w:t xml:space="preserve"> </w:t>
      </w:r>
    </w:p>
    <w:p>
      <w:pPr>
        <w:spacing w:line="240" w:lineRule="auto"/>
        <w:jc w:val="center"/>
        <w:rPr>
          <w:rFonts w:hint="eastAsia"/>
          <w:b/>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江西盘古山钨业有限公司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000000" w:themeColor="text1"/>
          <w:sz w:val="44"/>
          <w:szCs w:val="44"/>
          <w14:textFill>
            <w14:solidFill>
              <w14:schemeClr w14:val="tx1"/>
            </w14:solidFill>
          </w14:textFill>
        </w:rPr>
      </w:pPr>
      <w:r>
        <w:rPr>
          <w:b/>
          <w:color w:val="000000" w:themeColor="text1"/>
          <w:sz w:val="44"/>
          <w:szCs w:val="44"/>
          <w14:textFill>
            <w14:solidFill>
              <w14:schemeClr w14:val="tx1"/>
            </w14:solidFill>
          </w14:textFill>
        </w:rPr>
        <w:t>尾矿库</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000000" w:themeColor="text1"/>
          <w:sz w:val="52"/>
          <w:szCs w:val="52"/>
          <w14:textFill>
            <w14:solidFill>
              <w14:schemeClr w14:val="tx1"/>
            </w14:solidFill>
          </w14:textFill>
        </w:rPr>
      </w:pPr>
      <w:r>
        <w:rPr>
          <w:rFonts w:eastAsia="黑体"/>
          <w:b/>
          <w:color w:val="000000" w:themeColor="text1"/>
          <w:sz w:val="52"/>
          <w:szCs w:val="52"/>
          <w14:textFill>
            <w14:solidFill>
              <w14:schemeClr w14:val="tx1"/>
            </w14:solidFill>
          </w14:textFill>
        </w:rPr>
        <w:t>安全现状评价报告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000000" w:themeColor="text1"/>
          <w:sz w:val="44"/>
          <w:szCs w:val="44"/>
          <w14:textFill>
            <w14:solidFill>
              <w14:schemeClr w14:val="tx1"/>
            </w14:solidFill>
          </w14:textFill>
        </w:rPr>
      </w:pPr>
      <w:r>
        <w:rPr>
          <w:rFonts w:hint="eastAsia" w:eastAsia="黑体"/>
          <w:b/>
          <w:color w:val="000000" w:themeColor="text1"/>
          <w:sz w:val="44"/>
          <w:szCs w:val="44"/>
          <w14:textFill>
            <w14:solidFill>
              <w14:schemeClr w14:val="tx1"/>
            </w14:solidFill>
          </w14:textFill>
        </w:rPr>
        <w:t>（</w:t>
      </w:r>
      <w:r>
        <w:rPr>
          <w:rFonts w:hint="eastAsia" w:eastAsia="黑体"/>
          <w:b/>
          <w:color w:val="000000" w:themeColor="text1"/>
          <w:sz w:val="44"/>
          <w:szCs w:val="44"/>
          <w:lang w:val="en-US" w:eastAsia="zh-CN"/>
          <w14:textFill>
            <w14:solidFill>
              <w14:schemeClr w14:val="tx1"/>
            </w14:solidFill>
          </w14:textFill>
        </w:rPr>
        <w:t>终稿</w:t>
      </w:r>
      <w:r>
        <w:rPr>
          <w:rFonts w:hint="eastAsia" w:eastAsia="黑体"/>
          <w:b/>
          <w:color w:val="000000" w:themeColor="text1"/>
          <w:sz w:val="44"/>
          <w:szCs w:val="4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000000" w:themeColor="text1"/>
          <w:sz w:val="52"/>
          <w:szCs w:val="5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b/>
          <w:bCs/>
          <w:color w:val="000000" w:themeColor="text1"/>
          <w:sz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000000" w:themeColor="text1"/>
          <w:sz w:val="44"/>
          <w14:textFill>
            <w14:solidFill>
              <w14:schemeClr w14:val="tx1"/>
            </w14:solidFill>
          </w14:textFill>
        </w:rPr>
      </w:pPr>
      <w:r>
        <w:rPr>
          <w:b/>
          <w:bCs/>
          <w:color w:val="000000" w:themeColor="text1"/>
          <w:sz w:val="44"/>
          <w14:textFill>
            <w14:solidFill>
              <w14:schemeClr w14:val="tx1"/>
            </w14:solidFill>
          </w14:textFill>
        </w:rPr>
        <w:t>江西赣安安全生产科学技术咨询服务中心</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32"/>
          <w14:textFill>
            <w14:solidFill>
              <w14:schemeClr w14:val="tx1"/>
            </w14:solidFill>
          </w14:textFill>
        </w:rPr>
      </w:pPr>
      <w:r>
        <w:rPr>
          <w:b/>
          <w:bCs/>
          <w:color w:val="000000" w:themeColor="text1"/>
          <w:sz w:val="32"/>
          <w14:textFill>
            <w14:solidFill>
              <w14:schemeClr w14:val="tx1"/>
            </w14:solidFill>
          </w14:textFill>
        </w:rPr>
        <w:t>APJ</w:t>
      </w:r>
      <w:r>
        <w:rPr>
          <w:rFonts w:hint="eastAsia"/>
          <w:b/>
          <w:bCs/>
          <w:color w:val="000000" w:themeColor="text1"/>
          <w:sz w:val="32"/>
          <w14:textFill>
            <w14:solidFill>
              <w14:schemeClr w14:val="tx1"/>
            </w14:solidFill>
          </w14:textFill>
        </w:rPr>
        <w:t>-（赣）-002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32"/>
          <w14:textFill>
            <w14:solidFill>
              <w14:schemeClr w14:val="tx1"/>
            </w14:solidFill>
          </w14:textFill>
        </w:rPr>
      </w:pPr>
      <w:r>
        <w:rPr>
          <w:rFonts w:hint="eastAsia" w:hAnsi="宋体"/>
          <w:b/>
          <w:bCs/>
          <w:color w:val="000000" w:themeColor="text1"/>
          <w:sz w:val="32"/>
          <w14:textFill>
            <w14:solidFill>
              <w14:schemeClr w14:val="tx1"/>
            </w14:solidFill>
          </w14:textFill>
        </w:rPr>
        <w:t>202</w:t>
      </w:r>
      <w:r>
        <w:rPr>
          <w:rFonts w:hint="eastAsia" w:hAnsi="宋体"/>
          <w:b/>
          <w:bCs/>
          <w:color w:val="000000" w:themeColor="text1"/>
          <w:sz w:val="32"/>
          <w:lang w:val="en-US" w:eastAsia="zh-CN"/>
          <w14:textFill>
            <w14:solidFill>
              <w14:schemeClr w14:val="tx1"/>
            </w14:solidFill>
          </w14:textFill>
        </w:rPr>
        <w:t>3</w:t>
      </w:r>
      <w:r>
        <w:rPr>
          <w:rFonts w:hAnsi="宋体"/>
          <w:b/>
          <w:bCs/>
          <w:color w:val="000000" w:themeColor="text1"/>
          <w:sz w:val="32"/>
          <w14:textFill>
            <w14:solidFill>
              <w14:schemeClr w14:val="tx1"/>
            </w14:solidFill>
          </w14:textFill>
        </w:rPr>
        <w:t>年</w:t>
      </w:r>
      <w:r>
        <w:rPr>
          <w:rFonts w:hint="eastAsia" w:hAnsi="宋体"/>
          <w:b/>
          <w:bCs/>
          <w:color w:val="000000" w:themeColor="text1"/>
          <w:sz w:val="32"/>
          <w:lang w:val="en-US" w:eastAsia="zh-CN"/>
          <w14:textFill>
            <w14:solidFill>
              <w14:schemeClr w14:val="tx1"/>
            </w14:solidFill>
          </w14:textFill>
        </w:rPr>
        <w:t>12</w:t>
      </w:r>
      <w:r>
        <w:rPr>
          <w:rFonts w:hAnsi="宋体"/>
          <w:b/>
          <w:bCs/>
          <w:color w:val="000000" w:themeColor="text1"/>
          <w:sz w:val="32"/>
          <w14:textFill>
            <w14:solidFill>
              <w14:schemeClr w14:val="tx1"/>
            </w14:solidFill>
          </w14:textFill>
        </w:rPr>
        <w:t>月</w:t>
      </w:r>
      <w:r>
        <w:rPr>
          <w:rFonts w:hint="eastAsia" w:hAnsi="宋体"/>
          <w:b/>
          <w:bCs/>
          <w:color w:val="000000" w:themeColor="text1"/>
          <w:sz w:val="32"/>
          <w:lang w:val="en-US" w:eastAsia="zh-CN"/>
          <w14:textFill>
            <w14:solidFill>
              <w14:schemeClr w14:val="tx1"/>
            </w14:solidFill>
          </w14:textFill>
        </w:rPr>
        <w:t>28</w:t>
      </w:r>
      <w:r>
        <w:rPr>
          <w:rFonts w:hint="eastAsia" w:hAnsi="宋体"/>
          <w:b/>
          <w:bCs/>
          <w:color w:val="000000" w:themeColor="text1"/>
          <w:sz w:val="32"/>
          <w14:textFill>
            <w14:solidFill>
              <w14:schemeClr w14:val="tx1"/>
            </w14:solidFill>
          </w14:textFill>
        </w:rPr>
        <w:t>日</w:t>
      </w:r>
    </w:p>
    <w:p>
      <w:pPr>
        <w:spacing w:line="600" w:lineRule="exact"/>
        <w:jc w:val="center"/>
        <w:rPr>
          <w:b/>
          <w:color w:val="000000" w:themeColor="text1"/>
          <w:sz w:val="32"/>
          <w:szCs w:val="32"/>
          <w14:textFill>
            <w14:solidFill>
              <w14:schemeClr w14:val="tx1"/>
            </w14:solidFill>
          </w14:textFill>
        </w:rPr>
        <w:sectPr>
          <w:pgSz w:w="11906" w:h="16839"/>
          <w:pgMar w:top="1417" w:right="1417" w:bottom="1417" w:left="1417" w:header="850" w:footer="964" w:gutter="0"/>
          <w:cols w:space="425" w:num="1"/>
          <w:rtlGutter w:val="0"/>
          <w:docGrid w:linePitch="312" w:charSpace="0"/>
        </w:sectPr>
      </w:pPr>
    </w:p>
    <w:p>
      <w:pPr>
        <w:spacing w:line="600" w:lineRule="exact"/>
        <w:jc w:val="center"/>
        <w:rPr>
          <w:rFonts w:hint="eastAsia"/>
          <w:b/>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江西盘古山钨业有限公司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尾矿库</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000000" w:themeColor="text1"/>
          <w:sz w:val="44"/>
          <w:szCs w:val="44"/>
          <w14:textFill>
            <w14:solidFill>
              <w14:schemeClr w14:val="tx1"/>
            </w14:solidFill>
          </w14:textFill>
        </w:rPr>
      </w:pPr>
      <w:r>
        <w:rPr>
          <w:rFonts w:hAnsi="宋体"/>
          <w:b/>
          <w:color w:val="000000" w:themeColor="text1"/>
          <w:sz w:val="44"/>
          <w:szCs w:val="44"/>
          <w14:textFill>
            <w14:solidFill>
              <w14:schemeClr w14:val="tx1"/>
            </w14:solidFill>
          </w14:textFill>
        </w:rPr>
        <w:t>安全现状评价报告</w:t>
      </w:r>
    </w:p>
    <w:p>
      <w:pPr>
        <w:jc w:val="center"/>
        <w:rPr>
          <w:rFonts w:eastAsia="黑体"/>
          <w:b/>
          <w:color w:val="000000" w:themeColor="text1"/>
          <w:sz w:val="44"/>
          <w:szCs w:val="44"/>
          <w14:textFill>
            <w14:solidFill>
              <w14:schemeClr w14:val="tx1"/>
            </w14:solidFill>
          </w14:textFill>
        </w:rPr>
      </w:pPr>
    </w:p>
    <w:p>
      <w:pPr>
        <w:jc w:val="center"/>
        <w:rPr>
          <w:rFonts w:eastAsia="黑体"/>
          <w:b/>
          <w:color w:val="000000" w:themeColor="text1"/>
          <w:sz w:val="44"/>
          <w:szCs w:val="44"/>
          <w14:textFill>
            <w14:solidFill>
              <w14:schemeClr w14:val="tx1"/>
            </w14:solidFill>
          </w14:textFill>
        </w:rPr>
      </w:pPr>
    </w:p>
    <w:p>
      <w:pPr>
        <w:jc w:val="center"/>
        <w:rPr>
          <w:rFonts w:eastAsia="黑体"/>
          <w:b/>
          <w:color w:val="000000" w:themeColor="text1"/>
          <w:sz w:val="44"/>
          <w:szCs w:val="44"/>
          <w14:textFill>
            <w14:solidFill>
              <w14:schemeClr w14:val="tx1"/>
            </w14:solidFill>
          </w14:textFill>
        </w:rPr>
      </w:pPr>
    </w:p>
    <w:p>
      <w:pPr>
        <w:jc w:val="center"/>
        <w:rPr>
          <w:rFonts w:eastAsia="黑体"/>
          <w:b/>
          <w:color w:val="000000" w:themeColor="text1"/>
          <w:sz w:val="44"/>
          <w:szCs w:val="44"/>
          <w14:textFill>
            <w14:solidFill>
              <w14:schemeClr w14:val="tx1"/>
            </w14:solidFill>
          </w14:textFill>
        </w:rPr>
      </w:pPr>
    </w:p>
    <w:p>
      <w:pPr>
        <w:jc w:val="center"/>
        <w:rPr>
          <w:rFonts w:hint="eastAsia" w:eastAsia="黑体"/>
          <w:b/>
          <w:color w:val="000000" w:themeColor="text1"/>
          <w:sz w:val="44"/>
          <w:szCs w:val="44"/>
          <w14:textFill>
            <w14:solidFill>
              <w14:schemeClr w14:val="tx1"/>
            </w14:solidFill>
          </w14:textFill>
        </w:rPr>
      </w:pPr>
    </w:p>
    <w:p>
      <w:pPr>
        <w:jc w:val="center"/>
        <w:rPr>
          <w:rFonts w:hint="eastAsia" w:eastAsia="黑体"/>
          <w:b/>
          <w:color w:val="000000" w:themeColor="text1"/>
          <w:sz w:val="44"/>
          <w:szCs w:val="44"/>
          <w14:textFill>
            <w14:solidFill>
              <w14:schemeClr w14:val="tx1"/>
            </w14:solidFill>
          </w14:textFill>
        </w:rPr>
      </w:pPr>
    </w:p>
    <w:p>
      <w:pPr>
        <w:jc w:val="center"/>
        <w:rPr>
          <w:rFonts w:hint="eastAsia" w:eastAsia="黑体"/>
          <w:b/>
          <w:color w:val="000000" w:themeColor="text1"/>
          <w:sz w:val="44"/>
          <w:szCs w:val="44"/>
          <w14:textFill>
            <w14:solidFill>
              <w14:schemeClr w14:val="tx1"/>
            </w14:solidFill>
          </w14:textFill>
        </w:rPr>
      </w:pPr>
    </w:p>
    <w:p>
      <w:pPr>
        <w:jc w:val="center"/>
        <w:rPr>
          <w:rFonts w:hint="eastAsia" w:eastAsia="黑体"/>
          <w:b/>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法</w:t>
      </w:r>
      <w:r>
        <w:rPr>
          <w:rFonts w:hint="eastAsia"/>
          <w:color w:val="000000" w:themeColor="text1"/>
          <w14:textFill>
            <w14:solidFill>
              <w14:schemeClr w14:val="tx1"/>
            </w14:solidFill>
          </w14:textFill>
        </w:rPr>
        <w:t xml:space="preserve"> 定 </w:t>
      </w:r>
      <w:r>
        <w:rPr>
          <w:color w:val="000000" w:themeColor="text1"/>
          <w14:textFill>
            <w14:solidFill>
              <w14:schemeClr w14:val="tx1"/>
            </w14:solidFill>
          </w14:textFill>
        </w:rPr>
        <w:t>代</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表</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人：</w:t>
      </w:r>
      <w:r>
        <w:rPr>
          <w:rFonts w:hint="eastAsia"/>
          <w:color w:val="000000" w:themeColor="text1"/>
          <w:lang w:val="en-US" w:eastAsia="zh-CN"/>
          <w14:textFill>
            <w14:solidFill>
              <w14:schemeClr w14:val="tx1"/>
            </w14:solidFill>
          </w14:textFill>
        </w:rPr>
        <w:t>应  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t>技</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术</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负</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责</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管自强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t>评价项目负责人：</w:t>
      </w:r>
      <w:r>
        <w:rPr>
          <w:rFonts w:hint="eastAsia"/>
          <w:color w:val="000000" w:themeColor="text1"/>
          <w14:textFill>
            <w14:solidFill>
              <w14:schemeClr w14:val="tx1"/>
            </w14:solidFill>
          </w14:textFill>
        </w:rPr>
        <w:t>管自强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b/>
          <w:bCs/>
          <w:color w:val="000000" w:themeColor="text1"/>
          <w:sz w:val="24"/>
          <w14:textFill>
            <w14:solidFill>
              <w14:schemeClr w14:val="tx1"/>
            </w14:solidFill>
          </w14:textFill>
        </w:rPr>
        <w:t>评价报告完成日期：</w:t>
      </w:r>
      <w:r>
        <w:rPr>
          <w:rFonts w:hint="eastAsia" w:hAnsi="宋体"/>
          <w:b/>
          <w:bCs/>
          <w:color w:val="000000" w:themeColor="text1"/>
          <w:spacing w:val="20"/>
          <w:sz w:val="24"/>
          <w14:textFill>
            <w14:solidFill>
              <w14:schemeClr w14:val="tx1"/>
            </w14:solidFill>
          </w14:textFill>
        </w:rPr>
        <w:t>2023年</w:t>
      </w:r>
      <w:r>
        <w:rPr>
          <w:rFonts w:hint="eastAsia" w:hAnsi="宋体"/>
          <w:b/>
          <w:bCs/>
          <w:color w:val="000000" w:themeColor="text1"/>
          <w:spacing w:val="20"/>
          <w:sz w:val="24"/>
          <w:lang w:val="en-US" w:eastAsia="zh-CN"/>
          <w14:textFill>
            <w14:solidFill>
              <w14:schemeClr w14:val="tx1"/>
            </w14:solidFill>
          </w14:textFill>
        </w:rPr>
        <w:t>12</w:t>
      </w:r>
      <w:r>
        <w:rPr>
          <w:rFonts w:hint="eastAsia" w:hAnsi="宋体"/>
          <w:b/>
          <w:bCs/>
          <w:color w:val="000000" w:themeColor="text1"/>
          <w:spacing w:val="20"/>
          <w:sz w:val="24"/>
          <w14:textFill>
            <w14:solidFill>
              <w14:schemeClr w14:val="tx1"/>
            </w14:solidFill>
          </w14:textFill>
        </w:rPr>
        <w:t>月</w:t>
      </w:r>
      <w:r>
        <w:rPr>
          <w:rFonts w:hint="eastAsia" w:hAnsi="宋体"/>
          <w:b/>
          <w:bCs/>
          <w:color w:val="000000" w:themeColor="text1"/>
          <w:spacing w:val="20"/>
          <w:sz w:val="24"/>
          <w:lang w:val="en-US" w:eastAsia="zh-CN"/>
          <w14:textFill>
            <w14:solidFill>
              <w14:schemeClr w14:val="tx1"/>
            </w14:solidFill>
          </w14:textFill>
        </w:rPr>
        <w:t>28</w:t>
      </w:r>
      <w:r>
        <w:rPr>
          <w:rFonts w:hint="eastAsia" w:hAnsi="宋体"/>
          <w:b/>
          <w:bCs/>
          <w:color w:val="000000" w:themeColor="text1"/>
          <w:spacing w:val="20"/>
          <w:sz w:val="24"/>
          <w14:textFill>
            <w14:solidFill>
              <w14:schemeClr w14:val="tx1"/>
            </w14:solidFill>
          </w14:textFill>
        </w:rPr>
        <w:t>日</w:t>
      </w:r>
    </w:p>
    <w:p>
      <w:pPr>
        <w:spacing w:line="600" w:lineRule="exact"/>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000000" w:themeColor="text1"/>
          <w:sz w:val="44"/>
          <w:szCs w:val="44"/>
          <w14:textFill>
            <w14:solidFill>
              <w14:schemeClr w14:val="tx1"/>
            </w14:solidFill>
          </w14:textFill>
        </w:rPr>
      </w:pPr>
      <w:r>
        <w:rPr>
          <w:rFonts w:hint="eastAsia" w:ascii="宋体" w:hAnsi="宋体"/>
          <w:color w:val="000000" w:themeColor="text1"/>
          <w:sz w:val="44"/>
          <w:szCs w:val="44"/>
          <w14:textFill>
            <w14:solidFill>
              <w14:schemeClr w14:val="tx1"/>
            </w14:solidFill>
          </w14:textFill>
        </w:rPr>
        <w:t>江西盘古山钨业有限公司</w:t>
      </w:r>
    </w:p>
    <w:p>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000000" w:themeColor="text1"/>
          <w:sz w:val="44"/>
          <w:szCs w:val="44"/>
          <w14:textFill>
            <w14:solidFill>
              <w14:schemeClr w14:val="tx1"/>
            </w14:solidFill>
          </w14:textFill>
        </w:rPr>
      </w:pPr>
      <w:r>
        <w:rPr>
          <w:rFonts w:hint="eastAsia" w:ascii="宋体" w:hAnsi="宋体"/>
          <w:color w:val="000000" w:themeColor="text1"/>
          <w:sz w:val="44"/>
          <w:szCs w:val="44"/>
          <w14:textFill>
            <w14:solidFill>
              <w14:schemeClr w14:val="tx1"/>
            </w14:solidFill>
          </w14:textFill>
        </w:rPr>
        <w:t>尾矿库</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000000" w:themeColor="text1"/>
          <w:kern w:val="0"/>
          <w:sz w:val="36"/>
          <w:szCs w:val="36"/>
          <w14:textFill>
            <w14:solidFill>
              <w14:schemeClr w14:val="tx1"/>
            </w14:solidFill>
          </w14:textFill>
        </w:rPr>
      </w:pPr>
      <w:r>
        <w:rPr>
          <w:rFonts w:hint="eastAsia" w:ascii="宋体" w:hAnsi="宋体" w:cs="宋体"/>
          <w:color w:val="000000" w:themeColor="text1"/>
          <w:kern w:val="0"/>
          <w:sz w:val="36"/>
          <w:szCs w:val="36"/>
          <w14:textFill>
            <w14:solidFill>
              <w14:schemeClr w14:val="tx1"/>
            </w14:solidFill>
          </w14:textFill>
        </w:rPr>
        <w:t>安全现状</w:t>
      </w:r>
      <w:r>
        <w:rPr>
          <w:rFonts w:ascii="宋体" w:hAnsi="宋体" w:cs="宋体"/>
          <w:color w:val="000000" w:themeColor="text1"/>
          <w:kern w:val="0"/>
          <w:sz w:val="36"/>
          <w:szCs w:val="36"/>
          <w14:textFill>
            <w14:solidFill>
              <w14:schemeClr w14:val="tx1"/>
            </w14:solidFill>
          </w14:textFill>
        </w:rPr>
        <w:t>评价</w:t>
      </w:r>
      <w:r>
        <w:rPr>
          <w:rFonts w:hint="eastAsia" w:ascii="宋体" w:hAnsi="宋体" w:cs="宋体"/>
          <w:color w:val="000000" w:themeColor="text1"/>
          <w:kern w:val="0"/>
          <w:sz w:val="36"/>
          <w:szCs w:val="36"/>
          <w14:textFill>
            <w14:solidFill>
              <w14:schemeClr w14:val="tx1"/>
            </w14:solidFill>
          </w14:textFill>
        </w:rPr>
        <w:t>技术服务</w:t>
      </w:r>
      <w:r>
        <w:rPr>
          <w:rFonts w:ascii="宋体" w:hAnsi="宋体" w:cs="宋体"/>
          <w:color w:val="000000" w:themeColor="text1"/>
          <w:kern w:val="0"/>
          <w:sz w:val="36"/>
          <w:szCs w:val="36"/>
          <w14:textFill>
            <w14:solidFill>
              <w14:schemeClr w14:val="tx1"/>
            </w14:solidFill>
          </w14:textFill>
        </w:rPr>
        <w:t>承诺书</w:t>
      </w:r>
    </w:p>
    <w:p>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一、在本项目安全评价活动过程中，我单位严格遵守《安全生产法》及相关法律、法规和标准的要求。</w:t>
      </w:r>
    </w:p>
    <w:p>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宋体" w:hAnsi="宋体" w:cs="宋体"/>
          <w:color w:val="000000" w:themeColor="text1"/>
          <w:kern w:val="0"/>
          <w:sz w:val="36"/>
          <w:szCs w:val="36"/>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二、在本项目安全评价活动过程中，我单位作为第三方，未受到任何组织和个人的干预和影响，依法独立开展工作，保证了技术服务活动的客观公正性。</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三、我单位按照实事求是的原则，对本项目进行安全评价，确保出具的报告均真实有效，报告所提出的措施具有针对性、有效性和可行性。</w:t>
      </w:r>
    </w:p>
    <w:p>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四、我单位对本项目安全评价报告中结论性内容承担法律责任。</w:t>
      </w:r>
    </w:p>
    <w:p>
      <w:pPr>
        <w:widowControl/>
        <w:spacing w:before="100" w:beforeAutospacing="1" w:after="100" w:afterAutospacing="1" w:line="425" w:lineRule="auto"/>
        <w:ind w:left="5258" w:leftChars="228" w:hanging="4620" w:hangingChars="1650"/>
        <w:jc w:val="right"/>
        <w:rPr>
          <w:rFonts w:hint="eastAsia" w:hAnsi="宋体"/>
          <w:color w:val="000000" w:themeColor="text1"/>
          <w:szCs w:val="28"/>
          <w14:textFill>
            <w14:solidFill>
              <w14:schemeClr w14:val="tx1"/>
            </w14:solidFill>
          </w14:textFill>
        </w:rPr>
      </w:pPr>
    </w:p>
    <w:p>
      <w:pPr>
        <w:widowControl/>
        <w:spacing w:before="100" w:beforeAutospacing="1" w:after="100" w:afterAutospacing="1" w:line="425" w:lineRule="auto"/>
        <w:ind w:left="5258" w:leftChars="228" w:hanging="4620" w:hangingChars="1650"/>
        <w:jc w:val="right"/>
        <w:rPr>
          <w:color w:val="000000" w:themeColor="text1"/>
          <w:kern w:val="0"/>
          <w:szCs w:val="28"/>
          <w14:textFill>
            <w14:solidFill>
              <w14:schemeClr w14:val="tx1"/>
            </w14:solidFill>
          </w14:textFill>
        </w:rPr>
      </w:pPr>
      <w:r>
        <w:rPr>
          <w:color w:val="000000" w:themeColor="text1"/>
          <w:szCs w:val="28"/>
          <w14:textFill>
            <w14:solidFill>
              <w14:schemeClr w14:val="tx1"/>
            </w14:solidFill>
          </w14:textFill>
        </w:rPr>
        <w:t>江西赣安安全生产科学技术咨询服务中心</w:t>
      </w:r>
    </w:p>
    <w:p>
      <w:pPr>
        <w:keepNext w:val="0"/>
        <w:keepLines w:val="0"/>
        <w:pageBreakBefore w:val="0"/>
        <w:widowControl/>
        <w:kinsoku/>
        <w:wordWrap/>
        <w:overflowPunct/>
        <w:topLinePunct w:val="0"/>
        <w:autoSpaceDE/>
        <w:autoSpaceDN/>
        <w:bidi w:val="0"/>
        <w:adjustRightInd/>
        <w:snapToGrid/>
        <w:spacing w:beforeAutospacing="0" w:afterAutospacing="0" w:line="720" w:lineRule="exact"/>
        <w:ind w:firstLine="0" w:firstLineChars="0"/>
        <w:jc w:val="center"/>
        <w:textAlignment w:val="auto"/>
        <w:rPr>
          <w:rFonts w:hint="default" w:ascii="Times New Roman" w:hAnsi="Times New Roman" w:eastAsia="微软雅黑" w:cs="Times New Roman"/>
          <w:color w:val="000000" w:themeColor="text1"/>
          <w:sz w:val="18"/>
          <w:szCs w:val="18"/>
          <w14:textFill>
            <w14:solidFill>
              <w14:schemeClr w14:val="tx1"/>
            </w14:solidFill>
          </w14:textFill>
        </w:rPr>
      </w:pPr>
      <w:r>
        <w:rPr>
          <w:rFonts w:hint="eastAsia"/>
          <w:color w:val="000000" w:themeColor="text1"/>
          <w:kern w:val="0"/>
          <w:szCs w:val="28"/>
          <w:lang w:val="en-US" w:eastAsia="zh-CN"/>
          <w14:textFill>
            <w14:solidFill>
              <w14:schemeClr w14:val="tx1"/>
            </w14:solidFill>
          </w14:textFill>
        </w:rPr>
        <w:t xml:space="preserve">                              </w:t>
      </w:r>
      <w:r>
        <w:rPr>
          <w:color w:val="000000" w:themeColor="text1"/>
          <w:kern w:val="0"/>
          <w:szCs w:val="28"/>
          <w14:textFill>
            <w14:solidFill>
              <w14:schemeClr w14:val="tx1"/>
            </w14:solidFill>
          </w14:textFill>
        </w:rPr>
        <w:t>202</w:t>
      </w:r>
      <w:r>
        <w:rPr>
          <w:rFonts w:hint="eastAsia"/>
          <w:color w:val="000000" w:themeColor="text1"/>
          <w:kern w:val="0"/>
          <w:szCs w:val="28"/>
          <w:lang w:val="en-US" w:eastAsia="zh-CN"/>
          <w14:textFill>
            <w14:solidFill>
              <w14:schemeClr w14:val="tx1"/>
            </w14:solidFill>
          </w14:textFill>
        </w:rPr>
        <w:t>3</w:t>
      </w:r>
      <w:r>
        <w:rPr>
          <w:rFonts w:hAnsi="宋体"/>
          <w:color w:val="000000" w:themeColor="text1"/>
          <w:kern w:val="0"/>
          <w:szCs w:val="28"/>
          <w14:textFill>
            <w14:solidFill>
              <w14:schemeClr w14:val="tx1"/>
            </w14:solidFill>
          </w14:textFill>
        </w:rPr>
        <w:t>年</w:t>
      </w:r>
      <w:r>
        <w:rPr>
          <w:rFonts w:hint="eastAsia" w:hAnsi="宋体"/>
          <w:color w:val="000000" w:themeColor="text1"/>
          <w:kern w:val="0"/>
          <w:szCs w:val="28"/>
          <w:lang w:val="en-US" w:eastAsia="zh-CN"/>
          <w14:textFill>
            <w14:solidFill>
              <w14:schemeClr w14:val="tx1"/>
            </w14:solidFill>
          </w14:textFill>
        </w:rPr>
        <w:t>1</w:t>
      </w:r>
      <w:r>
        <w:rPr>
          <w:rFonts w:hint="eastAsia"/>
          <w:color w:val="000000" w:themeColor="text1"/>
          <w:kern w:val="0"/>
          <w:szCs w:val="28"/>
          <w:lang w:val="en-US" w:eastAsia="zh-CN"/>
          <w14:textFill>
            <w14:solidFill>
              <w14:schemeClr w14:val="tx1"/>
            </w14:solidFill>
          </w14:textFill>
        </w:rPr>
        <w:t>2</w:t>
      </w:r>
      <w:r>
        <w:rPr>
          <w:rFonts w:hAnsi="宋体"/>
          <w:color w:val="000000" w:themeColor="text1"/>
          <w:kern w:val="0"/>
          <w:szCs w:val="28"/>
          <w14:textFill>
            <w14:solidFill>
              <w14:schemeClr w14:val="tx1"/>
            </w14:solidFill>
          </w14:textFill>
        </w:rPr>
        <w:t>月</w:t>
      </w:r>
      <w:r>
        <w:rPr>
          <w:rFonts w:hint="eastAsia"/>
          <w:color w:val="000000" w:themeColor="text1"/>
          <w:kern w:val="0"/>
          <w:szCs w:val="28"/>
          <w:lang w:val="en-US" w:eastAsia="zh-CN"/>
          <w14:textFill>
            <w14:solidFill>
              <w14:schemeClr w14:val="tx1"/>
            </w14:solidFill>
          </w14:textFill>
        </w:rPr>
        <w:t>28</w:t>
      </w:r>
      <w:bookmarkStart w:id="116" w:name="_GoBack"/>
      <w:bookmarkEnd w:id="116"/>
      <w:r>
        <w:rPr>
          <w:rFonts w:hAnsi="宋体"/>
          <w:color w:val="000000" w:themeColor="text1"/>
          <w:kern w:val="0"/>
          <w:szCs w:val="28"/>
          <w14:textFill>
            <w14:solidFill>
              <w14:schemeClr w14:val="tx1"/>
            </w14:solidFill>
          </w14:textFill>
        </w:rPr>
        <w:t>日</w:t>
      </w:r>
      <w:r>
        <w:rPr>
          <w:b/>
          <w:color w:val="000000" w:themeColor="text1"/>
          <w:szCs w:val="28"/>
          <w14:textFill>
            <w14:solidFill>
              <w14:schemeClr w14:val="tx1"/>
            </w14:solidFill>
          </w14:textFill>
        </w:rPr>
        <w:br w:type="page"/>
      </w:r>
      <w:r>
        <w:rPr>
          <w:rFonts w:hint="default" w:ascii="Times New Roman" w:hAnsi="Times New Roman" w:eastAsia="方正小标宋简体" w:cs="Times New Roman"/>
          <w:color w:val="000000" w:themeColor="text1"/>
          <w:sz w:val="44"/>
          <w:szCs w:val="44"/>
          <w14:textFill>
            <w14:solidFill>
              <w14:schemeClr w14:val="tx1"/>
            </w14:solidFill>
          </w14:textFill>
        </w:rPr>
        <w:t>规范安全生产中介行为的九条禁令</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20" w:lineRule="auto"/>
        <w:ind w:firstLine="640" w:firstLineChars="200"/>
        <w:textAlignment w:val="auto"/>
        <w:rPr>
          <w:rFonts w:hint="default" w:ascii="Times New Roman" w:hAnsi="Times New Roman" w:cs="Times New Roman"/>
          <w:color w:val="000000" w:themeColor="text1"/>
          <w:sz w:val="32"/>
          <w:szCs w:val="32"/>
          <w14:textFill>
            <w14:solidFill>
              <w14:schemeClr w14:val="tx1"/>
            </w14:solidFill>
          </w14:textFill>
        </w:r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一、禁止从事安全生产和职业卫生服务的中介服务机构（以下统称中介机构）租借资质证书、非法挂靠、转包服务项目的行为；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二、禁止中介机构假借、冒用他人名义要求服务对象接受有偿服务，或者恶意低价竞争以及采取串标、围标等不正当竞争手段，扰乱技术服务市场秩序的行为；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三、禁止中介机构出具虚假或漏项、缺项技术报告的行为；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四、禁止中介机构出租、出借资格证书、在报告上冒用他人签名的行为；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五、禁止中介机构有应到而不到现场开展技术服务的行为；</w:t>
      </w:r>
      <w:r>
        <w:rPr>
          <w:rFonts w:hint="default" w:ascii="Times New Roman" w:hAnsi="Times New Roman" w:cs="Times New Roman"/>
          <w:color w:val="000000" w:themeColor="text1"/>
          <w:sz w:val="18"/>
          <w:szCs w:val="18"/>
          <w14:textFill>
            <w14:solidFill>
              <w14:schemeClr w14:val="tx1"/>
            </w14:solidFill>
          </w14:textFill>
        </w:rPr>
        <w:t xml:space="preserve"> </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六、禁止安全生产监管部门及其工作人员要求生产经营单位接受指定的中介机构开展技术服务的行为；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七、禁止安全生产监管部门及其工作人员没有法律依据组织由生产经营单位或机构支付费用的行政性评审的行为；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八、禁止安全生产监管部门及其工作人员干预市场定价，违规擅自出台技术服务收费标准的行为；</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96" w:lineRule="auto"/>
        <w:ind w:firstLine="640" w:firstLineChars="200"/>
        <w:textAlignment w:val="auto"/>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九、禁止安全生产监管部门及其工作人员参与、擅自干预中介机构从业活动，或者有获取不正当利益的行为。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黑体" w:cs="Times New Roman"/>
          <w:b/>
          <w:color w:val="000000" w:themeColor="text1"/>
          <w:sz w:val="32"/>
          <w:szCs w:val="32"/>
          <w14:textFill>
            <w14:solidFill>
              <w14:schemeClr w14:val="tx1"/>
            </w14:solidFill>
          </w14:textFill>
        </w:rPr>
      </w:pPr>
      <w:r>
        <w:rPr>
          <w:rFonts w:ascii="Times New Roman" w:hAnsi="Times New Roman" w:eastAsia="黑体" w:cs="Times New Roman"/>
          <w:b/>
          <w:color w:val="000000" w:themeColor="text1"/>
          <w:sz w:val="32"/>
          <w:szCs w:val="32"/>
          <w14:textFill>
            <w14:solidFill>
              <w14:schemeClr w14:val="tx1"/>
            </w14:solidFill>
          </w14:textFill>
        </w:rPr>
        <w:t>评 价 人 员</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黑体" w:cs="Times New Roman"/>
          <w:b/>
          <w:color w:val="000000" w:themeColor="text1"/>
          <w:sz w:val="32"/>
          <w:szCs w:val="32"/>
          <w14:textFill>
            <w14:solidFill>
              <w14:schemeClr w14:val="tx1"/>
            </w14:solidFill>
          </w14:textFill>
        </w:rPr>
      </w:pPr>
    </w:p>
    <w:p>
      <w:pPr>
        <w:pStyle w:val="22"/>
        <w:rPr>
          <w:color w:val="000000" w:themeColor="text1"/>
          <w14:textFill>
            <w14:solidFill>
              <w14:schemeClr w14:val="tx1"/>
            </w14:solidFill>
          </w14:textFill>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290"/>
        <w:gridCol w:w="3018"/>
        <w:gridCol w:w="1564"/>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姓  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证书编号</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从业登记号</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项目组成员</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方忠业</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1600000000200082</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029926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黄伯扬</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800000000</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0643</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032737</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王纪鹏</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S01103500011019</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00</w:t>
            </w:r>
            <w:r>
              <w:rPr>
                <w:rFonts w:hint="default" w:ascii="Times New Roman" w:hAnsi="Times New Roman" w:cs="Times New Roman"/>
                <w:color w:val="000000" w:themeColor="text1"/>
                <w:sz w:val="24"/>
                <w:lang w:val="en-US" w:eastAsia="zh-CN"/>
                <w14:textFill>
                  <w14:solidFill>
                    <w14:schemeClr w14:val="tx1"/>
                  </w14:solidFill>
                </w14:textFill>
              </w:rPr>
              <w:t>155</w:t>
            </w:r>
            <w:r>
              <w:rPr>
                <w:rFonts w:hint="default" w:ascii="Times New Roman" w:hAnsi="Times New Roman" w:eastAsia="宋体" w:cs="Times New Roman"/>
                <w:color w:val="000000" w:themeColor="text1"/>
                <w:sz w:val="24"/>
                <w14:textFill>
                  <w14:solidFill>
                    <w14:schemeClr w14:val="tx1"/>
                  </w14:solidFill>
                </w14:textFill>
              </w:rPr>
              <w:t>0</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036830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报告编制人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许玉才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1800000000200658</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033460</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报告审核人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戴磷</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1100000000200597</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019915</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过程控制负责</w:t>
            </w:r>
            <w:r>
              <w:rPr>
                <w:rFonts w:hint="eastAsia" w:ascii="Times New Roman" w:hAnsi="Times New Roman" w:cs="Times New Roman"/>
                <w:color w:val="000000" w:themeColor="text1"/>
                <w:sz w:val="24"/>
                <w:lang w:val="en-US" w:eastAsia="zh-CN"/>
                <w14:textFill>
                  <w14:solidFill>
                    <w14:schemeClr w14:val="tx1"/>
                  </w14:solidFill>
                </w14:textFill>
              </w:rPr>
              <w:t>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檀廷斌</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1600000000200717</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029648</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000000" w:themeColor="text1"/>
                <w:sz w:val="24"/>
                <w14:textFill>
                  <w14:solidFill>
                    <w14:schemeClr w14:val="tx1"/>
                  </w14:solidFill>
                </w14:textFill>
              </w:rPr>
            </w:pPr>
          </w:p>
        </w:tc>
      </w:tr>
    </w:tbl>
    <w:p>
      <w:pPr>
        <w:spacing w:before="234" w:beforeLines="75" w:after="234" w:afterLines="75" w:line="560" w:lineRule="exact"/>
        <w:jc w:val="center"/>
        <w:rPr>
          <w:rFonts w:ascii="宋体" w:hAnsi="宋体" w:eastAsia="宋体" w:cs="Times New Roman"/>
          <w:b/>
          <w:color w:val="000000" w:themeColor="text1"/>
          <w:sz w:val="36"/>
          <w:szCs w:val="36"/>
          <w14:textFill>
            <w14:solidFill>
              <w14:schemeClr w14:val="tx1"/>
            </w14:solidFill>
          </w14:textFill>
        </w:rPr>
      </w:pPr>
    </w:p>
    <w:p>
      <w:pPr>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000000" w:themeColor="text1"/>
          <w:szCs w:val="28"/>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r>
        <w:rPr>
          <w:rFonts w:hint="eastAsia" w:ascii="黑体" w:hAnsi="黑体" w:eastAsia="黑体" w:cs="黑体"/>
          <w:b/>
          <w:bCs/>
          <w:color w:val="000000" w:themeColor="text1"/>
          <w:sz w:val="32"/>
          <w:szCs w:val="32"/>
          <w14:textFill>
            <w14:solidFill>
              <w14:schemeClr w14:val="tx1"/>
            </w14:solidFill>
          </w14:textFill>
        </w:rPr>
        <w:t>前    言</w:t>
      </w:r>
    </w:p>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江西</w:t>
      </w:r>
      <w:r>
        <w:rPr>
          <w:rFonts w:hint="eastAsia"/>
          <w:color w:val="000000" w:themeColor="text1"/>
          <w14:textFill>
            <w14:solidFill>
              <w14:schemeClr w14:val="tx1"/>
            </w14:solidFill>
          </w14:textFill>
        </w:rPr>
        <w:t>盘古山钨业</w:t>
      </w:r>
      <w:r>
        <w:rPr>
          <w:rFonts w:hint="eastAsia"/>
          <w:color w:val="000000" w:themeColor="text1"/>
          <w:lang w:val="en-US" w:eastAsia="zh-CN"/>
          <w14:textFill>
            <w14:solidFill>
              <w14:schemeClr w14:val="tx1"/>
            </w14:solidFill>
          </w14:textFill>
        </w:rPr>
        <w:t>有限公司</w:t>
      </w:r>
      <w:r>
        <w:rPr>
          <w:rFonts w:hint="eastAsia"/>
          <w:color w:val="000000" w:themeColor="text1"/>
          <w14:textFill>
            <w14:solidFill>
              <w14:schemeClr w14:val="tx1"/>
            </w14:solidFill>
          </w14:textFill>
        </w:rPr>
        <w:t>前身是盘古山钨矿，是一个</w:t>
      </w:r>
      <w:r>
        <w:rPr>
          <w:rFonts w:hint="eastAsia"/>
          <w:color w:val="000000" w:themeColor="text1"/>
          <w:lang w:val="en-US" w:eastAsia="zh-CN"/>
          <w14:textFill>
            <w14:solidFill>
              <w14:schemeClr w14:val="tx1"/>
            </w14:solidFill>
          </w14:textFill>
        </w:rPr>
        <w:t>有着</w:t>
      </w:r>
      <w:r>
        <w:rPr>
          <w:rFonts w:hint="eastAsia"/>
          <w:color w:val="000000" w:themeColor="text1"/>
          <w14:textFill>
            <w14:solidFill>
              <w14:schemeClr w14:val="tx1"/>
            </w14:solidFill>
          </w14:textFill>
        </w:rPr>
        <w:t>100多年开采历史的老矿山。</w:t>
      </w:r>
      <w:r>
        <w:rPr>
          <w:rFonts w:hint="eastAsia"/>
          <w:color w:val="000000" w:themeColor="text1"/>
          <w:lang w:val="en-US" w:eastAsia="zh-CN"/>
          <w14:textFill>
            <w14:solidFill>
              <w14:schemeClr w14:val="tx1"/>
            </w14:solidFill>
          </w14:textFill>
        </w:rPr>
        <w:t>矿山</w:t>
      </w:r>
      <w:r>
        <w:rPr>
          <w:rFonts w:hint="eastAsia"/>
          <w:color w:val="000000" w:themeColor="text1"/>
          <w:spacing w:val="10"/>
          <w:kern w:val="0"/>
          <w:szCs w:val="28"/>
          <w14:textFill>
            <w14:solidFill>
              <w14:schemeClr w14:val="tx1"/>
            </w14:solidFill>
          </w14:textFill>
        </w:rPr>
        <w:t>发现于1918年，1919年开始开采，</w:t>
      </w:r>
      <w:r>
        <w:rPr>
          <w:rFonts w:hint="eastAsia"/>
          <w:color w:val="000000" w:themeColor="text1"/>
          <w14:textFill>
            <w14:solidFill>
              <w14:schemeClr w14:val="tx1"/>
            </w14:solidFill>
          </w14:textFill>
        </w:rPr>
        <w:t>1954年收归国有，为大型钨铋矿床。2004年8月改制成立有限公司，现隶属于江西钨业控股集团有限公司，为国家二级企业。</w:t>
      </w:r>
    </w:p>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江西</w:t>
      </w:r>
      <w:r>
        <w:rPr>
          <w:rFonts w:hint="eastAsia"/>
          <w:color w:val="000000" w:themeColor="text1"/>
          <w14:textFill>
            <w14:solidFill>
              <w14:schemeClr w14:val="tx1"/>
            </w14:solidFill>
          </w14:textFill>
        </w:rPr>
        <w:t>盘古山钨业</w:t>
      </w:r>
      <w:r>
        <w:rPr>
          <w:rFonts w:hint="eastAsia"/>
          <w:color w:val="000000" w:themeColor="text1"/>
          <w:lang w:val="en-US" w:eastAsia="zh-CN"/>
          <w14:textFill>
            <w14:solidFill>
              <w14:schemeClr w14:val="tx1"/>
            </w14:solidFill>
          </w14:textFill>
        </w:rPr>
        <w:t>有限公司</w:t>
      </w:r>
      <w:r>
        <w:rPr>
          <w:rFonts w:hint="eastAsia"/>
          <w:color w:val="000000" w:themeColor="text1"/>
          <w14:textFill>
            <w14:solidFill>
              <w14:schemeClr w14:val="tx1"/>
            </w14:solidFill>
          </w14:textFill>
        </w:rPr>
        <w:t>尾矿库始建于1954年，分一期、二期建设，堆积库容256.95万m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。由于采用自流堆坝，有效库容率很低，为增加有效库容，1969年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江西省重工业局委托南昌有色冶金设计院设计，该院派</w:t>
      </w:r>
      <w:r>
        <w:rPr>
          <w:rFonts w:hint="eastAsia"/>
          <w:color w:val="000000" w:themeColor="text1"/>
          <w:lang w:val="en-US" w:eastAsia="zh-CN"/>
          <w14:textFill>
            <w14:solidFill>
              <w14:schemeClr w14:val="tx1"/>
            </w14:solidFill>
          </w14:textFill>
        </w:rPr>
        <w:t>人</w:t>
      </w:r>
      <w:r>
        <w:rPr>
          <w:rFonts w:hint="eastAsia"/>
          <w:color w:val="000000" w:themeColor="text1"/>
          <w14:textFill>
            <w14:solidFill>
              <w14:schemeClr w14:val="tx1"/>
            </w14:solidFill>
          </w14:textFill>
        </w:rPr>
        <w:t>员与矿方组成“三结合”设计小组，进行三期尾矿库工程设计，于1975年10月完成设计。三期工程利用原有库址及向西部扩建，最大坝高73.7m。设计总库容为1410万m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，有效库容1128万m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含一、二期库容），为三等库。三期工程于1976年10月动工，1980年4月建成并投入使用，地理位置在选矿厂西侧，东距选矿厂约0.2km，东、南、西三面筑坝，北面以山为界，为傍山型尾矿库，库长约0.8km，平均宽度约0.5km，尾矿坝分期建设，初期坝为干砌块石坝，后期采用上游式尾矿堆坝。</w:t>
      </w:r>
    </w:p>
    <w:p>
      <w:pPr>
        <w:bidi w:val="0"/>
        <w:rPr>
          <w:color w:val="000000" w:themeColor="text1"/>
          <w14:textFill>
            <w14:solidFill>
              <w14:schemeClr w14:val="tx1"/>
            </w14:solidFill>
          </w14:textFill>
        </w:rPr>
      </w:pPr>
      <w:r>
        <w:rPr>
          <w:color w:val="000000" w:themeColor="text1"/>
          <w14:textFill>
            <w14:solidFill>
              <w14:schemeClr w14:val="tx1"/>
            </w14:solidFill>
          </w14:textFill>
        </w:rPr>
        <w:t>按照《安全生产许可证条例》《非煤矿山企业安全生产许可证实施办法》《江西省非煤矿矿山企业安全生产许可证办法》，于</w:t>
      </w:r>
      <w:r>
        <w:rPr>
          <w:rFonts w:hint="eastAsia"/>
          <w:color w:val="000000" w:themeColor="text1"/>
          <w:lang w:val="en-US" w:eastAsia="zh-CN"/>
          <w14:textFill>
            <w14:solidFill>
              <w14:schemeClr w14:val="tx1"/>
            </w14:solidFill>
          </w14:textFill>
        </w:rPr>
        <w:t>2006</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月取得了</w:t>
      </w:r>
      <w:r>
        <w:rPr>
          <w:rFonts w:hint="eastAsia"/>
          <w:color w:val="000000" w:themeColor="text1"/>
          <w:lang w:val="en-US" w:eastAsia="zh-CN"/>
          <w14:textFill>
            <w14:solidFill>
              <w14:schemeClr w14:val="tx1"/>
            </w14:solidFill>
          </w14:textFill>
        </w:rPr>
        <w:t>原</w:t>
      </w:r>
      <w:r>
        <w:rPr>
          <w:color w:val="000000" w:themeColor="text1"/>
          <w14:textFill>
            <w14:solidFill>
              <w14:schemeClr w14:val="tx1"/>
            </w14:solidFill>
          </w14:textFill>
        </w:rPr>
        <w:t>江西省安全生产监督管理局颁发的《安全生产许可证》，</w:t>
      </w:r>
      <w:r>
        <w:rPr>
          <w:rFonts w:hint="eastAsia"/>
          <w:color w:val="000000" w:themeColor="text1"/>
          <w:lang w:val="en-US" w:eastAsia="zh-CN"/>
          <w14:textFill>
            <w14:solidFill>
              <w14:schemeClr w14:val="tx1"/>
            </w14:solidFill>
          </w14:textFill>
        </w:rPr>
        <w:t>2009</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2012</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2015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2018</w:t>
      </w:r>
      <w:r>
        <w:rPr>
          <w:color w:val="000000" w:themeColor="text1"/>
          <w14:textFill>
            <w14:solidFill>
              <w14:schemeClr w14:val="tx1"/>
            </w14:solidFill>
          </w14:textFill>
        </w:rPr>
        <w:t>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2021年</w:t>
      </w:r>
      <w:r>
        <w:rPr>
          <w:color w:val="000000" w:themeColor="text1"/>
          <w14:textFill>
            <w14:solidFill>
              <w14:schemeClr w14:val="tx1"/>
            </w14:solidFill>
          </w14:textFill>
        </w:rPr>
        <w:t>进行了延期换证，并按要求进行了年审。现按照《关于做好非煤矿矿山企业安全生产许可证延期换证工作的通知》有关要求，</w:t>
      </w:r>
      <w:r>
        <w:rPr>
          <w:rFonts w:ascii="宋体" w:hAnsi="宋体"/>
          <w:color w:val="000000" w:themeColor="text1"/>
          <w:szCs w:val="28"/>
          <w14:textFill>
            <w14:solidFill>
              <w14:schemeClr w14:val="tx1"/>
            </w14:solidFill>
          </w14:textFill>
        </w:rPr>
        <w:t>江西</w:t>
      </w:r>
      <w:r>
        <w:rPr>
          <w:rFonts w:hint="eastAsia" w:ascii="宋体" w:hAnsi="宋体"/>
          <w:color w:val="000000" w:themeColor="text1"/>
          <w:szCs w:val="28"/>
          <w14:textFill>
            <w14:solidFill>
              <w14:schemeClr w14:val="tx1"/>
            </w14:solidFill>
          </w14:textFill>
        </w:rPr>
        <w:t>盘古山</w:t>
      </w:r>
      <w:r>
        <w:rPr>
          <w:rFonts w:ascii="宋体" w:hAnsi="宋体"/>
          <w:color w:val="000000" w:themeColor="text1"/>
          <w:szCs w:val="28"/>
          <w14:textFill>
            <w14:solidFill>
              <w14:schemeClr w14:val="tx1"/>
            </w14:solidFill>
          </w14:textFill>
        </w:rPr>
        <w:t>钨业有限公司尾矿库</w:t>
      </w:r>
      <w:r>
        <w:rPr>
          <w:color w:val="000000" w:themeColor="text1"/>
          <w14:textFill>
            <w14:solidFill>
              <w14:schemeClr w14:val="tx1"/>
            </w14:solidFill>
          </w14:textFill>
        </w:rPr>
        <w:t>需办理安全生产许可证（期满三年）延期手续。</w:t>
      </w:r>
    </w:p>
    <w:p>
      <w:pPr>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t>受</w:t>
      </w:r>
      <w:r>
        <w:rPr>
          <w:rFonts w:ascii="宋体" w:hAnsi="宋体"/>
          <w:color w:val="000000" w:themeColor="text1"/>
          <w:szCs w:val="28"/>
          <w14:textFill>
            <w14:solidFill>
              <w14:schemeClr w14:val="tx1"/>
            </w14:solidFill>
          </w14:textFill>
        </w:rPr>
        <w:t>江西</w:t>
      </w:r>
      <w:r>
        <w:rPr>
          <w:rFonts w:hint="eastAsia" w:ascii="宋体" w:hAnsi="宋体"/>
          <w:color w:val="000000" w:themeColor="text1"/>
          <w:szCs w:val="28"/>
          <w14:textFill>
            <w14:solidFill>
              <w14:schemeClr w14:val="tx1"/>
            </w14:solidFill>
          </w14:textFill>
        </w:rPr>
        <w:t>盘古山</w:t>
      </w:r>
      <w:r>
        <w:rPr>
          <w:rFonts w:ascii="宋体" w:hAnsi="宋体"/>
          <w:color w:val="000000" w:themeColor="text1"/>
          <w:szCs w:val="28"/>
          <w14:textFill>
            <w14:solidFill>
              <w14:schemeClr w14:val="tx1"/>
            </w14:solidFill>
          </w14:textFill>
        </w:rPr>
        <w:t>钨业有限公司</w:t>
      </w:r>
      <w:r>
        <w:rPr>
          <w:color w:val="000000" w:themeColor="text1"/>
          <w14:textFill>
            <w14:solidFill>
              <w14:schemeClr w14:val="tx1"/>
            </w14:solidFill>
          </w14:textFill>
        </w:rPr>
        <w:t>委托，江西赣安安全生产科学技术咨询服务中心承担了</w:t>
      </w:r>
      <w:r>
        <w:rPr>
          <w:rFonts w:ascii="宋体" w:hAnsi="宋体"/>
          <w:color w:val="000000" w:themeColor="text1"/>
          <w:szCs w:val="28"/>
          <w14:textFill>
            <w14:solidFill>
              <w14:schemeClr w14:val="tx1"/>
            </w14:solidFill>
          </w14:textFill>
        </w:rPr>
        <w:t>江西</w:t>
      </w:r>
      <w:r>
        <w:rPr>
          <w:rFonts w:hint="eastAsia" w:ascii="宋体" w:hAnsi="宋体"/>
          <w:color w:val="000000" w:themeColor="text1"/>
          <w:szCs w:val="28"/>
          <w14:textFill>
            <w14:solidFill>
              <w14:schemeClr w14:val="tx1"/>
            </w14:solidFill>
          </w14:textFill>
        </w:rPr>
        <w:t>盘古山</w:t>
      </w:r>
      <w:r>
        <w:rPr>
          <w:rFonts w:ascii="宋体" w:hAnsi="宋体"/>
          <w:color w:val="000000" w:themeColor="text1"/>
          <w:szCs w:val="28"/>
          <w14:textFill>
            <w14:solidFill>
              <w14:schemeClr w14:val="tx1"/>
            </w14:solidFill>
          </w14:textFill>
        </w:rPr>
        <w:t>钨业有限公司</w:t>
      </w:r>
      <w:r>
        <w:rPr>
          <w:color w:val="000000" w:themeColor="text1"/>
          <w14:textFill>
            <w14:solidFill>
              <w14:schemeClr w14:val="tx1"/>
            </w14:solidFill>
          </w14:textFill>
        </w:rPr>
        <w:t>安全现状评价工作，按照国家有关法律、法规和技术标准的要求，</w:t>
      </w:r>
      <w:r>
        <w:rPr>
          <w:rFonts w:hint="default" w:ascii="Times New Roman" w:hAnsi="Times New Roman" w:cs="Times New Roman"/>
          <w:color w:val="000000" w:themeColor="text1"/>
          <w:sz w:val="28"/>
          <w:szCs w:val="28"/>
          <w14:textFill>
            <w14:solidFill>
              <w14:schemeClr w14:val="tx1"/>
            </w14:solidFill>
          </w14:textFill>
        </w:rPr>
        <w:t>202</w:t>
      </w:r>
      <w:r>
        <w:rPr>
          <w:rFonts w:hint="default" w:ascii="Times New Roman" w:hAnsi="Times New Roman" w:cs="Times New Roman"/>
          <w:color w:val="000000" w:themeColor="text1"/>
          <w:sz w:val="28"/>
          <w:szCs w:val="28"/>
          <w:lang w:val="en-US" w:eastAsia="zh-CN"/>
          <w14:textFill>
            <w14:solidFill>
              <w14:schemeClr w14:val="tx1"/>
            </w14:solidFill>
          </w14:textFill>
        </w:rPr>
        <w:t>3</w:t>
      </w:r>
      <w:r>
        <w:rPr>
          <w:rFonts w:hint="default" w:ascii="Times New Roman" w:hAnsi="Times New Roman" w:cs="Times New Roman"/>
          <w:color w:val="000000" w:themeColor="text1"/>
          <w:sz w:val="28"/>
          <w:szCs w:val="28"/>
          <w14:textFill>
            <w14:solidFill>
              <w14:schemeClr w14:val="tx1"/>
            </w14:solidFill>
          </w14:textFill>
        </w:rPr>
        <w:t>年</w:t>
      </w:r>
      <w:r>
        <w:rPr>
          <w:rFonts w:hint="eastAsia" w:cs="Times New Roman"/>
          <w:color w:val="000000" w:themeColor="text1"/>
          <w:sz w:val="28"/>
          <w:szCs w:val="28"/>
          <w:lang w:val="en-US" w:eastAsia="zh-CN"/>
          <w14:textFill>
            <w14:solidFill>
              <w14:schemeClr w14:val="tx1"/>
            </w14:solidFill>
          </w14:textFill>
        </w:rPr>
        <w:t>9</w:t>
      </w:r>
      <w:r>
        <w:rPr>
          <w:rFonts w:hint="default" w:ascii="Times New Roman" w:hAnsi="Times New Roman" w:cs="Times New Roman"/>
          <w:color w:val="000000" w:themeColor="text1"/>
          <w:sz w:val="28"/>
          <w:szCs w:val="28"/>
          <w14:textFill>
            <w14:solidFill>
              <w14:schemeClr w14:val="tx1"/>
            </w14:solidFill>
          </w14:textFill>
        </w:rPr>
        <w:t>月</w:t>
      </w:r>
      <w:r>
        <w:rPr>
          <w:rFonts w:hint="eastAsia" w:cs="Times New Roman"/>
          <w:color w:val="000000" w:themeColor="text1"/>
          <w:sz w:val="28"/>
          <w:szCs w:val="28"/>
          <w:lang w:val="en-US" w:eastAsia="zh-CN"/>
          <w14:textFill>
            <w14:solidFill>
              <w14:schemeClr w14:val="tx1"/>
            </w14:solidFill>
          </w14:textFill>
        </w:rPr>
        <w:t>15</w:t>
      </w:r>
      <w:r>
        <w:rPr>
          <w:rFonts w:hint="default" w:ascii="Times New Roman" w:hAnsi="Times New Roman" w:cs="Times New Roman"/>
          <w:color w:val="000000" w:themeColor="text1"/>
          <w:sz w:val="28"/>
          <w:szCs w:val="28"/>
          <w:lang w:val="en-US" w:eastAsia="zh-CN"/>
          <w14:textFill>
            <w14:solidFill>
              <w14:schemeClr w14:val="tx1"/>
            </w14:solidFill>
          </w14:textFill>
        </w:rPr>
        <w:t>～</w:t>
      </w:r>
      <w:r>
        <w:rPr>
          <w:rFonts w:hint="eastAsia" w:cs="Times New Roman"/>
          <w:color w:val="000000" w:themeColor="text1"/>
          <w:sz w:val="28"/>
          <w:szCs w:val="28"/>
          <w:lang w:val="en-US" w:eastAsia="zh-CN"/>
          <w14:textFill>
            <w14:solidFill>
              <w14:schemeClr w14:val="tx1"/>
            </w14:solidFill>
          </w14:textFill>
        </w:rPr>
        <w:t>16</w:t>
      </w:r>
      <w:r>
        <w:rPr>
          <w:rFonts w:hint="default" w:ascii="Times New Roman" w:hAnsi="Times New Roman" w:cs="Times New Roman"/>
          <w:color w:val="000000" w:themeColor="text1"/>
          <w:sz w:val="28"/>
          <w:szCs w:val="28"/>
          <w14:textFill>
            <w14:solidFill>
              <w14:schemeClr w14:val="tx1"/>
            </w14:solidFill>
          </w14:textFill>
        </w:rPr>
        <w:t>日、</w:t>
      </w:r>
      <w:r>
        <w:rPr>
          <w:rFonts w:hint="eastAsia" w:cs="Times New Roman"/>
          <w:strike w:val="0"/>
          <w:dstrike w:val="0"/>
          <w:color w:val="000000" w:themeColor="text1"/>
          <w:sz w:val="28"/>
          <w:szCs w:val="28"/>
          <w:lang w:val="en-US" w:eastAsia="zh-CN"/>
          <w14:textFill>
            <w14:solidFill>
              <w14:schemeClr w14:val="tx1"/>
            </w14:solidFill>
          </w14:textFill>
        </w:rPr>
        <w:t>12</w:t>
      </w:r>
      <w:r>
        <w:rPr>
          <w:rFonts w:hint="default" w:ascii="Times New Roman" w:hAnsi="Times New Roman" w:cs="Times New Roman"/>
          <w:strike w:val="0"/>
          <w:dstrike w:val="0"/>
          <w:color w:val="000000" w:themeColor="text1"/>
          <w:sz w:val="28"/>
          <w:szCs w:val="28"/>
          <w14:textFill>
            <w14:solidFill>
              <w14:schemeClr w14:val="tx1"/>
            </w14:solidFill>
          </w14:textFill>
        </w:rPr>
        <w:t>月</w:t>
      </w:r>
      <w:r>
        <w:rPr>
          <w:rFonts w:hint="eastAsia" w:cs="Times New Roman"/>
          <w:strike w:val="0"/>
          <w:dstrike w:val="0"/>
          <w:color w:val="000000" w:themeColor="text1"/>
          <w:sz w:val="28"/>
          <w:szCs w:val="28"/>
          <w:lang w:val="en-US" w:eastAsia="zh-CN"/>
          <w14:textFill>
            <w14:solidFill>
              <w14:schemeClr w14:val="tx1"/>
            </w14:solidFill>
          </w14:textFill>
        </w:rPr>
        <w:t>5</w:t>
      </w:r>
      <w:r>
        <w:rPr>
          <w:rFonts w:hint="default" w:ascii="Times New Roman" w:hAnsi="Times New Roman" w:cs="Times New Roman"/>
          <w:strike w:val="0"/>
          <w:dstrike w:val="0"/>
          <w:color w:val="000000" w:themeColor="text1"/>
          <w:sz w:val="28"/>
          <w:szCs w:val="28"/>
          <w:lang w:val="en-US" w:eastAsia="zh-CN"/>
          <w14:textFill>
            <w14:solidFill>
              <w14:schemeClr w14:val="tx1"/>
            </w14:solidFill>
          </w14:textFill>
        </w:rPr>
        <w:t>～</w:t>
      </w:r>
      <w:r>
        <w:rPr>
          <w:rFonts w:hint="eastAsia" w:cs="Times New Roman"/>
          <w:strike w:val="0"/>
          <w:dstrike w:val="0"/>
          <w:color w:val="000000" w:themeColor="text1"/>
          <w:sz w:val="28"/>
          <w:szCs w:val="28"/>
          <w:lang w:val="en-US" w:eastAsia="zh-CN"/>
          <w14:textFill>
            <w14:solidFill>
              <w14:schemeClr w14:val="tx1"/>
            </w14:solidFill>
          </w14:textFill>
        </w:rPr>
        <w:t>7</w:t>
      </w:r>
      <w:r>
        <w:rPr>
          <w:rFonts w:hint="eastAsia"/>
          <w:strike w:val="0"/>
          <w:dstrike w:val="0"/>
          <w:color w:val="000000" w:themeColor="text1"/>
          <w14:textFill>
            <w14:solidFill>
              <w14:schemeClr w14:val="tx1"/>
            </w14:solidFill>
          </w14:textFill>
        </w:rPr>
        <w:t>日</w:t>
      </w:r>
      <w:r>
        <w:rPr>
          <w:color w:val="000000" w:themeColor="text1"/>
          <w14:textFill>
            <w14:solidFill>
              <w14:schemeClr w14:val="tx1"/>
            </w14:solidFill>
          </w14:textFill>
        </w:rPr>
        <w:t>组织评价专家组到现场考察和调研</w:t>
      </w:r>
      <w:r>
        <w:rPr>
          <w:rFonts w:hint="eastAsia"/>
          <w:color w:val="000000" w:themeColor="text1"/>
          <w14:textFill>
            <w14:solidFill>
              <w14:schemeClr w14:val="tx1"/>
            </w14:solidFill>
          </w14:textFill>
        </w:rPr>
        <w:t>以及复查</w:t>
      </w:r>
      <w:r>
        <w:rPr>
          <w:color w:val="000000" w:themeColor="text1"/>
          <w14:textFill>
            <w14:solidFill>
              <w14:schemeClr w14:val="tx1"/>
            </w14:solidFill>
          </w14:textFill>
        </w:rPr>
        <w:t>，收集了相关的资料数据。通过对尾矿库运营中潜在的危险有害因素辨识和危险程度分析，对</w:t>
      </w:r>
      <w:r>
        <w:rPr>
          <w:rFonts w:ascii="宋体" w:hAnsi="宋体"/>
          <w:color w:val="000000" w:themeColor="text1"/>
          <w:szCs w:val="28"/>
          <w14:textFill>
            <w14:solidFill>
              <w14:schemeClr w14:val="tx1"/>
            </w14:solidFill>
          </w14:textFill>
        </w:rPr>
        <w:t>江西</w:t>
      </w:r>
      <w:r>
        <w:rPr>
          <w:rFonts w:hint="eastAsia" w:ascii="宋体" w:hAnsi="宋体"/>
          <w:color w:val="000000" w:themeColor="text1"/>
          <w:szCs w:val="28"/>
          <w14:textFill>
            <w14:solidFill>
              <w14:schemeClr w14:val="tx1"/>
            </w14:solidFill>
          </w14:textFill>
        </w:rPr>
        <w:t>盘古山</w:t>
      </w:r>
      <w:r>
        <w:rPr>
          <w:rFonts w:ascii="宋体" w:hAnsi="宋体"/>
          <w:color w:val="000000" w:themeColor="text1"/>
          <w:szCs w:val="28"/>
          <w14:textFill>
            <w14:solidFill>
              <w14:schemeClr w14:val="tx1"/>
            </w14:solidFill>
          </w14:textFill>
        </w:rPr>
        <w:t>钨业有限公司尾矿库</w:t>
      </w:r>
      <w:r>
        <w:rPr>
          <w:color w:val="000000" w:themeColor="text1"/>
          <w14:textFill>
            <w14:solidFill>
              <w14:schemeClr w14:val="tx1"/>
            </w14:solidFill>
          </w14:textFill>
        </w:rPr>
        <w:t>的生产安全现状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安全生产法律法规及有关规程的符合性和适应性进行了安全评价，提出了较为合理可行的安全对策措施。按照《安全评价通则》的要求编制本评价报告。</w:t>
      </w:r>
      <w:r>
        <w:rPr>
          <w:rFonts w:hint="eastAsia"/>
          <w:color w:val="000000" w:themeColor="text1"/>
          <w14:textFill>
            <w14:solidFill>
              <w14:schemeClr w14:val="tx1"/>
            </w14:solidFill>
          </w14:textFill>
        </w:rPr>
        <w:t>并按内审意见进行了修改。</w:t>
      </w:r>
    </w:p>
    <w:p>
      <w:pPr>
        <w:bidi w:val="0"/>
        <w:rPr>
          <w:color w:val="000000" w:themeColor="text1"/>
          <w14:textFill>
            <w14:solidFill>
              <w14:schemeClr w14:val="tx1"/>
            </w14:solidFill>
          </w14:textFill>
        </w:rPr>
      </w:pPr>
      <w:r>
        <w:rPr>
          <w:color w:val="000000" w:themeColor="text1"/>
          <w14:textFill>
            <w14:solidFill>
              <w14:schemeClr w14:val="tx1"/>
            </w14:solidFill>
          </w14:textFill>
        </w:rPr>
        <w:t>在评价过程中得到</w:t>
      </w:r>
      <w:r>
        <w:rPr>
          <w:rFonts w:ascii="宋体" w:hAnsi="宋体"/>
          <w:color w:val="000000" w:themeColor="text1"/>
          <w:szCs w:val="28"/>
          <w14:textFill>
            <w14:solidFill>
              <w14:schemeClr w14:val="tx1"/>
            </w14:solidFill>
          </w14:textFill>
        </w:rPr>
        <w:t>江西</w:t>
      </w:r>
      <w:r>
        <w:rPr>
          <w:rFonts w:hint="eastAsia" w:ascii="宋体" w:hAnsi="宋体"/>
          <w:color w:val="000000" w:themeColor="text1"/>
          <w:szCs w:val="28"/>
          <w14:textFill>
            <w14:solidFill>
              <w14:schemeClr w14:val="tx1"/>
            </w14:solidFill>
          </w14:textFill>
        </w:rPr>
        <w:t>盘古山</w:t>
      </w:r>
      <w:r>
        <w:rPr>
          <w:rFonts w:ascii="宋体" w:hAnsi="宋体"/>
          <w:color w:val="000000" w:themeColor="text1"/>
          <w:szCs w:val="28"/>
          <w14:textFill>
            <w14:solidFill>
              <w14:schemeClr w14:val="tx1"/>
            </w14:solidFill>
          </w14:textFill>
        </w:rPr>
        <w:t>钨业有限公司</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领导、安全生产管理人员及职工的大力支持，在此表示感谢！</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val="en-US" w:eastAsia="zh-CN"/>
          <w14:textFill>
            <w14:solidFill>
              <w14:schemeClr w14:val="tx1"/>
            </w14:solidFill>
          </w14:textFill>
        </w:rPr>
        <w:t>目   录</w:t>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TOC \o "1-3" \h \u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_Toc18615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 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_Toc21858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评价目的和原则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_Toc9539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1.1.1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评价目的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_Toc9539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_Toc10853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1.1.2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_Toc31065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_Toc31584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1.2.1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法律、法规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_Toc31584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_Toc19155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1.2.2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规章、规定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_Toc13653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1.2.3 标准、规范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_Toc7922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1.2.4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其他依据和主要参考资料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_Toc7922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_Toc2975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评价对象、范围和内容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_Toc6720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1.3.1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评价对象、范围</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_Toc6720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_Toc15571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1.3.2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_Toc15571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_Toc17510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1.4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_Toc17510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_Toc4025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2. 尾矿库概况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_Toc14277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2.1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企业简介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_Toc20739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_Toc728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库区自然气候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_Toc8095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工程地质条件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_Toc8095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_Toc29095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尾矿库库容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_Toc1254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尾矿库等级</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_Toc26581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_Toc32499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坝体排渗设施、坝面排水设施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_Toc30731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排水构筑物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_Toc30731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_Toc5852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2.2.8</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安全监测设施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_Toc5852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_Toc3022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2.2.9</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尾矿库辅助设施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_Toc10674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2.2.10 放矿工艺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_Toc10674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_Toc18186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安全综合管理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_Toc18186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_Toc616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安全机构设置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_Toc27852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安全生产责任制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_Toc27852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_Toc5142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安全生产管理制度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_Toc30471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安全生产应急救援与措施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_Toc30471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_Toc24372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安全教育培训</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_Toc24927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安全措施费用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_Toc24927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_Toc8635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_Toc26432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2.3.8安全生产标准化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_Toc12629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2.3.9</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事故情况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_Toc12629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_Toc14295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2.4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周边环境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_Toc6144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 辨识与分析危险、有害因素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_Toc6144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_Toc30372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eastAsia="zh-CN"/>
          <w14:textFill>
            <w14:solidFill>
              <w14:schemeClr w14:val="tx1"/>
            </w14:solidFill>
          </w14:textFill>
        </w:rPr>
        <w:t xml:space="preserve">3.1 </w:t>
      </w:r>
      <w:r>
        <w:rPr>
          <w:rFonts w:hint="eastAsia"/>
          <w:color w:val="000000" w:themeColor="text1"/>
          <w:lang w:eastAsia="zh-CN"/>
          <w14:textFill>
            <w14:solidFill>
              <w14:schemeClr w14:val="tx1"/>
            </w14:solidFill>
          </w14:textFill>
        </w:rPr>
        <w:t>尾矿库病害的产生原因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_Toc3791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3.1.1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勘察因素造成的病害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_Toc3791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_Toc21943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3.1.2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设计因素造成的病害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_Toc4016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3.1.3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施工因素造成的病害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_Toc4016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_Toc16101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3.1.4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操作管理不当造成的病害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_Toc15964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3.1.5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其他因素造成的病害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_Toc15964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_Toc27495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3.1.6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尾矿库失事实例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_Toc27495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_Toc10722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尾矿库危险、有害因素分析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_Toc10722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_Toc1485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滑坡（坝坡失稳）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_Toc13161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坝体位移、沉陷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_Toc4137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裂缝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_Toc4137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_Toc3101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坝体坍滑</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_Toc22741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渗漏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_Toc2914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排洪构筑物裂缝</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_Toc23118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排洪构筑物垮塌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_Toc23118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_Toc26560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3.2.8</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排水构筑物堵塞</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_Toc1780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3.2.9</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排洪构筑物错动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_Toc28719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3.2.10</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淹溺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_Toc18346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3.2.11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高处坠落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_Toc18346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_Toc4257 </w:instrText>
      </w:r>
      <w:r>
        <w:rPr>
          <w:rFonts w:hint="eastAsia"/>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val="en-US" w:eastAsia="zh-CN"/>
          <w14:textFill>
            <w14:solidFill>
              <w14:schemeClr w14:val="tx1"/>
            </w14:solidFill>
          </w14:textFill>
        </w:rPr>
        <w:t>3.2.12 触电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_Toc4257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_Toc27829 </w:instrText>
      </w:r>
      <w:r>
        <w:rPr>
          <w:rFonts w:hint="eastAsia"/>
          <w:color w:val="000000" w:themeColor="text1"/>
          <w:lang w:val="en-US" w:eastAsia="zh-CN"/>
          <w14:textFill>
            <w14:solidFill>
              <w14:schemeClr w14:val="tx1"/>
            </w14:solidFill>
          </w14:textFill>
        </w:rPr>
        <w:fldChar w:fldCharType="separate"/>
      </w:r>
      <w:r>
        <w:rPr>
          <w:rFonts w:hint="eastAsia" w:ascii="Times New Roman" w:hAnsi="Times New Roman" w:eastAsia="黑体" w:cs="Times New Roman"/>
          <w:color w:val="000000" w:themeColor="text1"/>
          <w:kern w:val="2"/>
          <w:szCs w:val="24"/>
          <w:lang w:val="en-US" w:eastAsia="zh-CN" w:bidi="ar-SA"/>
          <w14:textFill>
            <w14:solidFill>
              <w14:schemeClr w14:val="tx1"/>
            </w14:solidFill>
          </w14:textFill>
        </w:rPr>
        <w:t xml:space="preserve">3.2.13 </w:t>
      </w:r>
      <w:r>
        <w:rPr>
          <w:rFonts w:hint="eastAsia" w:ascii="宋体" w:hAnsi="宋体" w:eastAsia="宋体" w:cs="宋体"/>
          <w:color w:val="000000" w:themeColor="text1"/>
          <w:kern w:val="2"/>
          <w:szCs w:val="24"/>
          <w:lang w:val="en-US" w:eastAsia="zh-CN" w:bidi="ar-SA"/>
          <w14:textFill>
            <w14:solidFill>
              <w14:schemeClr w14:val="tx1"/>
            </w14:solidFill>
          </w14:textFill>
        </w:rPr>
        <w:t>粉尘</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_Toc27829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_Toc1023 </w:instrText>
      </w:r>
      <w:r>
        <w:rPr>
          <w:rFonts w:hint="eastAsia"/>
          <w:color w:val="000000" w:themeColor="text1"/>
          <w:lang w:val="en-US" w:eastAsia="zh-CN"/>
          <w14:textFill>
            <w14:solidFill>
              <w14:schemeClr w14:val="tx1"/>
            </w14:solidFill>
          </w14:textFill>
        </w:rPr>
        <w:fldChar w:fldCharType="separate"/>
      </w:r>
      <w:r>
        <w:rPr>
          <w:rFonts w:hint="eastAsia" w:ascii="Times New Roman" w:hAnsi="Times New Roman" w:eastAsia="黑体" w:cs="Times New Roman"/>
          <w:color w:val="000000" w:themeColor="text1"/>
          <w:kern w:val="2"/>
          <w:szCs w:val="24"/>
          <w:lang w:val="en-US" w:eastAsia="zh-CN" w:bidi="ar-SA"/>
          <w14:textFill>
            <w14:solidFill>
              <w14:schemeClr w14:val="tx1"/>
            </w14:solidFill>
          </w14:textFill>
        </w:rPr>
        <w:t xml:space="preserve">3.2.14 </w:t>
      </w:r>
      <w:r>
        <w:rPr>
          <w:rFonts w:hint="eastAsia" w:ascii="宋体" w:hAnsi="宋体" w:eastAsia="宋体" w:cs="宋体"/>
          <w:color w:val="000000" w:themeColor="text1"/>
          <w:kern w:val="2"/>
          <w:szCs w:val="24"/>
          <w:lang w:val="en-US" w:eastAsia="zh-CN" w:bidi="ar-SA"/>
          <w14:textFill>
            <w14:solidFill>
              <w14:schemeClr w14:val="tx1"/>
            </w14:solidFill>
          </w14:textFill>
        </w:rPr>
        <w:t>不良环境因素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_Toc2629 </w:instrText>
      </w:r>
      <w:r>
        <w:rPr>
          <w:rFonts w:hint="eastAsia"/>
          <w:color w:val="000000" w:themeColor="text1"/>
          <w:lang w:val="en-US" w:eastAsia="zh-CN"/>
          <w14:textFill>
            <w14:solidFill>
              <w14:schemeClr w14:val="tx1"/>
            </w14:solidFill>
          </w14:textFill>
        </w:rPr>
        <w:fldChar w:fldCharType="separate"/>
      </w:r>
      <w:r>
        <w:rPr>
          <w:rFonts w:hint="eastAsia" w:ascii="Times New Roman" w:hAnsi="Times New Roman" w:eastAsia="黑体" w:cs="Times New Roman"/>
          <w:color w:val="000000" w:themeColor="text1"/>
          <w:kern w:val="2"/>
          <w:szCs w:val="24"/>
          <w:lang w:val="en-US" w:eastAsia="zh-CN" w:bidi="ar-SA"/>
          <w14:textFill>
            <w14:solidFill>
              <w14:schemeClr w14:val="tx1"/>
            </w14:solidFill>
          </w14:textFill>
        </w:rPr>
        <w:t xml:space="preserve">3.2.15 </w:t>
      </w:r>
      <w:r>
        <w:rPr>
          <w:rFonts w:hint="eastAsia" w:ascii="宋体" w:hAnsi="宋体" w:eastAsia="宋体" w:cs="宋体"/>
          <w:color w:val="000000" w:themeColor="text1"/>
          <w:kern w:val="2"/>
          <w:szCs w:val="24"/>
          <w:lang w:val="en-US" w:eastAsia="zh-CN" w:bidi="ar-SA"/>
          <w14:textFill>
            <w14:solidFill>
              <w14:schemeClr w14:val="tx1"/>
            </w14:solidFill>
          </w14:textFill>
        </w:rPr>
        <w:t>库区山体滑坡、塌方和泥石流</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_Toc26357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重大危险源辨识与重大生产安全事故隐患识别</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_Toc18060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危险、有害因素分析结果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_Toc14916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3.4.1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危险、有害因素产生的原因</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_Toc14916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_Toc3411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3.4.2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危险、有害因素分析结果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_Toc3411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_Toc6256 </w:instrText>
      </w:r>
      <w:r>
        <w:rPr>
          <w:rFonts w:hint="eastAsia"/>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eastAsia="zh-CN"/>
          <w14:textFill>
            <w14:solidFill>
              <w14:schemeClr w14:val="tx1"/>
            </w14:solidFill>
          </w14:textFill>
        </w:rPr>
        <w:t>4. 安全评价单元划分和选择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_Toc6256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_Toc32106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4.1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评价单元划分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_Toc32106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_Toc16894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4.2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评价方法选择</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_Toc16894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_Toc18023 </w:instrText>
      </w:r>
      <w:r>
        <w:rPr>
          <w:rFonts w:hint="eastAsia"/>
          <w:color w:val="000000" w:themeColor="text1"/>
          <w:lang w:val="en-US" w:eastAsia="zh-CN"/>
          <w14:textFill>
            <w14:solidFill>
              <w14:schemeClr w14:val="tx1"/>
            </w14:solidFill>
          </w14:textFill>
        </w:rPr>
        <w:fldChar w:fldCharType="separate"/>
      </w:r>
      <w:r>
        <w:rPr>
          <w:rFonts w:hint="eastAsia" w:ascii="Times New Roman" w:hAnsi="Times New Roman" w:cs="Times New Roman"/>
          <w:color w:val="000000" w:themeColor="text1"/>
          <w:lang w:eastAsia="zh-CN"/>
          <w14:textFill>
            <w14:solidFill>
              <w14:schemeClr w14:val="tx1"/>
            </w14:solidFill>
          </w14:textFill>
        </w:rPr>
        <w:t>5. 安全评价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_Toc18023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_Toc31917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综合安全管理单元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_Toc8591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5.1.1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安全检查表评价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_Toc8591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_Toc25917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5.1.2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评价单元小结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_Toc25917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_Toc9955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尾矿坝体单元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_Toc4303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5.2.1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安全检查表评价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_Toc1952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尾矿坝稳定性分析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_Toc481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评价单元小结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_Toc481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_Toc16819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防排洪系统单元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_Toc16819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_Toc22121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5.3.1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安全检查表评价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_Toc22121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_Toc15353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尾矿库调洪演算</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_Toc32677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5.3.3</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评价单元小结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_Toc32677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_Toc31035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5.4</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安全监测设施单元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_Toc31035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_Toc6555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5.4.1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安全检查法评价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_Toc6555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_Toc16452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5.5</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库区环境单元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_Toc16452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_Toc26460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5.5.1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安全检查表评价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_Toc26460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_Toc18829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5.5.2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评价单元小结</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_Toc18829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_Toc25214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6 </w:t>
      </w:r>
      <w:r>
        <w:rPr>
          <w:rFonts w:hint="default"/>
          <w:color w:val="000000" w:themeColor="text1"/>
          <w:lang w:val="en-US" w:eastAsia="zh-CN"/>
          <w14:textFill>
            <w14:solidFill>
              <w14:schemeClr w14:val="tx1"/>
            </w14:solidFill>
          </w14:textFill>
        </w:rPr>
        <w:t>辅助设施单元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_Toc25214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_Toc18250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.1 安全检查法评价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_Toc18250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_Toc32634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7 </w:t>
      </w:r>
      <w:r>
        <w:rPr>
          <w:rFonts w:hint="default"/>
          <w:color w:val="000000" w:themeColor="text1"/>
          <w:lang w:val="en-US" w:eastAsia="zh-CN"/>
          <w14:textFill>
            <w14:solidFill>
              <w14:schemeClr w14:val="tx1"/>
            </w14:solidFill>
          </w14:textFill>
        </w:rPr>
        <w:t>综合安全评价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_Toc32634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_Toc736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概述</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_Toc5570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评价标准说明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_Toc5570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_Toc25354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尾矿库综合评分表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8"/>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_Toc4565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_Toc4565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_Toc2110 </w:instrText>
      </w:r>
      <w:r>
        <w:rPr>
          <w:rFonts w:hint="eastAsia"/>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6. 安全对策措施建议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_Toc2198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6.1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安全管理对策措施建议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_Toc2198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_Toc22792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6.2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安全技术对策措施建议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_Toc22792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_Toc16045 </w:instrText>
      </w:r>
      <w:r>
        <w:rPr>
          <w:rFonts w:hint="eastAsia"/>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7. 安全评价结论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_Toc16045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_Toc26236 </w:instrText>
      </w:r>
      <w:r>
        <w:rPr>
          <w:rFonts w:hint="eastAsia"/>
          <w:color w:val="000000" w:themeColor="text1"/>
          <w:lang w:val="en-US" w:eastAsia="zh-CN"/>
          <w14:textFill>
            <w14:solidFill>
              <w14:schemeClr w14:val="tx1"/>
            </w14:solidFill>
          </w14:textFill>
        </w:rPr>
        <w:fldChar w:fldCharType="separate"/>
      </w:r>
      <w:r>
        <w:rPr>
          <w:rFonts w:hint="default" w:ascii="Times New Roman" w:hAnsi="Times New Roman" w:cs="Times New Roman"/>
          <w:color w:val="000000" w:themeColor="text1"/>
          <w:lang w:val="en-US" w:eastAsia="zh-CN"/>
          <w14:textFill>
            <w14:solidFill>
              <w14:schemeClr w14:val="tx1"/>
            </w14:solidFill>
          </w14:textFill>
        </w:rPr>
        <w:t>8. 附图附件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_Toc3016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8.1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\l _Toc4328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8.2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附件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fldChar w:fldCharType="end"/>
      </w:r>
    </w:p>
    <w:p>
      <w:pPr>
        <w:bidi w:val="0"/>
        <w:jc w:val="both"/>
        <w:rPr>
          <w:color w:val="000000" w:themeColor="text1"/>
          <w14:textFill>
            <w14:solidFill>
              <w14:schemeClr w14:val="tx1"/>
            </w14:solidFill>
          </w14:textFill>
        </w:rPr>
      </w:pPr>
      <w:r>
        <w:rPr>
          <w:color w:val="000000" w:themeColor="text1"/>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000000" w:themeColor="text1"/>
          <w:sz w:val="32"/>
          <w:szCs w:val="32"/>
          <w:lang w:eastAsia="zh-CN"/>
          <w14:textFill>
            <w14:solidFill>
              <w14:schemeClr w14:val="tx1"/>
            </w14:solidFill>
          </w14:textFill>
        </w:rPr>
        <w:sectPr>
          <w:headerReference r:id="rId5" w:type="default"/>
          <w:footerReference r:id="rId6" w:type="default"/>
          <w:pgSz w:w="11906" w:h="16839"/>
          <w:pgMar w:top="1417" w:right="1417" w:bottom="1417" w:left="1417" w:header="850" w:footer="992" w:gutter="0"/>
          <w:pgNumType w:fmt="upperRoman" w:start="1"/>
          <w:cols w:space="425"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000000" w:themeColor="text1"/>
          <w:sz w:val="32"/>
          <w:szCs w:val="32"/>
          <w:lang w:eastAsia="zh-CN"/>
          <w14:textFill>
            <w14:solidFill>
              <w14:schemeClr w14:val="tx1"/>
            </w14:solidFill>
          </w14:textFill>
        </w:rPr>
      </w:pPr>
      <w:r>
        <w:rPr>
          <w:rFonts w:hint="eastAsia" w:ascii="宋体" w:hAnsi="宋体"/>
          <w:b/>
          <w:bCs/>
          <w:color w:val="000000" w:themeColor="text1"/>
          <w:sz w:val="32"/>
          <w:szCs w:val="32"/>
          <w:lang w:eastAsia="zh-CN"/>
          <w14:textFill>
            <w14:solidFill>
              <w14:schemeClr w14:val="tx1"/>
            </w14:solidFill>
          </w14:textFill>
        </w:rPr>
        <w:t>江西盘古山钨业有限公司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宋体" w:hAnsi="宋体"/>
          <w:b/>
          <w:bCs/>
          <w:color w:val="000000" w:themeColor="text1"/>
          <w:sz w:val="32"/>
          <w:szCs w:val="32"/>
          <w14:textFill>
            <w14:solidFill>
              <w14:schemeClr w14:val="tx1"/>
            </w14:solidFill>
          </w14:textFill>
        </w:rPr>
      </w:pPr>
      <w:r>
        <w:rPr>
          <w:rFonts w:ascii="宋体" w:hAnsi="宋体"/>
          <w:b/>
          <w:bCs/>
          <w:color w:val="000000" w:themeColor="text1"/>
          <w:sz w:val="32"/>
          <w:szCs w:val="32"/>
          <w14:textFill>
            <w14:solidFill>
              <w14:schemeClr w14:val="tx1"/>
            </w14:solidFill>
          </w14:textFill>
        </w:rPr>
        <w:t>尾矿库</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000000" w:themeColor="text1"/>
          <w:sz w:val="32"/>
          <w:szCs w:val="32"/>
          <w14:textFill>
            <w14:solidFill>
              <w14:schemeClr w14:val="tx1"/>
            </w14:solidFill>
          </w14:textFill>
        </w:rPr>
      </w:pPr>
      <w:r>
        <w:rPr>
          <w:rFonts w:ascii="宋体" w:hAnsi="宋体"/>
          <w:b/>
          <w:bCs/>
          <w:color w:val="000000" w:themeColor="text1"/>
          <w:sz w:val="32"/>
          <w:szCs w:val="32"/>
          <w14:textFill>
            <w14:solidFill>
              <w14:schemeClr w14:val="tx1"/>
            </w14:solidFill>
          </w14:textFill>
        </w:rPr>
        <w:t>安全现状评价报告</w:t>
      </w:r>
    </w:p>
    <w:p>
      <w:pPr>
        <w:pStyle w:val="2"/>
        <w:numPr>
          <w:ilvl w:val="0"/>
          <w:numId w:val="1"/>
        </w:numPr>
        <w:bidi w:val="0"/>
        <w:rPr>
          <w:rFonts w:hint="eastAsia"/>
          <w:color w:val="000000" w:themeColor="text1"/>
          <w14:textFill>
            <w14:solidFill>
              <w14:schemeClr w14:val="tx1"/>
            </w14:solidFill>
          </w14:textFill>
        </w:rPr>
      </w:pPr>
      <w:bookmarkStart w:id="0" w:name="_Toc17873"/>
      <w:bookmarkStart w:id="1" w:name="_Toc18615"/>
      <w:bookmarkStart w:id="2" w:name="_Toc57620327"/>
      <w:r>
        <w:rPr>
          <w:rFonts w:hint="eastAsia"/>
          <w:color w:val="000000" w:themeColor="text1"/>
          <w14:textFill>
            <w14:solidFill>
              <w14:schemeClr w14:val="tx1"/>
            </w14:solidFill>
          </w14:textFill>
        </w:rPr>
        <w:t>概述</w:t>
      </w:r>
      <w:bookmarkEnd w:id="0"/>
      <w:bookmarkEnd w:id="1"/>
      <w:bookmarkEnd w:id="2"/>
    </w:p>
    <w:p>
      <w:pPr>
        <w:pStyle w:val="3"/>
        <w:bidi w:val="0"/>
        <w:rPr>
          <w:rFonts w:hint="eastAsia"/>
          <w:color w:val="000000" w:themeColor="text1"/>
          <w14:textFill>
            <w14:solidFill>
              <w14:schemeClr w14:val="tx1"/>
            </w14:solidFill>
          </w14:textFill>
        </w:rPr>
      </w:pPr>
      <w:bookmarkStart w:id="3" w:name="_Toc21858"/>
      <w:r>
        <w:rPr>
          <w:rFonts w:hint="eastAsia"/>
          <w:color w:val="000000" w:themeColor="text1"/>
          <w14:textFill>
            <w14:solidFill>
              <w14:schemeClr w14:val="tx1"/>
            </w14:solidFill>
          </w14:textFill>
        </w:rPr>
        <w:t>1.1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评价目的和原则</w:t>
      </w:r>
      <w:bookmarkEnd w:id="3"/>
    </w:p>
    <w:p>
      <w:pPr>
        <w:pStyle w:val="4"/>
        <w:bidi w:val="0"/>
        <w:rPr>
          <w:rFonts w:hint="eastAsia"/>
          <w:color w:val="000000" w:themeColor="text1"/>
          <w14:textFill>
            <w14:solidFill>
              <w14:schemeClr w14:val="tx1"/>
            </w14:solidFill>
          </w14:textFill>
        </w:rPr>
      </w:pPr>
      <w:bookmarkStart w:id="4" w:name="_Toc9539"/>
      <w:r>
        <w:rPr>
          <w:rFonts w:hint="eastAsia"/>
          <w:color w:val="000000" w:themeColor="text1"/>
          <w14:textFill>
            <w14:solidFill>
              <w14:schemeClr w14:val="tx1"/>
            </w14:solidFill>
          </w14:textFill>
        </w:rPr>
        <w:t>1.1.1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评价目的</w:t>
      </w:r>
      <w:bookmarkEnd w:id="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了贯彻“安全第一、预防为主、综合治理”的方针，查找、分析和预测项目存在的危险、有害因素及危险、危害程度，提出合理可行和安全对策措施，指导危险源监控和事故预防，以达到最低事故率，最少损失和最优的安全投资效益，确保建设项目在安全设施方面符合国家的有关法律、法规、规定和标准，同时为建设项目《安全生产许可证》延期换证、日常安全监管提供科学依据。</w:t>
      </w:r>
    </w:p>
    <w:p>
      <w:pPr>
        <w:pStyle w:val="4"/>
        <w:bidi w:val="0"/>
        <w:rPr>
          <w:rFonts w:hint="eastAsia"/>
          <w:color w:val="000000" w:themeColor="text1"/>
          <w14:textFill>
            <w14:solidFill>
              <w14:schemeClr w14:val="tx1"/>
            </w14:solidFill>
          </w14:textFill>
        </w:rPr>
      </w:pPr>
      <w:bookmarkStart w:id="5" w:name="_Toc10853"/>
      <w:r>
        <w:rPr>
          <w:rFonts w:hint="eastAsia"/>
          <w:color w:val="000000" w:themeColor="text1"/>
          <w14:textFill>
            <w14:solidFill>
              <w14:schemeClr w14:val="tx1"/>
            </w14:solidFill>
          </w14:textFill>
        </w:rPr>
        <w:t>1.1.2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评价原则</w:t>
      </w:r>
      <w:bookmarkEnd w:id="5"/>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突出重点，兼顾全面，条理清楚，数据准确完整，取值合理，整改意见具有可操作性，评价结论科学、客观、公正。</w:t>
      </w:r>
    </w:p>
    <w:p>
      <w:pPr>
        <w:pStyle w:val="3"/>
        <w:bidi w:val="0"/>
        <w:rPr>
          <w:rFonts w:hint="eastAsia"/>
          <w:color w:val="000000" w:themeColor="text1"/>
          <w14:textFill>
            <w14:solidFill>
              <w14:schemeClr w14:val="tx1"/>
            </w14:solidFill>
          </w14:textFill>
        </w:rPr>
      </w:pPr>
      <w:bookmarkStart w:id="6" w:name="_Toc31065"/>
      <w:r>
        <w:rPr>
          <w:rFonts w:hint="eastAsia"/>
          <w:color w:val="000000" w:themeColor="text1"/>
          <w14:textFill>
            <w14:solidFill>
              <w14:schemeClr w14:val="tx1"/>
            </w14:solidFill>
          </w14:textFill>
        </w:rPr>
        <w:t>1.2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评价依据</w:t>
      </w:r>
      <w:bookmarkEnd w:id="6"/>
    </w:p>
    <w:p>
      <w:pPr>
        <w:pStyle w:val="4"/>
        <w:bidi w:val="0"/>
        <w:rPr>
          <w:rFonts w:hint="eastAsia"/>
          <w:color w:val="000000" w:themeColor="text1"/>
          <w14:textFill>
            <w14:solidFill>
              <w14:schemeClr w14:val="tx1"/>
            </w14:solidFill>
          </w14:textFill>
        </w:rPr>
      </w:pPr>
      <w:bookmarkStart w:id="7" w:name="_Toc31584"/>
      <w:r>
        <w:rPr>
          <w:rFonts w:hint="eastAsia"/>
          <w:color w:val="000000" w:themeColor="text1"/>
          <w14:textFill>
            <w14:solidFill>
              <w14:schemeClr w14:val="tx1"/>
            </w14:solidFill>
          </w14:textFill>
        </w:rPr>
        <w:t>1.2.1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法律、法规</w:t>
      </w:r>
      <w:bookmarkEnd w:id="7"/>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《中华人民共和国矿山安全法》（中华人民共和国主席令第65号，自1993年5月1日起施行）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《中华人民共和国劳动法（2018年修订）》（中华人民共和国主席令第28号，自1995年1月1日起施行）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《中华人民共和国防洪法（2016年修改）》（中华人民共和国主席令第88号公布，自1998年1月1日起施行）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《中华人民共和国职业病防治法（2018年修正）》（中华人民共和国主席令第60号，自2002年5月1日起施行）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《中华人民共和国安全生产法（2021年修正）》（中华人民共和国主席令第70号，自2002年11月1日起施行）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《中华人民共和国突发事故应对法》（中华人民共和国主席令第69号，自2007年11月1日起施行）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《中华人民共和国防震减灾法（2008年修订）》（中华人民共和国主席令第7号，自2009年5月1日起施行）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《中华人民共和国水土保持法（2010年修订）》（中华人民共和国主席令第39号，自2011年3月1日起施行）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《中华人民共和国环境保护法（2014年修订）》（中华人民共和国主席令第9号，自2015年1月1日起施行）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《中华人民共和国固体废物污染环境防治法（2020年修正版）》（中华人民共和国主席令第43号，自2020年9月1日起施行）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《工伤保险条例（2010年修订）》（国务院令第375号，自2004年1月1日起施行）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《安全生产许可证条例（2014年修正）》（国务院令第397号，自2004年1月13日起施行）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《劳动保障监察条例》（国务院令第423号，自2004年12月1日起施行） </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《生产安全事故报告和调查处理条例》（国务院令第493号，自2007年6月1日起施行）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《生产安全事故应急条例》（国务院令第708号，2019年4月1日起施行）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《江西省实施〈中华人民共和国矿山安全法〉办法（2010年修正）》（江西省人民代表大会常务委员会公告第15号，自1994年12月1日起施行）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《江西省安全生产条例》（2007年3月29日江西省第十届人民代表大会常务委员会第二十八次会议通过，2023年7月26日江西省第十四届人民代表大会常务委员会第三次会议第二次修订。2023年9月1日起施行）</w:t>
      </w:r>
    </w:p>
    <w:p>
      <w:pPr>
        <w:pStyle w:val="4"/>
        <w:bidi w:val="0"/>
        <w:rPr>
          <w:rFonts w:hint="eastAsia"/>
          <w:color w:val="000000" w:themeColor="text1"/>
          <w14:textFill>
            <w14:solidFill>
              <w14:schemeClr w14:val="tx1"/>
            </w14:solidFill>
          </w14:textFill>
        </w:rPr>
      </w:pPr>
      <w:bookmarkStart w:id="8" w:name="_Toc19155"/>
      <w:r>
        <w:rPr>
          <w:rFonts w:hint="eastAsia"/>
          <w:color w:val="000000" w:themeColor="text1"/>
          <w14:textFill>
            <w14:solidFill>
              <w14:schemeClr w14:val="tx1"/>
            </w14:solidFill>
          </w14:textFill>
        </w:rPr>
        <w:t>1.2.2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规章、规定</w:t>
      </w:r>
      <w:bookmarkEnd w:id="8"/>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《中华人民共和国矿山安全法实施条例》（劳动部令第4号，1996年10月30日起施行）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《生产经营单位安全培训规定》（国家安监总局令第3号，国家安监总局令第63号、80号修正，2006年3月1日起施行）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《安全生产事故隐患排查治理暂行规定》（国家安监总局令第16号，2008年2月1日起施行）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《特种作业人员安全技术培训考核管理规定》（国家安监总局令第30号，国家安监总局令第63号、80号修正，2010年7月1日起施行）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《江西省人民政府关于进一步加强企业安全生产工作的实施意见》         （赣府发〔2010〕32号，2010年10月8日）</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《非煤矿矿山安全生产许可证实施办法》（国家安监总局令第20号，国家安监总局令第78号修正，2011年3月1日起施行）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《江西省非煤矿矿山企业安全生产许可证办法》（江西省人民政府令第189号，2011年3月1日起施行）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《尾矿库安全监督管理规定》（国家安监总局令第38号、国家安监总局令第78号修正，2011年7月1日起施行）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《生产安全事故信息报告和处置办法》（国家安监总局令第21号，2011年11月1日起施行）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《安全生产培训管理办法》（国家安监总局令第44号，国家安监总局令第63号、80号修正，2012年3月1日起施行）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职业健康检查管理办法》（2015年3月26日，国家卫生和计划生育委员会令第5号公布，根据2019年2月28日《国家卫生健康委关于修改〈职业健康检查管理办法〉等4件部门规章的决定》第一次修订，自2015年5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《金属非金属矿山建设项目安全设施目录（试行）》（国家安监总局令第75号，2015年7月1日起施行）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《生产安全事故应急预案管理办法（2019年版）》（国家安监总局令第88号，2019年7月11日应急管理部令第2号修正，2016年7月1日起施行）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《工作场所职业卫生管理规定》（国家卫健委令第5号，自2021年2月1日起施行）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《江西省生产安全事故隐患排查治理办法</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》（2018年10月10日省人民政府令第238号发布，2021年6月9日省人民政府令第250号第一次修正）</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《尾矿污染环境防治管理办法》（生态环境部第26号，2022年7月1日起施行）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《国务院关于进一步加强安全生产工作的决定》（国发〔2004〕2号）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《国务院关于进一步加强企业安全生产工作的通知》（国发〔2010〕23号）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《国务院安委会办公室关于贯彻落实〈国务院关于进一步加强企业安全生产工作的通知〉精神进一步加强非煤矿山安全生产工作的实施意见》（安委办〔2010〕17号）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《国务院关于加强地质灾害防治工作的决定》（国发〔2011〕20号）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《国务院关于坚持科学发展安全发展促进安全生产形势持续稳定好转的意见》（国发〔2011〕40号）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《国务院安委办关于建立安全隐患排查治理体系的通知》（安委办〔2012〕1号）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《关于在全省尾矿库设置安全运行标示牌的函》（赣安监管函字〔2008〕16号） </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《关于印发江西省非煤矿山安全检查表的通知》（赣安监管一字〔2008〕338号） </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《转发国务院安委会办公室贯彻落实国务院〈通知〉精神进一步加强非煤矿山安全生产工作实施意见的通知》（赣安办字〔2010〕73号）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《关于进一步规范非煤矿山企业安全生产许可证监督管理工作的通知》</w:t>
      </w:r>
    </w:p>
    <w:p>
      <w:pPr>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（赣安监管一字〔2011〕267号）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《国务院安委办关于建立安全隐患排查治理体系的通知》（安委办〔2012〕1号）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《江西省安监局关于进一步规范非煤矿山安全评价等报告编制工作的通知》（赣安监管一字〔2012〕387号）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《江西省安委会关于加强生产经营单位事故隐患排查治理工作的指导意见》（赣安〔2014〕32号）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《国家安全监管总局关于宣布失效一批安全生产文件的通知》（安监总办〔2016〕13号）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《关于印发〈遏制尾矿库“头顶库”重特大事故工作方案〉的通知》（安监总管一〔2016〕54号）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《江西省安委会办公室关于印发企业安全生产资料建档通用要求的通知》（赣安办字〔2016〕53号）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《江西省安委会办公室关于印发江西省安全风险分级管控体系建设通用指南的通知》（赣安办字〔2016〕55号）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《江西省安监局转发《国家安监总局关于印发〈遏制尾矿库“头顶库”重特大事故实施方案〉的通知》的通知》（赣安监管一字〔2016〕56号）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《江西省安监局关于印发江西省非煤矿山领域防范遏制重特大事故工作方案的通知》（赣安监管一字〔2016〕70号）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《国家安全监管总局 保监会 财政部关于印发〈安全生产责任保险实施办法〉的通知》（安监总办〔2017〕140号）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《江西省安全生产委员会关于在全省高危行业领域实施安全生产责任保险制度的指导意见》（赣安〔2017〕22号）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《国家安全监管总局办公厅关于修改用人单位劳动防护用品管理规范的通知》（安监总厅安健〔2018〕3号）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《关于印发防范化解尾矿库安全风险工作方案的通知》（应急〔2020〕15号）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《关于印发江西省防范化解尾矿库安全风险工作实施方案的通知》（赣应急字〔2020〕64号）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《国家矿山安全监察局关于全面深入开展非煤地下矿山和尾矿库安全生产大排查的通知》（矿安〔2021〕10号）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《国家矿山安全监察局关于印发关于加强非煤矿山安全生产工作的指导意见的通知》（矿安〔2022〕4号）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《国家矿山安全监察局关于印发〈金属非金属矿山重大事故隐患判定标准〉的通知》（矿安〔2022〕88号）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《江西省应急管理厅关于加强全省尾矿库安全生产风险监测预警系统运行管理的通知》（赣应急字〔2022〕18 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《江西省应急管理厅关于印发〈江西省企业安全生产标准化建设定级实施办法（试行）〉的通知》（赣应急字〔2022〕49号）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《关于印发〈企业安全生产费用提取和使用管理办法〉的通知》（财资〔2022〕136号）</w:t>
      </w:r>
    </w:p>
    <w:p>
      <w:pP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江西省应急管理厅关于加强全省尾矿库安全生产风险监测预警系统运行管理的通知</w:t>
      </w:r>
      <w:r>
        <w:rPr>
          <w:rFonts w:hint="eastAsia"/>
          <w:color w:val="000000" w:themeColor="text1"/>
          <w:lang w:eastAsia="zh-CN"/>
          <w14:textFill>
            <w14:solidFill>
              <w14:schemeClr w14:val="tx1"/>
            </w14:solidFill>
          </w14:textFill>
        </w:rPr>
        <w:t>》（赣应急字〔2022〕18号）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《江西省安委会办公室关于推动生产经营单位构建安全风险分级管控和隐患排查治理双重预防机制的指导意见》（赣安办字〔2023〕26号）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《中共中央办公厅国务院办公厅关于进一步加强矿山安全生产工作的意见》</w:t>
      </w:r>
      <w:r>
        <w:rPr>
          <w:rFonts w:hint="eastAsia"/>
          <w:color w:val="000000" w:themeColor="text1"/>
          <w:lang w:val="en-US" w:eastAsia="zh-CN"/>
          <w14:textFill>
            <w14:solidFill>
              <w14:schemeClr w14:val="tx1"/>
            </w14:solidFill>
          </w14:textFill>
        </w:rPr>
        <w:t>（厅字〔2023〕21号，2023年8月25日施行）</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《国务院安委会办公室关于学习宣传贯彻〈中共中央办公厅 国务院办公厅关于进一步加强矿山安全生产工作的意见〉的通知》（安委办〔2023〕7号）</w:t>
      </w:r>
    </w:p>
    <w:p>
      <w:pPr>
        <w:pStyle w:val="4"/>
        <w:bidi w:val="0"/>
        <w:rPr>
          <w:rFonts w:hint="eastAsia"/>
          <w:color w:val="000000" w:themeColor="text1"/>
          <w14:textFill>
            <w14:solidFill>
              <w14:schemeClr w14:val="tx1"/>
            </w14:solidFill>
          </w14:textFill>
        </w:rPr>
      </w:pPr>
      <w:bookmarkStart w:id="9" w:name="_Toc13653"/>
      <w:r>
        <w:rPr>
          <w:rFonts w:hint="eastAsia"/>
          <w:color w:val="000000" w:themeColor="text1"/>
          <w14:textFill>
            <w14:solidFill>
              <w14:schemeClr w14:val="tx1"/>
            </w14:solidFill>
          </w14:textFill>
        </w:rPr>
        <w:t>1.2.3 标准、规范</w:t>
      </w:r>
      <w:bookmarkEnd w:id="9"/>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《岩土工程勘察规范》GB50021-2001                 2002.3.1实施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《建筑抗震设防分类标准》GB50223-2008            2008.7.30实施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《安全标志及其使用导则》GB2894-2008             2009.10.1实施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《矿山安全标志》GB14161-2008                    2009.10.1实施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《尾矿堆积坝岩土工程技术规范》GB50547-2010       2010.7.1实施 </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《建筑抗震设计规范》GB50011-2010                2010.12.1实施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《建筑地基基础设计规范》GB50007-2011             2012.8.1实施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《混凝土结构工程施工规范》GB50666-2011           2012.8.1实施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《工业企业总平面设计规范》GB50187-2012           2012.8.1实施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《构筑物抗震设计规范》GB50191-2012              2012.10.1实施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《尾矿设施设计规范》GB50863-2013                2013.12.1实施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《尾矿设施施工及验收规范》GB50864-2013           2014.6.1实施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《防洪标准》GB50201-2014                         2015.5.1实施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《中国地震动参数区划图》GB18306-2015             2016.6.1实施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《尾矿库在线监测系统工程技术规范》GB51108-2015   2016.2.1实施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《水工建筑物抗震设计标准》GB51247-2018          2018.11.1实施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《生产建设项目水土保持技术标准》GB50433 -2018     2019.4.1实施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《一般工业固体废物贮存和填埋污染控制标准》GB18599-2020 </w:t>
      </w:r>
    </w:p>
    <w:p>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2021.7.1实施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《尾矿库安全规程》GB39496-2020                   2021.9.1实施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《粉尘作业场所危害程度分级》GB/T5817-2009        2009.12.1实施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《生产经营单位生产安全事故应急预案编制导则》GB/T29639-2020</w:t>
      </w:r>
    </w:p>
    <w:p>
      <w:pPr>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2021.4.1实施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《矿区水文地质工程地质勘查规范》GB/T12719-2021   2021.12.1实施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《厂矿道路设计规范》GBJ22-87                      1988.8.1实施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《安全评价通则》AQ8001-2007                      2007.4.1实施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《安全验收评价导则》AQ8003-2007                  2007.4.1实施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《尾矿库安全监测技术规范》AQ2030-2010            2011.5.1实施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《碾压式土石坝设计规范》SL274-2020               2021.2.28实施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《碾压式土石坝施工规范》DL/T5129-2001             2001.7.1实施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《水工混凝土结构设计规范》DL/T-5057-2009         2009.12.1实施</w:t>
      </w:r>
    </w:p>
    <w:p>
      <w:pPr>
        <w:pStyle w:val="4"/>
        <w:bidi w:val="0"/>
        <w:rPr>
          <w:rFonts w:hint="eastAsia"/>
          <w:color w:val="000000" w:themeColor="text1"/>
          <w14:textFill>
            <w14:solidFill>
              <w14:schemeClr w14:val="tx1"/>
            </w14:solidFill>
          </w14:textFill>
        </w:rPr>
      </w:pPr>
      <w:bookmarkStart w:id="10" w:name="_Toc7922"/>
      <w:r>
        <w:rPr>
          <w:rFonts w:hint="eastAsia"/>
          <w:color w:val="000000" w:themeColor="text1"/>
          <w14:textFill>
            <w14:solidFill>
              <w14:schemeClr w14:val="tx1"/>
            </w14:solidFill>
          </w14:textFill>
        </w:rPr>
        <w:t>1.2.4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其他依据和主要参考资料</w:t>
      </w:r>
      <w:bookmarkEnd w:id="10"/>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《盘古山钨矿三期尾矿技术设计（说明）》（南昌有色冶金设计，1975年10月）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《江西盘古山钨业有限公司尾矿库工程地质勘察报告》（武汉勘察研究院，2003年）</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《盘古山矿区管理委员会盘古山钨矿尾矿库隐患综合治理工程环境影响报告书》（中国瑞林工程技术有限公司，2009年10月）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《江西省暴雨洪水查算手册》（江西省水文局，2010年10月）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《盘古山钨矿尾矿库隐患综合治理工程工程地质勘察报告》（地矿赣州地质工程勘察院，2011年5月）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《盘古山钨矿尾矿库隐患综合治理工程初步设计》（长沙有色冶金设计研究院有限公司，2012年1月）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《盘古山钨矿尾矿库隐患综合治理工程初步设计安全专篇（补正件）》（长沙有色冶金设计研究院有限公司，2012年4月）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《江西省尾矿库应急抢险工作指南（暂行）》（江西省安全生产监督管理局，2013年）</w:t>
      </w:r>
    </w:p>
    <w:p>
      <w:pPr>
        <w:rPr>
          <w:rFonts w:hint="eastAsia" w:eastAsia="宋体"/>
          <w:strike w:val="0"/>
          <w:dstrike w:val="0"/>
          <w:color w:val="000000" w:themeColor="text1"/>
          <w:lang w:eastAsia="zh-CN"/>
          <w14:textFill>
            <w14:solidFill>
              <w14:schemeClr w14:val="tx1"/>
            </w14:solidFill>
          </w14:textFill>
        </w:rPr>
      </w:pPr>
      <w:r>
        <w:rPr>
          <w:rFonts w:hint="eastAsia"/>
          <w:strike w:val="0"/>
          <w:dstrike w:val="0"/>
          <w:color w:val="000000" w:themeColor="text1"/>
          <w:lang w:eastAsia="zh-CN"/>
          <w14:textFill>
            <w14:solidFill>
              <w14:schemeClr w14:val="tx1"/>
            </w14:solidFill>
          </w14:textFill>
        </w:rPr>
        <w:t>《</w:t>
      </w:r>
      <w:r>
        <w:rPr>
          <w:rFonts w:hint="eastAsia"/>
          <w:strike w:val="0"/>
          <w:dstrike w:val="0"/>
          <w:color w:val="000000" w:themeColor="text1"/>
          <w14:textFill>
            <w14:solidFill>
              <w14:schemeClr w14:val="tx1"/>
            </w14:solidFill>
          </w14:textFill>
        </w:rPr>
        <w:t>盘古山钨矿尾矿库隐患综合治理工程尾矿库在线监测系统竣工验收资料</w:t>
      </w:r>
      <w:r>
        <w:rPr>
          <w:rFonts w:hint="eastAsia"/>
          <w:strike w:val="0"/>
          <w:dstrike w:val="0"/>
          <w:color w:val="000000" w:themeColor="text1"/>
          <w:lang w:eastAsia="zh-CN"/>
          <w14:textFill>
            <w14:solidFill>
              <w14:schemeClr w14:val="tx1"/>
            </w14:solidFill>
          </w14:textFill>
        </w:rPr>
        <w:t>》（北京佳尔信息技术有限公司，</w:t>
      </w:r>
      <w:r>
        <w:rPr>
          <w:rFonts w:hint="eastAsia"/>
          <w:strike w:val="0"/>
          <w:dstrike w:val="0"/>
          <w:color w:val="000000" w:themeColor="text1"/>
          <w:lang w:val="en-US" w:eastAsia="zh-CN"/>
          <w14:textFill>
            <w14:solidFill>
              <w14:schemeClr w14:val="tx1"/>
            </w14:solidFill>
          </w14:textFill>
        </w:rPr>
        <w:t>2013年11月</w:t>
      </w:r>
      <w:r>
        <w:rPr>
          <w:rFonts w:hint="eastAsia"/>
          <w:strike w:val="0"/>
          <w:dstrike w:val="0"/>
          <w:color w:val="000000" w:themeColor="text1"/>
          <w:lang w:eastAsia="zh-CN"/>
          <w14:textFill>
            <w14:solidFill>
              <w14:schemeClr w14:val="tx1"/>
            </w14:solidFill>
          </w14:textFill>
        </w:rPr>
        <w:t>）</w:t>
      </w:r>
    </w:p>
    <w:p>
      <w:pPr>
        <w:rPr>
          <w:rFonts w:hint="eastAsia" w:eastAsia="宋体"/>
          <w:strike w:val="0"/>
          <w:dstrike w:val="0"/>
          <w:color w:val="000000" w:themeColor="text1"/>
          <w:lang w:eastAsia="zh-CN"/>
          <w14:textFill>
            <w14:solidFill>
              <w14:schemeClr w14:val="tx1"/>
            </w14:solidFill>
          </w14:textFill>
        </w:rPr>
      </w:pPr>
      <w:r>
        <w:rPr>
          <w:rFonts w:hint="eastAsia"/>
          <w:strike w:val="0"/>
          <w:dstrike w:val="0"/>
          <w:color w:val="000000" w:themeColor="text1"/>
          <w14:textFill>
            <w14:solidFill>
              <w14:schemeClr w14:val="tx1"/>
            </w14:solidFill>
          </w14:textFill>
        </w:rPr>
        <w:t>《盘古山钨矿尾矿库隐患综合治理工程安全验收评价报告》</w:t>
      </w:r>
      <w:r>
        <w:rPr>
          <w:rFonts w:hint="eastAsia"/>
          <w:strike w:val="0"/>
          <w:dstrike w:val="0"/>
          <w:color w:val="000000" w:themeColor="text1"/>
          <w:lang w:eastAsia="zh-CN"/>
          <w14:textFill>
            <w14:solidFill>
              <w14:schemeClr w14:val="tx1"/>
            </w14:solidFill>
          </w14:textFill>
        </w:rPr>
        <w:t>（</w:t>
      </w:r>
      <w:r>
        <w:rPr>
          <w:rFonts w:hint="eastAsia"/>
          <w:strike w:val="0"/>
          <w:dstrike w:val="0"/>
          <w:color w:val="000000" w:themeColor="text1"/>
          <w14:textFill>
            <w14:solidFill>
              <w14:schemeClr w14:val="tx1"/>
            </w14:solidFill>
          </w14:textFill>
        </w:rPr>
        <w:t>江西省赣华安全科技有限公司</w:t>
      </w:r>
      <w:r>
        <w:rPr>
          <w:rFonts w:hint="eastAsia"/>
          <w:strike w:val="0"/>
          <w:dstrike w:val="0"/>
          <w:color w:val="000000" w:themeColor="text1"/>
          <w:lang w:eastAsia="zh-CN"/>
          <w14:textFill>
            <w14:solidFill>
              <w14:schemeClr w14:val="tx1"/>
            </w14:solidFill>
          </w14:textFill>
        </w:rPr>
        <w:t>，</w:t>
      </w:r>
      <w:r>
        <w:rPr>
          <w:rFonts w:hint="eastAsia"/>
          <w:strike w:val="0"/>
          <w:dstrike w:val="0"/>
          <w:color w:val="000000" w:themeColor="text1"/>
          <w14:textFill>
            <w14:solidFill>
              <w14:schemeClr w14:val="tx1"/>
            </w14:solidFill>
          </w14:textFill>
        </w:rPr>
        <w:t>2014年11月</w:t>
      </w:r>
      <w:r>
        <w:rPr>
          <w:rFonts w:hint="eastAsia"/>
          <w:strike w:val="0"/>
          <w:dstrike w:val="0"/>
          <w:color w:val="000000" w:themeColor="text1"/>
          <w:lang w:eastAsia="zh-CN"/>
          <w14:textFill>
            <w14:solidFill>
              <w14:schemeClr w14:val="tx1"/>
            </w14:solidFill>
          </w14:textFill>
        </w:rPr>
        <w:t>）</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《盘古山钨矿尾矿库隐患综合治理工程设计总结报告》（长沙有色冶金设计研究院有限公司，2015年3月）</w:t>
      </w:r>
    </w:p>
    <w:p>
      <w:pPr>
        <w:rPr>
          <w:rFonts w:hint="eastAsia"/>
          <w:strike w:val="0"/>
          <w:dstrike w:val="0"/>
          <w:color w:val="000000" w:themeColor="text1"/>
          <w:lang w:eastAsia="zh-CN"/>
          <w14:textFill>
            <w14:solidFill>
              <w14:schemeClr w14:val="tx1"/>
            </w14:solidFill>
          </w14:textFill>
        </w:rPr>
      </w:pPr>
      <w:r>
        <w:rPr>
          <w:rFonts w:hint="eastAsia"/>
          <w:strike w:val="0"/>
          <w:dstrike w:val="0"/>
          <w:color w:val="000000" w:themeColor="text1"/>
          <w14:textFill>
            <w14:solidFill>
              <w14:schemeClr w14:val="tx1"/>
            </w14:solidFill>
          </w14:textFill>
        </w:rPr>
        <w:t>《江西盘古山钨业有限公司尾矿库“头顶库”治理方案》</w:t>
      </w:r>
      <w:r>
        <w:rPr>
          <w:rFonts w:hint="eastAsia"/>
          <w:strike w:val="0"/>
          <w:dstrike w:val="0"/>
          <w:color w:val="000000" w:themeColor="text1"/>
          <w:lang w:eastAsia="zh-CN"/>
          <w14:textFill>
            <w14:solidFill>
              <w14:schemeClr w14:val="tx1"/>
            </w14:solidFill>
          </w14:textFill>
        </w:rPr>
        <w:t>（</w:t>
      </w:r>
      <w:r>
        <w:rPr>
          <w:rFonts w:hint="eastAsia"/>
          <w:strike w:val="0"/>
          <w:dstrike w:val="0"/>
          <w:color w:val="000000" w:themeColor="text1"/>
          <w14:textFill>
            <w14:solidFill>
              <w14:schemeClr w14:val="tx1"/>
            </w14:solidFill>
          </w14:textFill>
        </w:rPr>
        <w:t>江西盘古山钨业有限公司</w:t>
      </w:r>
      <w:r>
        <w:rPr>
          <w:rFonts w:hint="eastAsia"/>
          <w:strike w:val="0"/>
          <w:dstrike w:val="0"/>
          <w:color w:val="000000" w:themeColor="text1"/>
          <w:lang w:eastAsia="zh-CN"/>
          <w14:textFill>
            <w14:solidFill>
              <w14:schemeClr w14:val="tx1"/>
            </w14:solidFill>
          </w14:textFill>
        </w:rPr>
        <w:t>，</w:t>
      </w:r>
      <w:r>
        <w:rPr>
          <w:rFonts w:hint="eastAsia"/>
          <w:strike w:val="0"/>
          <w:dstrike w:val="0"/>
          <w:color w:val="000000" w:themeColor="text1"/>
          <w14:textFill>
            <w14:solidFill>
              <w14:schemeClr w14:val="tx1"/>
            </w14:solidFill>
          </w14:textFill>
        </w:rPr>
        <w:t>2018年6月</w:t>
      </w:r>
      <w:r>
        <w:rPr>
          <w:rFonts w:hint="eastAsia"/>
          <w:strike w:val="0"/>
          <w:dstrike w:val="0"/>
          <w:color w:val="000000" w:themeColor="text1"/>
          <w:lang w:eastAsia="zh-CN"/>
          <w14:textFill>
            <w14:solidFill>
              <w14:schemeClr w14:val="tx1"/>
            </w14:solidFill>
          </w14:textFill>
        </w:rPr>
        <w:t>）</w:t>
      </w:r>
    </w:p>
    <w:p>
      <w:pPr>
        <w:rPr>
          <w:rFonts w:hint="eastAsia"/>
          <w:strike w:val="0"/>
          <w:dstrike w:val="0"/>
          <w:color w:val="000000" w:themeColor="text1"/>
          <w:lang w:eastAsia="zh-CN"/>
          <w14:textFill>
            <w14:solidFill>
              <w14:schemeClr w14:val="tx1"/>
            </w14:solidFill>
          </w14:textFill>
        </w:rPr>
      </w:pPr>
      <w:r>
        <w:rPr>
          <w:rFonts w:hint="eastAsia"/>
          <w:strike w:val="0"/>
          <w:dstrike w:val="0"/>
          <w:color w:val="000000" w:themeColor="text1"/>
          <w:lang w:eastAsia="zh-CN"/>
          <w14:textFill>
            <w14:solidFill>
              <w14:schemeClr w14:val="tx1"/>
            </w14:solidFill>
          </w14:textFill>
        </w:rPr>
        <w:t>《江西盘古山钨业有限公司尾矿库排洪构筑物检测报告》（江西衡宇工程质量检测有限公司，2021年5月）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《江西盘古山钨业有限公司尾矿库调洪演算报告（2023年）》（金建工程设计有限公司，2023年2月）</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《江西盘古山钨业有限公司尾矿库安全现状评价委托书》</w:t>
      </w:r>
    </w:p>
    <w:p>
      <w:pPr>
        <w:rPr>
          <w:rFonts w:hint="eastAsia"/>
          <w:strike w:val="0"/>
          <w:dstrike w:val="0"/>
          <w:color w:val="000000" w:themeColor="text1"/>
          <w14:textFill>
            <w14:solidFill>
              <w14:schemeClr w14:val="tx1"/>
            </w14:solidFill>
          </w14:textFill>
        </w:rPr>
      </w:pPr>
      <w:r>
        <w:rPr>
          <w:rFonts w:hint="eastAsia"/>
          <w:strike w:val="0"/>
          <w:dstrike w:val="0"/>
          <w:color w:val="000000" w:themeColor="text1"/>
          <w14:textFill>
            <w14:solidFill>
              <w14:schemeClr w14:val="tx1"/>
            </w14:solidFill>
          </w14:textFill>
        </w:rPr>
        <w:t>江西盘古山钨业有限公司提供的相关证照、图纸及其他资料</w:t>
      </w:r>
    </w:p>
    <w:p>
      <w:pPr>
        <w:pStyle w:val="3"/>
        <w:bidi w:val="0"/>
        <w:rPr>
          <w:rFonts w:hint="eastAsia"/>
          <w:color w:val="000000" w:themeColor="text1"/>
          <w14:textFill>
            <w14:solidFill>
              <w14:schemeClr w14:val="tx1"/>
            </w14:solidFill>
          </w14:textFill>
        </w:rPr>
      </w:pPr>
      <w:bookmarkStart w:id="11" w:name="_Toc2975"/>
      <w:r>
        <w:rPr>
          <w:rFonts w:hint="eastAsia"/>
          <w:color w:val="000000" w:themeColor="text1"/>
          <w14:textFill>
            <w14:solidFill>
              <w14:schemeClr w14:val="tx1"/>
            </w14:solidFill>
          </w14:textFill>
        </w:rPr>
        <w:t>1.3</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评价对象、范围和内容</w:t>
      </w:r>
      <w:bookmarkEnd w:id="11"/>
    </w:p>
    <w:p>
      <w:pPr>
        <w:pStyle w:val="4"/>
        <w:bidi w:val="0"/>
        <w:rPr>
          <w:rFonts w:hint="eastAsia"/>
          <w:color w:val="000000" w:themeColor="text1"/>
          <w14:textFill>
            <w14:solidFill>
              <w14:schemeClr w14:val="tx1"/>
            </w14:solidFill>
          </w14:textFill>
        </w:rPr>
      </w:pPr>
      <w:bookmarkStart w:id="12" w:name="_Toc6720"/>
      <w:r>
        <w:rPr>
          <w:rFonts w:hint="eastAsia"/>
          <w:color w:val="000000" w:themeColor="text1"/>
          <w14:textFill>
            <w14:solidFill>
              <w14:schemeClr w14:val="tx1"/>
            </w14:solidFill>
          </w14:textFill>
        </w:rPr>
        <w:t>1.3.1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评价对象、范围</w:t>
      </w:r>
      <w:bookmarkEnd w:id="12"/>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评价对象：</w:t>
      </w:r>
      <w:r>
        <w:rPr>
          <w:rFonts w:hint="eastAsia"/>
          <w:strike w:val="0"/>
          <w:dstrike w:val="0"/>
          <w:color w:val="000000" w:themeColor="text1"/>
          <w14:textFill>
            <w14:solidFill>
              <w14:schemeClr w14:val="tx1"/>
            </w14:solidFill>
          </w14:textFill>
        </w:rPr>
        <w:t>江西盘古山钨业有限公司</w:t>
      </w:r>
      <w:r>
        <w:rPr>
          <w:rFonts w:hint="eastAsia"/>
          <w:color w:val="000000" w:themeColor="text1"/>
          <w14:textFill>
            <w14:solidFill>
              <w14:schemeClr w14:val="tx1"/>
            </w14:solidFill>
          </w14:textFill>
        </w:rPr>
        <w:t>尾矿库。</w:t>
      </w:r>
    </w:p>
    <w:p>
      <w:pPr>
        <w:rPr>
          <w:rFonts w:hint="eastAsia"/>
          <w:strike w:val="0"/>
          <w:dstrike w:val="0"/>
          <w:color w:val="000000" w:themeColor="text1"/>
          <w14:textFill>
            <w14:solidFill>
              <w14:schemeClr w14:val="tx1"/>
            </w14:solidFill>
          </w14:textFill>
        </w:rPr>
      </w:pPr>
      <w:r>
        <w:rPr>
          <w:rFonts w:hint="eastAsia"/>
          <w:color w:val="000000" w:themeColor="text1"/>
          <w14:textFill>
            <w14:solidFill>
              <w14:schemeClr w14:val="tx1"/>
            </w14:solidFill>
          </w14:textFill>
        </w:rPr>
        <w:t>评价范围：</w:t>
      </w:r>
      <w:r>
        <w:rPr>
          <w:rFonts w:hint="eastAsia"/>
          <w:strike w:val="0"/>
          <w:dstrike w:val="0"/>
          <w:color w:val="000000" w:themeColor="text1"/>
          <w14:textFill>
            <w14:solidFill>
              <w14:schemeClr w14:val="tx1"/>
            </w14:solidFill>
          </w14:textFill>
        </w:rPr>
        <w:t>江西盘古山钨业有限公司（以下简称盘古山钨业）尾矿库（以下简称盘古山钨业尾矿库）的库区、尾矿坝、排水构筑物、安全监测设施的运营情况和尾矿库安全管理，不包括尾矿输送系统、回水系统和尾矿库职业卫生评价。</w:t>
      </w:r>
    </w:p>
    <w:p>
      <w:pPr>
        <w:pStyle w:val="4"/>
        <w:bidi w:val="0"/>
        <w:rPr>
          <w:rFonts w:hint="eastAsia"/>
          <w:color w:val="000000" w:themeColor="text1"/>
          <w14:textFill>
            <w14:solidFill>
              <w14:schemeClr w14:val="tx1"/>
            </w14:solidFill>
          </w14:textFill>
        </w:rPr>
      </w:pPr>
      <w:bookmarkStart w:id="13" w:name="_Toc15571"/>
      <w:r>
        <w:rPr>
          <w:rFonts w:hint="eastAsia"/>
          <w:color w:val="000000" w:themeColor="text1"/>
          <w14:textFill>
            <w14:solidFill>
              <w14:schemeClr w14:val="tx1"/>
            </w14:solidFill>
          </w14:textFill>
        </w:rPr>
        <w:t>1.3.2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评价内容</w:t>
      </w:r>
      <w:bookmarkEnd w:id="13"/>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检查审核</w:t>
      </w:r>
      <w:r>
        <w:rPr>
          <w:rFonts w:hint="eastAsia"/>
          <w:color w:val="000000" w:themeColor="text1"/>
          <w:szCs w:val="28"/>
          <w14:textFill>
            <w14:solidFill>
              <w14:schemeClr w14:val="tx1"/>
            </w14:solidFill>
          </w14:textFill>
        </w:rPr>
        <w:t>盘古山钨业</w:t>
      </w:r>
      <w:r>
        <w:rPr>
          <w:rFonts w:hint="eastAsia"/>
          <w:color w:val="000000" w:themeColor="text1"/>
          <w14:textFill>
            <w14:solidFill>
              <w14:schemeClr w14:val="tx1"/>
            </w14:solidFill>
          </w14:textFill>
        </w:rPr>
        <w:t>提供的相应资质证书、营业执照的有效性及范围；</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检查</w:t>
      </w:r>
      <w:r>
        <w:rPr>
          <w:rFonts w:hint="eastAsia"/>
          <w:color w:val="000000" w:themeColor="text1"/>
          <w:szCs w:val="28"/>
          <w14:textFill>
            <w14:solidFill>
              <w14:schemeClr w14:val="tx1"/>
            </w14:solidFill>
          </w14:textFill>
        </w:rPr>
        <w:t>盘古山钨业</w:t>
      </w:r>
      <w:r>
        <w:rPr>
          <w:rFonts w:hint="eastAsia"/>
          <w:color w:val="000000" w:themeColor="text1"/>
          <w14:textFill>
            <w14:solidFill>
              <w14:schemeClr w14:val="tx1"/>
            </w14:solidFill>
          </w14:textFill>
        </w:rPr>
        <w:t>安全机构的设置及人员的配备，安全生产管理制度、操作规程的制定及执行情况；</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检查盘古山钨业尾矿库相关的安全设施、措施是否符合相关技术标准、规范的要求；</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检查</w:t>
      </w:r>
      <w:r>
        <w:rPr>
          <w:rFonts w:hint="eastAsia"/>
          <w:color w:val="000000" w:themeColor="text1"/>
          <w:szCs w:val="28"/>
          <w14:textFill>
            <w14:solidFill>
              <w14:schemeClr w14:val="tx1"/>
            </w14:solidFill>
          </w14:textFill>
        </w:rPr>
        <w:t>盘古山钨业</w:t>
      </w:r>
      <w:r>
        <w:rPr>
          <w:rFonts w:hint="eastAsia"/>
          <w:color w:val="000000" w:themeColor="text1"/>
          <w14:textFill>
            <w14:solidFill>
              <w14:schemeClr w14:val="tx1"/>
            </w14:solidFill>
          </w14:textFill>
        </w:rPr>
        <w:t>主要负责人、安全管理人员的培训考核，检查审核尾矿工的培训、取证情况及一般作业人员的安全教育、培训情况；</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检查、审核盘古山钨业尾矿库事故应急救援设施、措施及预案编制、人员训练情况；</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分析盘古山钨业尾矿库存在的危险、有害因素；</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对盘古山钨业尾矿库存在的问题提出安全对策措施；</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按照客观、公正、真实的原则，严谨、明确地做出安全评价结论。</w:t>
      </w:r>
    </w:p>
    <w:p>
      <w:pPr>
        <w:pStyle w:val="3"/>
        <w:bidi w:val="0"/>
        <w:rPr>
          <w:rFonts w:hint="eastAsia"/>
          <w:color w:val="000000" w:themeColor="text1"/>
          <w14:textFill>
            <w14:solidFill>
              <w14:schemeClr w14:val="tx1"/>
            </w14:solidFill>
          </w14:textFill>
        </w:rPr>
      </w:pPr>
      <w:bookmarkStart w:id="14" w:name="_Toc17510"/>
      <w:r>
        <w:rPr>
          <w:rFonts w:hint="eastAsia"/>
          <w:color w:val="000000" w:themeColor="text1"/>
          <w14:textFill>
            <w14:solidFill>
              <w14:schemeClr w14:val="tx1"/>
            </w14:solidFill>
          </w14:textFill>
        </w:rPr>
        <w:t>1.4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评价程序</w:t>
      </w:r>
      <w:bookmarkEnd w:id="1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安全评价程序包括：前期准备；辨识与分析危险、有害因素；划分评价单元；</w:t>
      </w:r>
      <w:r>
        <w:rPr>
          <w:rFonts w:hint="eastAsia"/>
          <w:color w:val="000000" w:themeColor="text1"/>
          <w:lang w:val="en-US" w:eastAsia="zh-CN"/>
          <w14:textFill>
            <w14:solidFill>
              <w14:schemeClr w14:val="tx1"/>
            </w14:solidFill>
          </w14:textFill>
        </w:rPr>
        <w:t>选择评价方法；</w:t>
      </w:r>
      <w:r>
        <w:rPr>
          <w:rFonts w:hint="eastAsia"/>
          <w:color w:val="000000" w:themeColor="text1"/>
          <w14:textFill>
            <w14:solidFill>
              <w14:schemeClr w14:val="tx1"/>
            </w14:solidFill>
          </w14:textFill>
        </w:rPr>
        <w:t>定性、定量评价；提出安全对策措施建议；做出评价结论；编制安全评价报告。</w:t>
      </w:r>
    </w:p>
    <w:p>
      <w:pPr>
        <w:numPr>
          <w:ilvl w:val="0"/>
          <w:numId w:val="2"/>
        </w:num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前期准备</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明确被评价对象，备齐有关安全评价所需的设备、工具，收集国内外相关法律、法规、技术标准及建设项目资料。</w:t>
      </w:r>
    </w:p>
    <w:p>
      <w:pPr>
        <w:numPr>
          <w:ilvl w:val="0"/>
          <w:numId w:val="2"/>
        </w:numPr>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辨识与分析危险、有害因素</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根据评价对象的具体情况，辨识和分析危险、有害因素，确定其存在的部位、方式，以及发生作用的途径和变化规律。</w:t>
      </w:r>
    </w:p>
    <w:p>
      <w:pPr>
        <w:numPr>
          <w:ilvl w:val="0"/>
          <w:numId w:val="2"/>
        </w:numPr>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划分评价单元</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评价单元划分应科学、合理，便于实施评价，相对独立且具有明显的特征界限。</w:t>
      </w:r>
    </w:p>
    <w:p>
      <w:pPr>
        <w:numPr>
          <w:ilvl w:val="0"/>
          <w:numId w:val="2"/>
        </w:numPr>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选择评价方法</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根据被评价对象特点，选择科学、合理、适用的定性、定量评价方法。</w:t>
      </w:r>
    </w:p>
    <w:p>
      <w:pPr>
        <w:numPr>
          <w:ilvl w:val="0"/>
          <w:numId w:val="2"/>
        </w:numPr>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定性、定量评价</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根据评价单元的特性，选择合理的评价方法，对评价对象发生事故的可能性及其严重程度进行定性、定量评价。</w:t>
      </w:r>
    </w:p>
    <w:p>
      <w:pPr>
        <w:numPr>
          <w:ilvl w:val="0"/>
          <w:numId w:val="2"/>
        </w:numPr>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对策措施建议</w:t>
      </w:r>
    </w:p>
    <w:p>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根据危险、有害因素辨识结果与定性、定量评价结果，遵循针对性、技术可行性、经济合理性的原则，提出消除或减弱危险、危害的技术和管理对策措施建议。</w:t>
      </w:r>
    </w:p>
    <w:p>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对策措施建议应具体祥实、具有可操作性。按照针对性和重要性的不同，措施和建议可分为应采纳和宜采纳两种类型。</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7. </w:t>
      </w:r>
      <w:r>
        <w:rPr>
          <w:rFonts w:hint="eastAsia"/>
          <w:color w:val="000000" w:themeColor="text1"/>
          <w14:textFill>
            <w14:solidFill>
              <w14:schemeClr w14:val="tx1"/>
            </w14:solidFill>
          </w14:textFill>
        </w:rPr>
        <w:t>安全评价结论</w:t>
      </w:r>
    </w:p>
    <w:p>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安全评价机构应根据客观、公正、真实的原则，严谨、明确地做出安全评价结论。</w:t>
      </w:r>
    </w:p>
    <w:p>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安全评价结论的内容应包括高度概括评价结果，从风险管理角度给出评价对象在评价时与国家有关安全生产的法律法规、标准、规章、规范的符合性结论，给出事故发生的可能性和严重程度的预测性结论，以及采取安全对策措施后的安全状态等。</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8. </w:t>
      </w:r>
      <w:r>
        <w:rPr>
          <w:rFonts w:hint="eastAsia"/>
          <w:color w:val="000000" w:themeColor="text1"/>
          <w14:textFill>
            <w14:solidFill>
              <w14:schemeClr w14:val="tx1"/>
            </w14:solidFill>
          </w14:textFill>
        </w:rPr>
        <w:t>编制安全评价报告</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安全现状评价程序框图1-1：</w: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color w:val="000000" w:themeColor="text1"/>
          <w:sz w:val="28"/>
          <w14:textFill>
            <w14:solidFill>
              <w14:schemeClr w14:val="tx1"/>
            </w14:solidFill>
          </w14:textFill>
        </w:rPr>
        <mc:AlternateContent>
          <mc:Choice Requires="wpg">
            <w:drawing>
              <wp:anchor distT="0" distB="0" distL="114300" distR="114300" simplePos="0" relativeHeight="251660288" behindDoc="1" locked="0" layoutInCell="1" allowOverlap="1">
                <wp:simplePos x="0" y="0"/>
                <wp:positionH relativeFrom="column">
                  <wp:posOffset>1423035</wp:posOffset>
                </wp:positionH>
                <wp:positionV relativeFrom="paragraph">
                  <wp:posOffset>218440</wp:posOffset>
                </wp:positionV>
                <wp:extent cx="3009900" cy="5445760"/>
                <wp:effectExtent l="4445" t="4445" r="14605" b="17145"/>
                <wp:wrapTight wrapText="bothSides">
                  <wp:wrapPolygon>
                    <wp:start x="-32" y="-18"/>
                    <wp:lineTo x="-32" y="1040"/>
                    <wp:lineTo x="10221" y="1191"/>
                    <wp:lineTo x="10221" y="2400"/>
                    <wp:lineTo x="-32" y="2703"/>
                    <wp:lineTo x="-32" y="3911"/>
                    <wp:lineTo x="10221" y="4818"/>
                    <wp:lineTo x="-32" y="5800"/>
                    <wp:lineTo x="-32" y="7009"/>
                    <wp:lineTo x="10358" y="7236"/>
                    <wp:lineTo x="10085" y="8445"/>
                    <wp:lineTo x="-32" y="8672"/>
                    <wp:lineTo x="-32" y="9805"/>
                    <wp:lineTo x="10358" y="10863"/>
                    <wp:lineTo x="-32" y="11694"/>
                    <wp:lineTo x="-32" y="12903"/>
                    <wp:lineTo x="10358" y="13281"/>
                    <wp:lineTo x="10221" y="14490"/>
                    <wp:lineTo x="-32" y="14565"/>
                    <wp:lineTo x="-32" y="15699"/>
                    <wp:lineTo x="10221" y="15699"/>
                    <wp:lineTo x="10221" y="16908"/>
                    <wp:lineTo x="-32" y="17663"/>
                    <wp:lineTo x="-32" y="18797"/>
                    <wp:lineTo x="10221" y="19326"/>
                    <wp:lineTo x="-32" y="20459"/>
                    <wp:lineTo x="-32" y="21517"/>
                    <wp:lineTo x="21568" y="21517"/>
                    <wp:lineTo x="21568" y="20459"/>
                    <wp:lineTo x="10905" y="19326"/>
                    <wp:lineTo x="16647" y="19326"/>
                    <wp:lineTo x="21568" y="18797"/>
                    <wp:lineTo x="21568" y="17739"/>
                    <wp:lineTo x="20474" y="17588"/>
                    <wp:lineTo x="10905" y="16908"/>
                    <wp:lineTo x="10905" y="15699"/>
                    <wp:lineTo x="21431" y="15699"/>
                    <wp:lineTo x="21431" y="14565"/>
                    <wp:lineTo x="11042" y="14490"/>
                    <wp:lineTo x="11042" y="13281"/>
                    <wp:lineTo x="18014" y="13281"/>
                    <wp:lineTo x="21568" y="12903"/>
                    <wp:lineTo x="21568" y="11770"/>
                    <wp:lineTo x="20474" y="11619"/>
                    <wp:lineTo x="11042" y="10863"/>
                    <wp:lineTo x="12135" y="10863"/>
                    <wp:lineTo x="21568" y="9805"/>
                    <wp:lineTo x="21568" y="8747"/>
                    <wp:lineTo x="21021" y="8672"/>
                    <wp:lineTo x="11178" y="8445"/>
                    <wp:lineTo x="11042" y="7236"/>
                    <wp:lineTo x="21568" y="7009"/>
                    <wp:lineTo x="21568" y="5800"/>
                    <wp:lineTo x="10905" y="4818"/>
                    <wp:lineTo x="13366" y="4818"/>
                    <wp:lineTo x="21568" y="3911"/>
                    <wp:lineTo x="21568" y="2703"/>
                    <wp:lineTo x="10905" y="2400"/>
                    <wp:lineTo x="10905" y="1191"/>
                    <wp:lineTo x="21568" y="1040"/>
                    <wp:lineTo x="21568" y="-18"/>
                    <wp:lineTo x="-32" y="-18"/>
                  </wp:wrapPolygon>
                </wp:wrapTight>
                <wp:docPr id="40" name="组合 40"/>
                <wp:cNvGraphicFramePr/>
                <a:graphic xmlns:a="http://schemas.openxmlformats.org/drawingml/2006/main">
                  <a:graphicData uri="http://schemas.microsoft.com/office/word/2010/wordprocessingGroup">
                    <wpg:wgp>
                      <wpg:cNvGrpSpPr/>
                      <wpg:grpSpPr>
                        <a:xfrm>
                          <a:off x="0" y="0"/>
                          <a:ext cx="3009900" cy="5445760"/>
                          <a:chOff x="4464" y="310180"/>
                          <a:chExt cx="4740" cy="8576"/>
                        </a:xfrm>
                      </wpg:grpSpPr>
                      <wps:wsp>
                        <wps:cNvPr id="24" name="文本框 1"/>
                        <wps:cNvSpPr txBox="1"/>
                        <wps:spPr>
                          <a:xfrm>
                            <a:off x="4474" y="310180"/>
                            <a:ext cx="473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1"/>
                                  <w:szCs w:val="21"/>
                                </w:rPr>
                                <w:t>前期准备</w:t>
                              </w:r>
                            </w:p>
                          </w:txbxContent>
                        </wps:txbx>
                        <wps:bodyPr upright="1"/>
                      </wps:wsp>
                      <wps:wsp>
                        <wps:cNvPr id="25" name="文本框 2"/>
                        <wps:cNvSpPr txBox="1"/>
                        <wps:spPr>
                          <a:xfrm>
                            <a:off x="4474" y="311303"/>
                            <a:ext cx="4705"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1"/>
                                  <w:szCs w:val="21"/>
                                </w:rPr>
                                <w:t>辩识与分析危险、有害因素</w:t>
                              </w:r>
                            </w:p>
                          </w:txbxContent>
                        </wps:txbx>
                        <wps:bodyPr upright="1"/>
                      </wps:wsp>
                      <wps:wsp>
                        <wps:cNvPr id="26" name="文本框 3"/>
                        <wps:cNvSpPr txBox="1"/>
                        <wps:spPr>
                          <a:xfrm>
                            <a:off x="4474" y="312532"/>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1"/>
                                  <w:szCs w:val="21"/>
                                </w:rPr>
                                <w:t>划分评价单元</w:t>
                              </w:r>
                            </w:p>
                          </w:txbxContent>
                        </wps:txbx>
                        <wps:bodyPr upright="1"/>
                      </wps:wsp>
                      <wps:wsp>
                        <wps:cNvPr id="27" name="文本框 4"/>
                        <wps:cNvSpPr txBox="1"/>
                        <wps:spPr>
                          <a:xfrm>
                            <a:off x="4474" y="313655"/>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1"/>
                                  <w:szCs w:val="21"/>
                                </w:rPr>
                                <w:t>选择评价方法</w:t>
                              </w:r>
                            </w:p>
                          </w:txbxContent>
                        </wps:txbx>
                        <wps:bodyPr upright="1"/>
                      </wps:wsp>
                      <wps:wsp>
                        <wps:cNvPr id="28" name="文本框 5"/>
                        <wps:cNvSpPr txBox="1"/>
                        <wps:spPr>
                          <a:xfrm>
                            <a:off x="4474" y="314871"/>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1"/>
                                  <w:szCs w:val="21"/>
                                </w:rPr>
                                <w:t>定性、定量评价</w:t>
                              </w:r>
                            </w:p>
                          </w:txbxContent>
                        </wps:txbx>
                        <wps:bodyPr upright="1"/>
                      </wps:wsp>
                      <wps:wsp>
                        <wps:cNvPr id="29" name="文本框 6"/>
                        <wps:cNvSpPr txBox="1"/>
                        <wps:spPr>
                          <a:xfrm>
                            <a:off x="4474" y="315994"/>
                            <a:ext cx="4676"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pPr>
                              <w:r>
                                <w:rPr>
                                  <w:rFonts w:hint="eastAsia"/>
                                  <w:sz w:val="21"/>
                                  <w:szCs w:val="21"/>
                                </w:rPr>
                                <w:t>提出安全对策措施建议</w:t>
                              </w:r>
                            </w:p>
                          </w:txbxContent>
                        </wps:txbx>
                        <wps:bodyPr upright="1"/>
                      </wps:wsp>
                      <wps:wsp>
                        <wps:cNvPr id="30" name="文本框 7"/>
                        <wps:cNvSpPr txBox="1"/>
                        <wps:spPr>
                          <a:xfrm>
                            <a:off x="4474" y="317223"/>
                            <a:ext cx="4688"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sz w:val="21"/>
                                  <w:szCs w:val="21"/>
                                </w:rPr>
                              </w:pPr>
                              <w:r>
                                <w:rPr>
                                  <w:rFonts w:hint="eastAsia"/>
                                  <w:sz w:val="21"/>
                                  <w:szCs w:val="21"/>
                                </w:rPr>
                                <w:t>做出评价结论</w:t>
                              </w:r>
                            </w:p>
                          </w:txbxContent>
                        </wps:txbx>
                        <wps:bodyPr upright="1"/>
                      </wps:wsp>
                      <wps:wsp>
                        <wps:cNvPr id="31" name="文本框 8"/>
                        <wps:cNvSpPr txBox="1"/>
                        <wps:spPr>
                          <a:xfrm>
                            <a:off x="4464" y="318345"/>
                            <a:ext cx="4681" cy="4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pPr>
                              <w:r>
                                <w:rPr>
                                  <w:rFonts w:hint="eastAsia"/>
                                  <w:sz w:val="21"/>
                                  <w:szCs w:val="21"/>
                                </w:rPr>
                                <w:t>编制安全现状评价报告</w:t>
                              </w:r>
                            </w:p>
                          </w:txbxContent>
                        </wps:txbx>
                        <wps:bodyPr upright="1"/>
                      </wps:wsp>
                      <wps:wsp>
                        <wps:cNvPr id="32" name="直接连接符 9"/>
                        <wps:cNvCnPr/>
                        <wps:spPr>
                          <a:xfrm>
                            <a:off x="6795" y="310587"/>
                            <a:ext cx="0" cy="714"/>
                          </a:xfrm>
                          <a:prstGeom prst="line">
                            <a:avLst/>
                          </a:prstGeom>
                          <a:ln w="9525" cap="flat" cmpd="sng">
                            <a:solidFill>
                              <a:srgbClr val="000000"/>
                            </a:solidFill>
                            <a:prstDash val="solid"/>
                            <a:headEnd type="none" w="med" len="med"/>
                            <a:tailEnd type="triangle" w="med" len="med"/>
                          </a:ln>
                        </wps:spPr>
                        <wps:bodyPr upright="1"/>
                      </wps:wsp>
                      <wps:wsp>
                        <wps:cNvPr id="33" name="直接连接符 10"/>
                        <wps:cNvCnPr/>
                        <wps:spPr>
                          <a:xfrm>
                            <a:off x="6795" y="311711"/>
                            <a:ext cx="0" cy="819"/>
                          </a:xfrm>
                          <a:prstGeom prst="line">
                            <a:avLst/>
                          </a:prstGeom>
                          <a:ln w="9525" cap="flat" cmpd="sng">
                            <a:solidFill>
                              <a:srgbClr val="000000"/>
                            </a:solidFill>
                            <a:prstDash val="solid"/>
                            <a:headEnd type="none" w="med" len="med"/>
                            <a:tailEnd type="triangle" w="med" len="med"/>
                          </a:ln>
                        </wps:spPr>
                        <wps:bodyPr upright="1"/>
                      </wps:wsp>
                      <wps:wsp>
                        <wps:cNvPr id="34" name="直接连接符 11"/>
                        <wps:cNvCnPr/>
                        <wps:spPr>
                          <a:xfrm>
                            <a:off x="6817" y="312940"/>
                            <a:ext cx="0" cy="714"/>
                          </a:xfrm>
                          <a:prstGeom prst="line">
                            <a:avLst/>
                          </a:prstGeom>
                          <a:ln w="9525" cap="flat" cmpd="sng">
                            <a:solidFill>
                              <a:srgbClr val="000000"/>
                            </a:solidFill>
                            <a:prstDash val="solid"/>
                            <a:headEnd type="none" w="med" len="med"/>
                            <a:tailEnd type="triangle" w="med" len="med"/>
                          </a:ln>
                        </wps:spPr>
                        <wps:bodyPr upright="1"/>
                      </wps:wsp>
                      <wps:wsp>
                        <wps:cNvPr id="35" name="直接连接符 12"/>
                        <wps:cNvCnPr/>
                        <wps:spPr>
                          <a:xfrm>
                            <a:off x="6817" y="314063"/>
                            <a:ext cx="0" cy="806"/>
                          </a:xfrm>
                          <a:prstGeom prst="line">
                            <a:avLst/>
                          </a:prstGeom>
                          <a:ln w="9525" cap="flat" cmpd="sng">
                            <a:solidFill>
                              <a:srgbClr val="000000"/>
                            </a:solidFill>
                            <a:prstDash val="solid"/>
                            <a:headEnd type="none" w="med" len="med"/>
                            <a:tailEnd type="triangle" w="med" len="med"/>
                          </a:ln>
                        </wps:spPr>
                        <wps:bodyPr upright="1"/>
                      </wps:wsp>
                      <wps:wsp>
                        <wps:cNvPr id="36" name="直接连接符 13"/>
                        <wps:cNvCnPr/>
                        <wps:spPr>
                          <a:xfrm>
                            <a:off x="6817" y="315278"/>
                            <a:ext cx="0" cy="714"/>
                          </a:xfrm>
                          <a:prstGeom prst="line">
                            <a:avLst/>
                          </a:prstGeom>
                          <a:ln w="9525" cap="flat" cmpd="sng">
                            <a:solidFill>
                              <a:srgbClr val="000000"/>
                            </a:solidFill>
                            <a:prstDash val="solid"/>
                            <a:headEnd type="none" w="med" len="med"/>
                            <a:tailEnd type="triangle" w="med" len="med"/>
                          </a:ln>
                        </wps:spPr>
                        <wps:bodyPr upright="1"/>
                      </wps:wsp>
                      <wps:wsp>
                        <wps:cNvPr id="37" name="直接连接符 14"/>
                        <wps:cNvCnPr/>
                        <wps:spPr>
                          <a:xfrm>
                            <a:off x="6795" y="316402"/>
                            <a:ext cx="0" cy="819"/>
                          </a:xfrm>
                          <a:prstGeom prst="line">
                            <a:avLst/>
                          </a:prstGeom>
                          <a:ln w="9525" cap="flat" cmpd="sng">
                            <a:solidFill>
                              <a:srgbClr val="000000"/>
                            </a:solidFill>
                            <a:prstDash val="solid"/>
                            <a:headEnd type="none" w="med" len="med"/>
                            <a:tailEnd type="triangle" w="med" len="med"/>
                          </a:ln>
                        </wps:spPr>
                        <wps:bodyPr upright="1"/>
                      </wps:wsp>
                      <wps:wsp>
                        <wps:cNvPr id="38" name="直接连接符 15"/>
                        <wps:cNvCnPr/>
                        <wps:spPr>
                          <a:xfrm>
                            <a:off x="6795" y="317631"/>
                            <a:ext cx="0" cy="71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2.05pt;margin-top:17.2pt;height:428.8pt;width:237pt;mso-wrap-distance-left:9pt;mso-wrap-distance-right:9pt;z-index:-251656192;mso-width-relative:page;mso-height-relative:page;" coordorigin="4464,310180" coordsize="4740,8576" wrapcoords="-32 -18 -32 1040 10221 1191 10221 2400 -32 2703 -32 3911 10221 4818 -32 5800 -32 7009 10358 7236 10085 8445 -32 8672 -32 9805 10358 10863 -32 11694 -32 12903 10358 13281 10221 14490 -32 14565 -32 15699 10221 15699 10221 16908 -32 17663 -32 18797 10221 19326 -32 20459 -32 21517 21568 21517 21568 20459 10905 19326 16647 19326 21568 18797 21568 17739 20474 17588 10905 16908 10905 15699 21431 15699 21431 14565 11042 14490 11042 13281 18014 13281 21568 12903 21568 11770 20474 11619 11042 10863 12135 10863 21568 9805 21568 8747 21021 8672 11178 8445 11042 7236 21568 7009 21568 5800 10905 4818 13366 4818 21568 3911 21568 2703 10905 2400 10905 1191 21568 1040 21568 -18 -32 -18" o:gfxdata="UEsDBAoAAAAAAIdO4kAAAAAAAAAAAAAAAAAEAAAAZHJzL1BLAwQUAAAACACHTuJAT0jRotsAAAAK&#10;AQAADwAAAGRycy9kb3ducmV2LnhtbE2PwU7DMAyG70i8Q2QkbixJV6auazqhCThNSGxIaDev8dpq&#10;TVI1Wbu9PeEER9uffn9/sb6ajo00+NZZBXImgJGtnG5treBr//aUAfMBrcbOWVJwIw/r8v6uwFy7&#10;yX7SuAs1iyHW56igCaHPOfdVQwb9zPVk4+3kBoMhjkPN9YBTDDcdT4RYcIOtjR8a7GnTUHXeXYyC&#10;9wmnl7l8Hbfn0+Z22D9/fG8lKfX4IMUKWKBr+IPhVz+qQxmdju5itWedgiRJZUQVzNMUWAQWyywu&#10;jgqyZSKAlwX/X6H8AVBLAwQUAAAACACHTuJAGmaAtVoEAABaJAAADgAAAGRycy9lMm9Eb2MueG1s&#10;7VrLbtw2FN0X6D8Q2sej9wseB0gce1O0AZJ+AC1RD0ASBZL2jPdF21XRVTYtCnSRrrLsrot+Te18&#10;Ri5JjWYs2cB4Bm3djmahoSTqkvfw6PLyUMfPl3WFrgjjJW3mhnVkGog0CU3LJp8bX789exYaiAvc&#10;pLiiDZkb14Qbz08+/+x40cbEpgWtUsIQGGl4vGjnRiFEG89mPClIjfkRbUkDNzPKaizglOWzlOEF&#10;WK+rmW2a/mxBWdoymhDO4eqpvml0Ftk2BmmWlQk5pcllTRqhrTJSYQEu8aJsuXGieptlJBFfZRkn&#10;AlVzAzwV6giNQPlCHmcnxzjOGW6LMum6gLfpwsCnGpcNNNqbOsUCo0tWjkzVZcIop5k4Smg9044o&#10;RMALyxxgc87oZat8yeNF3vagw0ANUN/ZbPLl1WuGynRuuABJg2sY8ds/vvnrx+8RXAB0Fm0eQ6Vz&#10;1r5pX7PuQq7PpMPLjNXyH1xBS4XrdY8rWQqUwEXHNKPIBPsJ3PNc1wv8DvmkgOGRz7mu7xoIbjuW&#10;aYX93VedBTeQ3ZOPh/Cw7Nds1fRM9rDv0KIFVvI1VHw/qN4UuCVqBLhEoYPKhq5qqG7efXfz84eb&#10;X79FlgZLVZNIIbF8QcGx/jqHi/cA5oJrI8dXwLmB07ntWgqT3msct4yLc0JrJAtzgwHVFQPx1Rdc&#10;aIBWVWSznFZlelZWlTph+cXLiqErDK/Fmfp1mN6pVjVoMTciz/YAewzvegbvGBTrFvjCm1y1d+cJ&#10;vmnYVL/7DMuOnWJe6A4oC7IajutSEKZKBcHpqyZF4roFSjYQigzZmZqkBqoIRC5ZUjUFLqttagJ2&#10;VQPEkRTRgyFLYnmxBDOyeEHTaxi4y5aVeQGQqqFT1YFRusrfTy2AekgtW/opOwgM3JFalmM6Gq01&#10;tUw5qvBGuZZ2dPVCTdT6n1LLH1NLkWI/atmeowiK455afgg5hKbWFLUOImoFY2q5+0ctx/e8QdSa&#10;qHVoEyKEkuGEqEixX9Ryw0DNelPUgqzrUHOtaEwttbbYj1peFKnYt0ktWLNMudYBpfFy2TaMWsH+&#10;E2Jg28M0fpoQD2xCdKwxtcKdqdWrLqHjjnMtaGpaIR6O+AALuS5q3f70+80P7z/++Qscbz/8hqIN&#10;gr1sOh1wJaOshYNOBPSDCLQFLeZ5oYp768mwE7QCS02SDwtaVQmSj9SEHhC0/nlxatc0SbASN3n1&#10;gIB1vyz1FLQox3mIDlqM7NKkR/HBCrTaNOJDaCmOTXx4wnzoZe9heNBjuj0fQgsEAxUf7EhvM4z4&#10;MMWHToV8wnzoteoRHzYl6y3iw5oPrukPMtzVvo95d9tnpFJP88W/vXfh9ALziA+bOvOj+ODZgUpu&#10;p/jwH8wfelV4xIdNcXgLPqzzSd81B7sNq/gw5Q96Q/QJzxe9lDviw6ai+yg+BD6sh9U28Gr3aVpf&#10;3N0g34kP6qMK+OREfWfRfR4jv2nZPFdb6etPgk4+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E9I&#10;0aLbAAAACgEAAA8AAAAAAAAAAQAgAAAAIgAAAGRycy9kb3ducmV2LnhtbFBLAQIUABQAAAAIAIdO&#10;4kAaZoC1WgQAAFokAAAOAAAAAAAAAAEAIAAAACoBAABkcnMvZTJvRG9jLnhtbFBLBQYAAAAABgAG&#10;AFkBAAD2BwAAAAA=&#10;">
                <o:lock v:ext="edit" aspectratio="f"/>
                <v:shape id="文本框 1" o:spid="_x0000_s1026" o:spt="202" type="#_x0000_t202" style="position:absolute;left:4474;top:310180;height:410;width:473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1"/>
                            <w:szCs w:val="21"/>
                          </w:rPr>
                          <w:t>前期准备</w:t>
                        </w:r>
                      </w:p>
                    </w:txbxContent>
                  </v:textbox>
                </v:shape>
                <v:shape id="文本框 2" o:spid="_x0000_s1026" o:spt="202" type="#_x0000_t202" style="position:absolute;left:4474;top:311303;height:411;width:4705;"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1"/>
                            <w:szCs w:val="21"/>
                          </w:rPr>
                          <w:t>辩识与分析危险、有害因素</w:t>
                        </w:r>
                      </w:p>
                    </w:txbxContent>
                  </v:textbox>
                </v:shape>
                <v:shape id="文本框 3" o:spid="_x0000_s1026" o:spt="202" type="#_x0000_t202" style="position:absolute;left:4474;top:312532;height:410;width:4688;"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1"/>
                            <w:szCs w:val="21"/>
                          </w:rPr>
                          <w:t>划分评价单元</w:t>
                        </w:r>
                      </w:p>
                    </w:txbxContent>
                  </v:textbox>
                </v:shape>
                <v:shape id="文本框 4" o:spid="_x0000_s1026" o:spt="202" type="#_x0000_t202" style="position:absolute;left:4474;top:313655;height:410;width:4688;"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1"/>
                            <w:szCs w:val="21"/>
                          </w:rPr>
                          <w:t>选择评价方法</w:t>
                        </w:r>
                      </w:p>
                    </w:txbxContent>
                  </v:textbox>
                </v:shape>
                <v:shape id="文本框 5" o:spid="_x0000_s1026" o:spt="202" type="#_x0000_t202" style="position:absolute;left:4474;top:314871;height:410;width:4688;"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1"/>
                            <w:szCs w:val="21"/>
                          </w:rPr>
                          <w:t>定性、定量评价</w:t>
                        </w:r>
                      </w:p>
                    </w:txbxContent>
                  </v:textbox>
                </v:shape>
                <v:shape id="文本框 6" o:spid="_x0000_s1026" o:spt="202" type="#_x0000_t202" style="position:absolute;left:4474;top:315994;height:411;width:4676;"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pPr>
                        <w:r>
                          <w:rPr>
                            <w:rFonts w:hint="eastAsia"/>
                            <w:sz w:val="21"/>
                            <w:szCs w:val="21"/>
                          </w:rPr>
                          <w:t>提出安全对策措施建议</w:t>
                        </w:r>
                      </w:p>
                    </w:txbxContent>
                  </v:textbox>
                </v:shape>
                <v:shape id="文本框 7" o:spid="_x0000_s1026" o:spt="202" type="#_x0000_t202" style="position:absolute;left:4474;top:317223;height:410;width:4688;"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left="0" w:leftChars="0" w:firstLine="0" w:firstLineChars="0"/>
                          <w:jc w:val="center"/>
                          <w:rPr>
                            <w:sz w:val="21"/>
                            <w:szCs w:val="21"/>
                          </w:rPr>
                        </w:pPr>
                        <w:r>
                          <w:rPr>
                            <w:rFonts w:hint="eastAsia"/>
                            <w:sz w:val="21"/>
                            <w:szCs w:val="21"/>
                          </w:rPr>
                          <w:t>做出评价结论</w:t>
                        </w:r>
                      </w:p>
                    </w:txbxContent>
                  </v:textbox>
                </v:shape>
                <v:shape id="文本框 8" o:spid="_x0000_s1026" o:spt="202" type="#_x0000_t202" style="position:absolute;left:4464;top:318345;height:411;width:468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pPr>
                        <w:r>
                          <w:rPr>
                            <w:rFonts w:hint="eastAsia"/>
                            <w:sz w:val="21"/>
                            <w:szCs w:val="21"/>
                          </w:rPr>
                          <w:t>编制安全现状评价报告</w:t>
                        </w:r>
                      </w:p>
                    </w:txbxContent>
                  </v:textbox>
                </v:shape>
                <v:line id="直接连接符 9" o:spid="_x0000_s1026" o:spt="20" style="position:absolute;left:6795;top:310587;height:714;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6795;top:311711;height:819;width:0;"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1" o:spid="_x0000_s1026" o:spt="20" style="position:absolute;left:6817;top:312940;height:714;width: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 o:spid="_x0000_s1026" o:spt="20" style="position:absolute;left:6817;top:314063;height:806;width: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3" o:spid="_x0000_s1026" o:spt="20" style="position:absolute;left:6817;top:315278;height:714;width:0;"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4" o:spid="_x0000_s1026" o:spt="20" style="position:absolute;left:6795;top:316402;height:819;width:0;"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5" o:spid="_x0000_s1026" o:spt="20" style="position:absolute;left:6795;top:317631;height:714;width: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tight"/>
              </v:group>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bidi w:val="0"/>
        <w:ind w:left="0" w:leftChars="0"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图1-1 </w:t>
      </w:r>
      <w:r>
        <w:rPr>
          <w:color w:val="000000" w:themeColor="text1"/>
          <w14:textFill>
            <w14:solidFill>
              <w14:schemeClr w14:val="tx1"/>
            </w14:solidFill>
          </w14:textFill>
        </w:rPr>
        <w:t>安全现状评价程序框</w:t>
      </w:r>
    </w:p>
    <w:p>
      <w:pPr>
        <w:ind w:left="0" w:leftChars="0" w:firstLine="0" w:firstLineChars="0"/>
        <w:rPr>
          <w:rFonts w:hint="eastAsia"/>
          <w:color w:val="000000" w:themeColor="text1"/>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-46355</wp:posOffset>
                </wp:positionH>
                <wp:positionV relativeFrom="paragraph">
                  <wp:posOffset>5895340</wp:posOffset>
                </wp:positionV>
                <wp:extent cx="5753100" cy="3810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7531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bidi w:val="0"/>
                              <w:ind w:left="0" w:leftChars="0" w:firstLine="0" w:firstLineChars="0"/>
                              <w:jc w:val="center"/>
                              <w:rPr>
                                <w:rFonts w:hint="default"/>
                                <w:lang w:val="en-US" w:eastAsia="zh-CN"/>
                              </w:rPr>
                            </w:pPr>
                            <w:r>
                              <w:rPr>
                                <w:rFonts w:hint="eastAsia"/>
                                <w:lang w:val="en-US" w:eastAsia="zh-CN"/>
                              </w:rPr>
                              <w:t xml:space="preserve">图1-1 </w:t>
                            </w:r>
                            <w:r>
                              <w:t>安全现状评价程序框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464.2pt;height:30pt;width:453pt;z-index:251659264;mso-width-relative:page;mso-height-relative:page;" fillcolor="#FFFFFF [3201]" filled="t" stroked="f" coordsize="21600,21600" o:gfxdata="UEsDBAoAAAAAAIdO4kAAAAAAAAAAAAAAAAAEAAAAZHJzL1BLAwQUAAAACACHTuJAke/SctYAAAAK&#10;AQAADwAAAGRycy9kb3ducmV2LnhtbE2PTU/DMAyG70j8h8hI3La0Y2JZaboDElcktrFz1pimInGq&#10;Jvv89fNOcPTrR68f16tz8OKIY+ojaSinBQikNtqeOg3bzcdEgUjZkDU+Emq4YIJV8/hQm8rGE33h&#10;cZ07wSWUKqPB5TxUUqbWYTBpGgck3v3EMZjM49hJO5oTlwcvZ0XxKoPpiS84M+C7w/Z3fQgadl24&#10;7r7LYXQ2+Dl9Xi+bbey1fn4qizcQGc/5D4a7PqtDw077eCCbhNcwWbwwqWE5U3MQDKilWoDYc6I4&#10;kU0t/7/Q3ABQSwMEFAAAAAgAh07iQADvJJZSAgAAkQQAAA4AAABkcnMvZTJvRG9jLnhtbK1UzW7b&#10;MAy+D9g7CLqvzk/TnyBOkbXIMKBYC3TDzoosxwZkUZOU2N0DbG/Q0y6777n6HPskJ23X7dDDclAo&#10;kiL5fSQ9O+sazbbK+ZpMzocHA86UkVTUZp3zTx+Xb04480GYQmgyKue3yvOz+etXs9ZO1Ygq0oVy&#10;DEGMn7Y251UIdpplXlaqEf6ArDIwluQaEXB166xwokX0RmejweAoa8kV1pFU3kN70Rv5LqJ7SUAq&#10;y1qqC5KbRpnQR3VKiwBIvqqt5/NUbVkqGa7K0qvAdM6BNKQTSSCv4pnNZ2K6dsJWtdyVIF5SwjNM&#10;jagNkj6EuhBBsI2r/wrV1NKRpzIcSGqyHkhiBCiGg2fc3FTCqoQFVHv7QLr/f2Hlh+21Y3WR8/Ep&#10;Z0Y06Pj93ff7H7/uf35j0IGg1vop/G4sPEP3ljqMzV7voYy4u9I18R+IGOyg9/aBXtUFJqGcHE/G&#10;wwFMErbxCcTEf/b42jof3ilqWBRy7tC+xKrYXvqASuC6d4nJPOm6WNZap4tbr861Y1uBVi/TLxaJ&#10;J3+4acPanB+NJ4MU2VB83/tpA/cItgcVpdCtuh0DKypuQYCjfoa8lcsaVV4KH66Fw9AAGNYqXOEo&#10;NSEJ7STOKnJf/6WP/uglrJy1GMKc+y8b4RRn+r1Bl0+Hh4cIG9LlcHI8wsU9tayeWsymOSeAH2KB&#10;rUxi9A96L5aOms/YvkXMCpMwErlzHvbieehXA9sr1WKRnDCnVoRLc2NlDB2pNrTYBCrr1JJIU8/N&#10;jj1MaqJ9t1VxFZ7ek9fjl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Hv0nLWAAAACgEAAA8A&#10;AAAAAAAAAQAgAAAAIgAAAGRycy9kb3ducmV2LnhtbFBLAQIUABQAAAAIAIdO4kAA7ySWUgIAAJEE&#10;AAAOAAAAAAAAAAEAIAAAACUBAABkcnMvZTJvRG9jLnhtbFBLBQYAAAAABgAGAFkBAADpBQAAAAA=&#10;">
                <v:fill on="t" focussize="0,0"/>
                <v:stroke on="f" weight="0.5pt"/>
                <v:imagedata o:title=""/>
                <o:lock v:ext="edit" aspectratio="f"/>
                <v:textbox>
                  <w:txbxContent>
                    <w:p>
                      <w:pPr>
                        <w:bidi w:val="0"/>
                        <w:ind w:left="0" w:leftChars="0" w:firstLine="0" w:firstLineChars="0"/>
                        <w:jc w:val="center"/>
                        <w:rPr>
                          <w:rFonts w:hint="default"/>
                          <w:lang w:val="en-US" w:eastAsia="zh-CN"/>
                        </w:rPr>
                      </w:pPr>
                      <w:r>
                        <w:rPr>
                          <w:rFonts w:hint="eastAsia"/>
                          <w:lang w:val="en-US" w:eastAsia="zh-CN"/>
                        </w:rPr>
                        <w:t xml:space="preserve">图1-1 </w:t>
                      </w:r>
                      <w:r>
                        <w:t>安全现状评价程序框</w:t>
                      </w:r>
                    </w:p>
                  </w:txbxContent>
                </v:textbox>
              </v:shape>
            </w:pict>
          </mc:Fallback>
        </mc:AlternateContent>
      </w:r>
      <w:r>
        <w:rPr>
          <w:rFonts w:hint="eastAsia"/>
          <w:color w:val="000000" w:themeColor="text1"/>
          <w14:textFill>
            <w14:solidFill>
              <w14:schemeClr w14:val="tx1"/>
            </w14:solidFill>
          </w14:textFill>
        </w:rPr>
        <w:br w:type="page"/>
      </w:r>
    </w:p>
    <w:p>
      <w:pPr>
        <w:pStyle w:val="2"/>
        <w:numPr>
          <w:ilvl w:val="0"/>
          <w:numId w:val="1"/>
        </w:numPr>
        <w:bidi w:val="0"/>
        <w:rPr>
          <w:rFonts w:hint="eastAsia"/>
          <w:color w:val="000000" w:themeColor="text1"/>
          <w14:textFill>
            <w14:solidFill>
              <w14:schemeClr w14:val="tx1"/>
            </w14:solidFill>
          </w14:textFill>
        </w:rPr>
      </w:pPr>
      <w:bookmarkStart w:id="15" w:name="_Toc4025"/>
      <w:r>
        <w:rPr>
          <w:rFonts w:hint="eastAsia"/>
          <w:color w:val="000000" w:themeColor="text1"/>
          <w14:textFill>
            <w14:solidFill>
              <w14:schemeClr w14:val="tx1"/>
            </w14:solidFill>
          </w14:textFill>
        </w:rPr>
        <w:t>尾矿库概况</w:t>
      </w:r>
      <w:bookmarkEnd w:id="15"/>
    </w:p>
    <w:p>
      <w:pPr>
        <w:pStyle w:val="3"/>
        <w:bidi w:val="0"/>
        <w:rPr>
          <w:rFonts w:hint="eastAsia"/>
          <w:color w:val="000000" w:themeColor="text1"/>
          <w14:textFill>
            <w14:solidFill>
              <w14:schemeClr w14:val="tx1"/>
            </w14:solidFill>
          </w14:textFill>
        </w:rPr>
      </w:pPr>
      <w:bookmarkStart w:id="16" w:name="_Toc14277"/>
      <w:r>
        <w:rPr>
          <w:rFonts w:hint="eastAsia"/>
          <w:color w:val="000000" w:themeColor="text1"/>
          <w14:textFill>
            <w14:solidFill>
              <w14:schemeClr w14:val="tx1"/>
            </w14:solidFill>
          </w14:textFill>
        </w:rPr>
        <w:t>2.1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企业简介</w:t>
      </w:r>
      <w:bookmarkEnd w:id="16"/>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江西盘古山钨业有限公司前身是盘古山钨矿，是一个有着100多年开采历史的老矿山。矿山发现于1918年，1919年开始开采，1954年收归国有，为大型钨铋矿床。2004年8月改制成立有限公司，现隶属于江西钨业控股集团有限公司，为国家二级企业。</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盘古山钨业设有党政办公室（党委宣传部、纪检监察室、工会办公室）、安全环保部、生产技术部、人力企管部（党委组织部）、财务部、供销部、保卫部等六部一室以及下辖三坑口、选矿厂两个二级单位，在册员工206人，</w:t>
      </w:r>
      <w:r>
        <w:rPr>
          <w:color w:val="000000" w:themeColor="text1"/>
          <w:sz w:val="28"/>
          <w:szCs w:val="28"/>
          <w14:textFill>
            <w14:solidFill>
              <w14:schemeClr w14:val="tx1"/>
            </w14:solidFill>
          </w14:textFill>
        </w:rPr>
        <w:t>各类专业技术人员</w:t>
      </w:r>
      <w:r>
        <w:rPr>
          <w:rFonts w:hint="eastAsia"/>
          <w:color w:val="000000" w:themeColor="text1"/>
          <w:sz w:val="28"/>
          <w:szCs w:val="28"/>
          <w14:textFill>
            <w14:solidFill>
              <w14:schemeClr w14:val="tx1"/>
            </w14:solidFill>
          </w14:textFill>
        </w:rPr>
        <w:t>（如</w:t>
      </w:r>
      <w:r>
        <w:rPr>
          <w:rFonts w:hint="eastAsia" w:ascii="Times New Roman" w:eastAsia="宋体"/>
          <w:color w:val="000000" w:themeColor="text1"/>
          <w:sz w:val="28"/>
          <w:szCs w:val="28"/>
          <w:lang w:val="en-US" w:eastAsia="zh-CN"/>
          <w14:textFill>
            <w14:solidFill>
              <w14:schemeClr w14:val="tx1"/>
            </w14:solidFill>
          </w14:textFill>
        </w:rPr>
        <w:t>采矿、</w:t>
      </w:r>
      <w:r>
        <w:rPr>
          <w:rFonts w:hint="eastAsia"/>
          <w:color w:val="000000" w:themeColor="text1"/>
          <w:sz w:val="28"/>
          <w:szCs w:val="28"/>
          <w14:textFill>
            <w14:solidFill>
              <w14:schemeClr w14:val="tx1"/>
            </w14:solidFill>
          </w14:textFill>
        </w:rPr>
        <w:t>地质、机电、</w:t>
      </w:r>
      <w:r>
        <w:rPr>
          <w:rFonts w:hint="eastAsia" w:ascii="Times New Roman" w:eastAsia="宋体"/>
          <w:color w:val="000000" w:themeColor="text1"/>
          <w:sz w:val="28"/>
          <w:szCs w:val="28"/>
          <w:lang w:val="en-US" w:eastAsia="zh-CN"/>
          <w14:textFill>
            <w14:solidFill>
              <w14:schemeClr w14:val="tx1"/>
            </w14:solidFill>
          </w14:textFill>
        </w:rPr>
        <w:t>选矿或</w:t>
      </w:r>
      <w:r>
        <w:rPr>
          <w:rFonts w:hint="eastAsia"/>
          <w:color w:val="000000" w:themeColor="text1"/>
          <w:sz w:val="28"/>
          <w:szCs w:val="28"/>
          <w14:textFill>
            <w14:solidFill>
              <w14:schemeClr w14:val="tx1"/>
            </w14:solidFill>
          </w14:textFill>
        </w:rPr>
        <w:t>矿物加工等）</w:t>
      </w:r>
      <w:r>
        <w:rPr>
          <w:rFonts w:hint="eastAsia"/>
          <w:color w:val="000000" w:themeColor="text1"/>
          <w:sz w:val="28"/>
          <w:szCs w:val="28"/>
          <w:lang w:val="en-US" w:eastAsia="zh-CN"/>
          <w14:textFill>
            <w14:solidFill>
              <w14:schemeClr w14:val="tx1"/>
            </w14:solidFill>
          </w14:textFill>
        </w:rPr>
        <w:t>55</w:t>
      </w:r>
      <w:r>
        <w:rPr>
          <w:color w:val="000000" w:themeColor="text1"/>
          <w:sz w:val="28"/>
          <w:szCs w:val="28"/>
          <w14:textFill>
            <w14:solidFill>
              <w14:schemeClr w14:val="tx1"/>
            </w14:solidFill>
          </w14:textFill>
        </w:rPr>
        <w:t>人，拥有高、中</w:t>
      </w:r>
      <w:r>
        <w:rPr>
          <w:rFonts w:hint="eastAsia"/>
          <w:color w:val="000000" w:themeColor="text1"/>
          <w:sz w:val="28"/>
          <w:szCs w:val="28"/>
          <w14:textFill>
            <w14:solidFill>
              <w14:schemeClr w14:val="tx1"/>
            </w14:solidFill>
          </w14:textFill>
        </w:rPr>
        <w:t>、初</w:t>
      </w:r>
      <w:r>
        <w:rPr>
          <w:color w:val="000000" w:themeColor="text1"/>
          <w:sz w:val="28"/>
          <w:szCs w:val="28"/>
          <w14:textFill>
            <w14:solidFill>
              <w14:schemeClr w14:val="tx1"/>
            </w14:solidFill>
          </w14:textFill>
        </w:rPr>
        <w:t>级职称</w:t>
      </w:r>
      <w:r>
        <w:rPr>
          <w:rFonts w:hint="eastAsia" w:ascii="Times New Roman" w:eastAsia="宋体"/>
          <w:color w:val="000000" w:themeColor="text1"/>
          <w:sz w:val="28"/>
          <w:szCs w:val="28"/>
          <w:lang w:val="en-US" w:eastAsia="zh-CN"/>
          <w14:textFill>
            <w14:solidFill>
              <w14:schemeClr w14:val="tx1"/>
            </w14:solidFill>
          </w14:textFill>
        </w:rPr>
        <w:t>证书2</w:t>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t>人</w:t>
      </w:r>
      <w:r>
        <w:rPr>
          <w:rFonts w:hint="eastAsia" w:eastAsia="宋体"/>
          <w:color w:val="000000" w:themeColor="text1"/>
          <w:sz w:val="28"/>
          <w:szCs w:val="28"/>
          <w:lang w:eastAsia="zh-CN"/>
          <w14:textFill>
            <w14:solidFill>
              <w14:schemeClr w14:val="tx1"/>
            </w14:solidFill>
          </w14:textFill>
        </w:rPr>
        <w:t>（</w:t>
      </w:r>
      <w:r>
        <w:rPr>
          <w:rFonts w:hint="eastAsia" w:ascii="Times New Roman" w:eastAsia="宋体"/>
          <w:color w:val="000000" w:themeColor="text1"/>
          <w:sz w:val="28"/>
          <w:szCs w:val="28"/>
          <w:lang w:val="en-US" w:eastAsia="zh-CN"/>
          <w14:textFill>
            <w14:solidFill>
              <w14:schemeClr w14:val="tx1"/>
            </w14:solidFill>
          </w14:textFill>
        </w:rPr>
        <w:t>其中</w:t>
      </w:r>
      <w:r>
        <w:rPr>
          <w:color w:val="000000" w:themeColor="text1"/>
          <w:sz w:val="28"/>
          <w:szCs w:val="28"/>
          <w14:textFill>
            <w14:solidFill>
              <w14:schemeClr w14:val="tx1"/>
            </w14:solidFill>
          </w14:textFill>
        </w:rPr>
        <w:t>高级</w:t>
      </w:r>
      <w:r>
        <w:rPr>
          <w:rFonts w:hint="eastAsia" w:ascii="Times New Roman" w:eastAsia="宋体"/>
          <w:color w:val="000000" w:themeColor="text1"/>
          <w:sz w:val="28"/>
          <w:szCs w:val="28"/>
          <w:lang w:val="en-US" w:eastAsia="zh-CN"/>
          <w14:textFill>
            <w14:solidFill>
              <w14:schemeClr w14:val="tx1"/>
            </w14:solidFill>
          </w14:textFill>
        </w:rPr>
        <w:t>2</w:t>
      </w:r>
      <w:r>
        <w:rPr>
          <w:color w:val="000000" w:themeColor="text1"/>
          <w:sz w:val="28"/>
          <w:szCs w:val="28"/>
          <w14:textFill>
            <w14:solidFill>
              <w14:schemeClr w14:val="tx1"/>
            </w14:solidFill>
          </w14:textFill>
        </w:rPr>
        <w:t>人、中级</w:t>
      </w:r>
      <w:r>
        <w:rPr>
          <w:rFonts w:hint="eastAsia"/>
          <w:color w:val="000000" w:themeColor="text1"/>
          <w:sz w:val="28"/>
          <w:szCs w:val="28"/>
          <w:lang w:val="en-US" w:eastAsia="zh-CN"/>
          <w14:textFill>
            <w14:solidFill>
              <w14:schemeClr w14:val="tx1"/>
            </w14:solidFill>
          </w14:textFill>
        </w:rPr>
        <w:t>7</w:t>
      </w:r>
      <w:r>
        <w:rPr>
          <w:color w:val="000000" w:themeColor="text1"/>
          <w:sz w:val="28"/>
          <w:szCs w:val="28"/>
          <w14:textFill>
            <w14:solidFill>
              <w14:schemeClr w14:val="tx1"/>
            </w14:solidFill>
          </w14:textFill>
        </w:rPr>
        <w:t>人</w:t>
      </w:r>
      <w:r>
        <w:rPr>
          <w:rFonts w:hint="eastAsia"/>
          <w:color w:val="000000" w:themeColor="text1"/>
          <w:sz w:val="28"/>
          <w:szCs w:val="28"/>
          <w14:textFill>
            <w14:solidFill>
              <w14:schemeClr w14:val="tx1"/>
            </w14:solidFill>
          </w14:textFill>
        </w:rPr>
        <w:t>、初</w:t>
      </w:r>
      <w:r>
        <w:rPr>
          <w:color w:val="000000" w:themeColor="text1"/>
          <w:sz w:val="28"/>
          <w:szCs w:val="28"/>
          <w14:textFill>
            <w14:solidFill>
              <w14:schemeClr w14:val="tx1"/>
            </w14:solidFill>
          </w14:textFill>
        </w:rPr>
        <w:t>级</w:t>
      </w:r>
      <w:r>
        <w:rPr>
          <w:rFonts w:hint="eastAsia"/>
          <w:color w:val="000000" w:themeColor="text1"/>
          <w:sz w:val="28"/>
          <w:szCs w:val="28"/>
          <w:lang w:val="en-US" w:eastAsia="zh-CN"/>
          <w14:textFill>
            <w14:solidFill>
              <w14:schemeClr w14:val="tx1"/>
            </w14:solidFill>
          </w14:textFill>
        </w:rPr>
        <w:t>17</w:t>
      </w:r>
      <w:r>
        <w:rPr>
          <w:color w:val="000000" w:themeColor="text1"/>
          <w:sz w:val="28"/>
          <w:szCs w:val="28"/>
          <w14:textFill>
            <w14:solidFill>
              <w14:schemeClr w14:val="tx1"/>
            </w14:solidFill>
          </w14:textFill>
        </w:rPr>
        <w:t>人</w:t>
      </w:r>
      <w:r>
        <w:rPr>
          <w:rFonts w:hint="eastAsia" w:eastAsia="宋体"/>
          <w:color w:val="000000" w:themeColor="text1"/>
          <w:sz w:val="28"/>
          <w:szCs w:val="28"/>
          <w:lang w:eastAsia="zh-CN"/>
          <w14:textFill>
            <w14:solidFill>
              <w14:schemeClr w14:val="tx1"/>
            </w14:solidFill>
          </w14:textFill>
        </w:rPr>
        <w:t>），</w:t>
      </w:r>
      <w:r>
        <w:rPr>
          <w:rFonts w:hint="eastAsia" w:ascii="Times New Roman" w:eastAsia="宋体"/>
          <w:color w:val="000000" w:themeColor="text1"/>
          <w:sz w:val="28"/>
          <w:szCs w:val="28"/>
          <w:lang w:val="en-US" w:eastAsia="zh-CN"/>
          <w14:textFill>
            <w14:solidFill>
              <w14:schemeClr w14:val="tx1"/>
            </w14:solidFill>
          </w14:textFill>
        </w:rPr>
        <w:t>注册安全工程师</w:t>
      </w:r>
      <w:r>
        <w:rPr>
          <w:rFonts w:hint="eastAsia"/>
          <w:color w:val="000000" w:themeColor="text1"/>
          <w:sz w:val="28"/>
          <w:szCs w:val="28"/>
          <w:lang w:val="en-US" w:eastAsia="zh-CN"/>
          <w14:textFill>
            <w14:solidFill>
              <w14:schemeClr w14:val="tx1"/>
            </w14:solidFill>
          </w14:textFill>
        </w:rPr>
        <w:t>2</w:t>
      </w:r>
      <w:r>
        <w:rPr>
          <w:rFonts w:hint="eastAsia" w:ascii="Times New Roman" w:eastAsia="宋体"/>
          <w:color w:val="000000" w:themeColor="text1"/>
          <w:sz w:val="28"/>
          <w:szCs w:val="28"/>
          <w:lang w:val="en-US" w:eastAsia="zh-CN"/>
          <w14:textFill>
            <w14:solidFill>
              <w14:schemeClr w14:val="tx1"/>
            </w14:solidFill>
          </w14:textFill>
        </w:rPr>
        <w:t>名</w:t>
      </w:r>
      <w:r>
        <w:rPr>
          <w:color w:val="000000" w:themeColor="text1"/>
          <w:sz w:val="28"/>
          <w:szCs w:val="28"/>
          <w14:textFill>
            <w14:solidFill>
              <w14:schemeClr w14:val="tx1"/>
            </w14:solidFill>
          </w14:textFill>
        </w:rPr>
        <w:t>。</w:t>
      </w:r>
      <w:r>
        <w:rPr>
          <w:rFonts w:hint="eastAsia"/>
          <w:color w:val="000000" w:themeColor="text1"/>
          <w:lang w:val="en-US" w:eastAsia="zh-CN"/>
          <w14:textFill>
            <w14:solidFill>
              <w14:schemeClr w14:val="tx1"/>
            </w14:solidFill>
          </w14:textFill>
        </w:rPr>
        <w:t>有一套地下开采系统和一座选矿厂及一座三等尾矿库，设计采选综合能力58.1万t/a，现实际处理原矿量650t/d，处理合格矿280t/d，年处理原矿约18.5万t/a。一天一班工作制，年产钨精矿约300t。</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矿山开采方法为地下开采，开拓方式采用平硐+盲竖井+盲斜井综合开拓方法，浅眼留矿法开采。历史上已形成东区：+1116.0m、+1070.0m、+1025.0m、+980.0m、+940.0m5个中段，南区+1012.0m、+970.0m、+960.0m、+899.0m、+882.0m、+831.0m、+761.0m、+696.0m、+635.0m、+585.0m、+535.0m、+485.0m、+435.0m、+385.0m、+335.0m、+275.0m、+215.0m、+155.0m、+95.0m、+35.0m等20个中段。目前+385.0m以上中段均已结束机械开采作业。现作业中段是+385.0m、+335.0m、+275.0m、+215.0m、+155.0m、+95.0m、+35.0m中段，其中+335.0m、+275.0m、+215.0m、+155.0m、+95.0m中段为主要生产中段，+35.0m中段为开拓探矿中段。主平硐标高为+335.0m。中段采用电机车运输、竖井采用罐笼提升、斜井采用串车提升；采用东、西两翼+下部中段辅扇接力抽出式通风方式；+335.0m及以上中段采用平硐自流排水，于+215.0m、+35.0m中段设置阶段主水泵房接替排水，实行双电源供配电。地下矿山废石堆场位于+335.0m平硐口200m外，西侧与尾矿库毗邻、南侧下方为选厂。</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选厂位于盘古山钨业总部西北侧约300m处。主要生产工艺流程是采用手选、重选、浮选、磁选联合流程。其中粗选采用全部脱泥，四级反手选，螺旋返砂进跳汰再脱泥流程，破碎用二段开路破碎流程。重选采用三级跳汰，七级台洗，一段大闭路磨矿，摇床中矿再磨再选。原矿细泥采用摇床+棉毯溜槽一粗二扫的组合流程，次生细泥则一粗一扫。精选段按粗、中、细三种不同粒度的粗精矿进行精选，利用台浮、机浮、磁选等方法。年尾矿量8.5万t，合5.31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（尾矿堆积干容重1.6t/m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尾矿粒径：﹣0.074mm占2.91%，加权平均粒径0.77mm。尾砾砂、粗砂：以尾砾砂为主，灰～灰白色，湿～饱和，稍密，大于0.5mm颗粒占55.01%～82.04%，中等透水。尾中砂：灰～灰白色，湿～很湿，稍密，大于0.25mm颗粒占55.86%～75.7%，中等透水。尾细砂、粉砂：以尾细砂为主，灰～灰白色，湿~很湿，稍密，大于0.075mm颗粒占54.01%～95.38%，中等透水。尾粉土、粘土：以尾粉土为主，灰～灰白色，湿～很湿，稍密，小于0.075mm颗粒占56.33%～89.4%。</w:t>
      </w:r>
    </w:p>
    <w:p>
      <w:pPr>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尾矿库位于盘古山钨业总部西部约300m的山脚，东距选矿厂约200m，东、南、西三面筑坝，为傍山型尾矿库，库长约800m，平均宽度约500m，分期建设。库区不压矿。</w:t>
      </w:r>
    </w:p>
    <w:p>
      <w:pPr>
        <w:pStyle w:val="3"/>
        <w:bidi w:val="0"/>
        <w:rPr>
          <w:rFonts w:hint="eastAsia"/>
          <w:color w:val="000000" w:themeColor="text1"/>
          <w:lang w:eastAsia="zh-CN"/>
          <w14:textFill>
            <w14:solidFill>
              <w14:schemeClr w14:val="tx1"/>
            </w14:solidFill>
          </w14:textFill>
        </w:rPr>
      </w:pPr>
      <w:bookmarkStart w:id="17" w:name="_Toc20739"/>
      <w:r>
        <w:rPr>
          <w:rFonts w:hint="eastAsia"/>
          <w:color w:val="000000" w:themeColor="text1"/>
          <w:lang w:eastAsia="zh-CN"/>
          <w14:textFill>
            <w14:solidFill>
              <w14:schemeClr w14:val="tx1"/>
            </w14:solidFill>
          </w14:textFill>
        </w:rPr>
        <w:t>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尾矿库概述</w:t>
      </w:r>
      <w:bookmarkEnd w:id="17"/>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盘古山钨业尾矿库</w:t>
      </w:r>
      <w:r>
        <w:rPr>
          <w:color w:val="000000" w:themeColor="text1"/>
          <w14:textFill>
            <w14:solidFill>
              <w14:schemeClr w14:val="tx1"/>
            </w14:solidFill>
          </w14:textFill>
        </w:rPr>
        <w:t>位于</w:t>
      </w:r>
      <w:r>
        <w:rPr>
          <w:rFonts w:hint="eastAsia"/>
          <w:color w:val="000000" w:themeColor="text1"/>
          <w14:textFill>
            <w14:solidFill>
              <w14:schemeClr w14:val="tx1"/>
            </w14:solidFill>
          </w14:textFill>
        </w:rPr>
        <w:t>于都县盘古山镇</w:t>
      </w:r>
      <w:r>
        <w:rPr>
          <w:color w:val="000000" w:themeColor="text1"/>
          <w14:textFill>
            <w14:solidFill>
              <w14:schemeClr w14:val="tx1"/>
            </w14:solidFill>
          </w14:textFill>
        </w:rPr>
        <w:t>，地理坐标</w:t>
      </w:r>
      <w:r>
        <w:rPr>
          <w:rFonts w:hint="eastAsia"/>
          <w:color w:val="000000" w:themeColor="text1"/>
          <w14:textFill>
            <w14:solidFill>
              <w14:schemeClr w14:val="tx1"/>
            </w14:solidFill>
          </w14:textFill>
        </w:rPr>
        <w:t>：东经</w:t>
      </w:r>
      <w:r>
        <w:rPr>
          <w:color w:val="000000" w:themeColor="text1"/>
          <w14:textFill>
            <w14:solidFill>
              <w14:schemeClr w14:val="tx1"/>
            </w14:solidFill>
          </w14:textFill>
        </w:rPr>
        <w:t>115</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′37″</w:t>
      </w:r>
      <w:r>
        <w:rPr>
          <w:color w:val="000000" w:themeColor="text1"/>
          <w14:textFill>
            <w14:solidFill>
              <w14:schemeClr w14:val="tx1"/>
            </w14:solidFill>
          </w14:textFill>
        </w:rPr>
        <w:t>，北纬2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9′10″，</w:t>
      </w:r>
      <w:r>
        <w:rPr>
          <w:color w:val="000000" w:themeColor="text1"/>
          <w14:textFill>
            <w14:solidFill>
              <w14:schemeClr w14:val="tx1"/>
            </w14:solidFill>
          </w14:textFill>
        </w:rPr>
        <w:t>有公路通往于都县城</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贡江镇</w:t>
      </w:r>
      <w:r>
        <w:rPr>
          <w:color w:val="000000" w:themeColor="text1"/>
          <w14:textFill>
            <w14:solidFill>
              <w14:schemeClr w14:val="tx1"/>
            </w14:solidFill>
          </w14:textFill>
        </w:rPr>
        <w:t>（53km）和赣州市（120km），与京九、京广、</w:t>
      </w:r>
      <w:r>
        <w:rPr>
          <w:rFonts w:hint="eastAsia"/>
          <w:color w:val="000000" w:themeColor="text1"/>
          <w14:textFill>
            <w14:solidFill>
              <w14:schemeClr w14:val="tx1"/>
            </w14:solidFill>
          </w14:textFill>
        </w:rPr>
        <w:t>浙</w:t>
      </w:r>
      <w:r>
        <w:rPr>
          <w:color w:val="000000" w:themeColor="text1"/>
          <w14:textFill>
            <w14:solidFill>
              <w14:schemeClr w14:val="tx1"/>
            </w14:solidFill>
          </w14:textFill>
        </w:rPr>
        <w:t>赣铁路沟通，</w:t>
      </w:r>
      <w:r>
        <w:rPr>
          <w:rFonts w:hint="eastAsia"/>
          <w:color w:val="000000" w:themeColor="text1"/>
          <w14:textFill>
            <w14:solidFill>
              <w14:schemeClr w14:val="tx1"/>
            </w14:solidFill>
          </w14:textFill>
        </w:rPr>
        <w:t>有昌韶高速（宁安段）靖石口距离盘古山镇</w:t>
      </w:r>
      <w:r>
        <w:rPr>
          <w:color w:val="000000" w:themeColor="text1"/>
          <w14:textFill>
            <w14:solidFill>
              <w14:schemeClr w14:val="tx1"/>
            </w14:solidFill>
          </w14:textFill>
        </w:rPr>
        <w:t>8km，交通便利。</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盘古山钨业尾矿库</w:t>
      </w:r>
      <w:r>
        <w:rPr>
          <w:color w:val="000000" w:themeColor="text1"/>
          <w14:textFill>
            <w14:solidFill>
              <w14:schemeClr w14:val="tx1"/>
            </w14:solidFill>
          </w14:textFill>
        </w:rPr>
        <w:t>始建于1954年，分一期、二期建设，堆积库容256.95万m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由于采用自流堆坝，有效库容率很低，为增加有效库容，</w:t>
      </w:r>
      <w:r>
        <w:rPr>
          <w:rFonts w:hint="eastAsia"/>
          <w:color w:val="000000" w:themeColor="text1"/>
          <w14:textFill>
            <w14:solidFill>
              <w14:schemeClr w14:val="tx1"/>
            </w14:solidFill>
          </w14:textFill>
        </w:rPr>
        <w:t>1969年江西省重工业局委托南昌有色冶金设计院设计，该院派员与矿方组成“三结合”设计小组，进行三期尾矿库工程设计，于1975年10月完成设计。</w:t>
      </w:r>
      <w:r>
        <w:rPr>
          <w:color w:val="000000" w:themeColor="text1"/>
          <w14:textFill>
            <w14:solidFill>
              <w14:schemeClr w14:val="tx1"/>
            </w14:solidFill>
          </w14:textFill>
        </w:rPr>
        <w:t>三期工程利用原有库址及向西部扩建，</w:t>
      </w:r>
      <w:r>
        <w:rPr>
          <w:rFonts w:hint="eastAsia"/>
          <w:color w:val="000000" w:themeColor="text1"/>
          <w14:textFill>
            <w14:solidFill>
              <w14:schemeClr w14:val="tx1"/>
            </w14:solidFill>
          </w14:textFill>
        </w:rPr>
        <w:t>最大坝高73.7m。</w:t>
      </w:r>
      <w:r>
        <w:rPr>
          <w:color w:val="000000" w:themeColor="text1"/>
          <w14:textFill>
            <w14:solidFill>
              <w14:schemeClr w14:val="tx1"/>
            </w14:solidFill>
          </w14:textFill>
        </w:rPr>
        <w:t>设计总库容为1410万m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，有效库容1128万m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（含一、二期库容），为</w:t>
      </w:r>
      <w:r>
        <w:rPr>
          <w:rFonts w:hint="eastAsia"/>
          <w:color w:val="000000" w:themeColor="text1"/>
          <w14:textFill>
            <w14:solidFill>
              <w14:schemeClr w14:val="tx1"/>
            </w14:solidFill>
          </w14:textFill>
        </w:rPr>
        <w:t>三</w:t>
      </w:r>
      <w:r>
        <w:rPr>
          <w:color w:val="000000" w:themeColor="text1"/>
          <w14:textFill>
            <w14:solidFill>
              <w14:schemeClr w14:val="tx1"/>
            </w14:solidFill>
          </w14:textFill>
        </w:rPr>
        <w:t>等库。</w:t>
      </w:r>
      <w:r>
        <w:rPr>
          <w:rFonts w:hint="eastAsia"/>
          <w:color w:val="000000" w:themeColor="text1"/>
          <w14:textFill>
            <w14:solidFill>
              <w14:schemeClr w14:val="tx1"/>
            </w14:solidFill>
          </w14:textFill>
        </w:rPr>
        <w:t>三期</w:t>
      </w:r>
      <w:r>
        <w:rPr>
          <w:color w:val="000000" w:themeColor="text1"/>
          <w14:textFill>
            <w14:solidFill>
              <w14:schemeClr w14:val="tx1"/>
            </w14:solidFill>
          </w14:textFill>
        </w:rPr>
        <w:t>工程于1976年10月动工，1</w:t>
      </w:r>
      <w:r>
        <w:rPr>
          <w:rFonts w:hint="eastAsia"/>
          <w:color w:val="000000" w:themeColor="text1"/>
          <w14:textFill>
            <w14:solidFill>
              <w14:schemeClr w14:val="tx1"/>
            </w14:solidFill>
          </w14:textFill>
        </w:rPr>
        <w:t>980年4月建成并投入使用，</w:t>
      </w:r>
      <w:r>
        <w:rPr>
          <w:color w:val="000000" w:themeColor="text1"/>
          <w14:textFill>
            <w14:solidFill>
              <w14:schemeClr w14:val="tx1"/>
            </w14:solidFill>
          </w14:textFill>
        </w:rPr>
        <w:t>地理位置在选矿厂西侧，东距选矿厂约</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m，东、南、西三面筑坝，北面以山为界，为傍山型尾矿库，库长约0.8km，平均宽度约</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尾矿坝</w:t>
      </w:r>
      <w:r>
        <w:rPr>
          <w:color w:val="000000" w:themeColor="text1"/>
          <w14:textFill>
            <w14:solidFill>
              <w14:schemeClr w14:val="tx1"/>
            </w14:solidFill>
          </w14:textFill>
        </w:rPr>
        <w:t>分期建设，初期坝为干砌块石坝，后</w:t>
      </w:r>
      <w:r>
        <w:rPr>
          <w:rFonts w:hint="eastAsia"/>
          <w:color w:val="000000" w:themeColor="text1"/>
          <w14:textFill>
            <w14:solidFill>
              <w14:schemeClr w14:val="tx1"/>
            </w14:solidFill>
          </w14:textFill>
        </w:rPr>
        <w:t>期</w:t>
      </w:r>
      <w:r>
        <w:rPr>
          <w:color w:val="000000" w:themeColor="text1"/>
          <w14:textFill>
            <w14:solidFill>
              <w14:schemeClr w14:val="tx1"/>
            </w14:solidFill>
          </w14:textFill>
        </w:rPr>
        <w:t>采用上游式尾矿堆坝</w:t>
      </w:r>
      <w:r>
        <w:rPr>
          <w:rFonts w:hint="eastAsia"/>
          <w:color w:val="000000" w:themeColor="text1"/>
          <w14:textFill>
            <w14:solidFill>
              <w14:schemeClr w14:val="tx1"/>
            </w14:solidFill>
          </w14:textFill>
        </w:rPr>
        <w:t>。</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盘古山钨业尾矿库于2006年3月取得了原江西省安全生产监督管理局颁发的《安全生产许可证》，证书编号：（赣）FM安许证字[2006]M0204号。</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2009年第一轮延期换证，尾矿坝</w:t>
      </w:r>
      <w:r>
        <w:rPr>
          <w:color w:val="000000" w:themeColor="text1"/>
          <w14:textFill>
            <w14:solidFill>
              <w14:schemeClr w14:val="tx1"/>
            </w14:solidFill>
          </w14:textFill>
        </w:rPr>
        <w:t>坝顶高程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1.40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～+310.45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最低处</w:t>
      </w:r>
      <w:r>
        <w:rPr>
          <w:color w:val="000000" w:themeColor="text1"/>
          <w14:textFill>
            <w14:solidFill>
              <w14:schemeClr w14:val="tx1"/>
            </w14:solidFill>
          </w14:textFill>
        </w:rPr>
        <w:t>坝高</w:t>
      </w:r>
      <w:r>
        <w:rPr>
          <w:rFonts w:hint="eastAsia"/>
          <w:color w:val="000000" w:themeColor="text1"/>
          <w14:textFill>
            <w14:solidFill>
              <w14:schemeClr w14:val="tx1"/>
            </w14:solidFill>
          </w14:textFill>
        </w:rPr>
        <w:t>18.1</w:t>
      </w:r>
      <w:r>
        <w:rPr>
          <w:color w:val="000000" w:themeColor="text1"/>
          <w14:textFill>
            <w14:solidFill>
              <w14:schemeClr w14:val="tx1"/>
            </w14:solidFill>
          </w14:textFill>
        </w:rPr>
        <w:t>m，已堆库容</w:t>
      </w:r>
      <w:r>
        <w:rPr>
          <w:rFonts w:hint="eastAsia"/>
          <w:color w:val="000000" w:themeColor="text1"/>
          <w14:textFill>
            <w14:solidFill>
              <w14:schemeClr w14:val="tx1"/>
            </w14:solidFill>
          </w14:textFill>
        </w:rPr>
        <w:t>约617.4万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。采用排水斜槽+</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框架式方形排水井+涵</w:t>
      </w:r>
      <w:r>
        <w:rPr>
          <w:rFonts w:hint="eastAsia"/>
          <w:color w:val="000000" w:themeColor="text1"/>
          <w14:textFill>
            <w14:solidFill>
              <w14:schemeClr w14:val="tx1"/>
            </w14:solidFill>
          </w14:textFill>
        </w:rPr>
        <w:t>洞</w:t>
      </w:r>
      <w:r>
        <w:rPr>
          <w:color w:val="000000" w:themeColor="text1"/>
          <w14:textFill>
            <w14:solidFill>
              <w14:schemeClr w14:val="tx1"/>
            </w14:solidFill>
          </w14:textFill>
        </w:rPr>
        <w:t>的排水系统。</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2012年第二轮延期换证，尾矿坝</w:t>
      </w:r>
      <w:r>
        <w:rPr>
          <w:color w:val="000000" w:themeColor="text1"/>
          <w14:textFill>
            <w14:solidFill>
              <w14:schemeClr w14:val="tx1"/>
            </w14:solidFill>
          </w14:textFill>
        </w:rPr>
        <w:t>坝顶高程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1.70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～+310.45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最低处</w:t>
      </w:r>
      <w:r>
        <w:rPr>
          <w:color w:val="000000" w:themeColor="text1"/>
          <w14:textFill>
            <w14:solidFill>
              <w14:schemeClr w14:val="tx1"/>
            </w14:solidFill>
          </w14:textFill>
        </w:rPr>
        <w:t>坝高</w:t>
      </w:r>
      <w:r>
        <w:rPr>
          <w:rFonts w:hint="eastAsia"/>
          <w:color w:val="000000" w:themeColor="text1"/>
          <w14:textFill>
            <w14:solidFill>
              <w14:schemeClr w14:val="tx1"/>
            </w14:solidFill>
          </w14:textFill>
        </w:rPr>
        <w:t>18.4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已堆存尾矿约628</w:t>
      </w:r>
      <w:r>
        <w:rPr>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。采用</w:t>
      </w:r>
      <w:r>
        <w:rPr>
          <w:color w:val="000000" w:themeColor="text1"/>
          <w14:textFill>
            <w14:solidFill>
              <w14:schemeClr w14:val="tx1"/>
            </w14:solidFill>
          </w14:textFill>
        </w:rPr>
        <w:t>排水斜槽+</w:t>
      </w:r>
      <w:r>
        <w:rPr>
          <w:rFonts w:hint="eastAsia"/>
          <w:color w:val="000000" w:themeColor="text1"/>
          <w14:textFill>
            <w14:solidFill>
              <w14:schemeClr w14:val="tx1"/>
            </w14:solidFill>
          </w14:textFill>
        </w:rPr>
        <w:t>2#框架式方形排水</w:t>
      </w:r>
      <w:r>
        <w:rPr>
          <w:color w:val="000000" w:themeColor="text1"/>
          <w14:textFill>
            <w14:solidFill>
              <w14:schemeClr w14:val="tx1"/>
            </w14:solidFill>
          </w14:textFill>
        </w:rPr>
        <w:t>井+</w:t>
      </w:r>
      <w:r>
        <w:rPr>
          <w:rFonts w:hint="eastAsia"/>
          <w:color w:val="000000" w:themeColor="text1"/>
          <w14:textFill>
            <w14:solidFill>
              <w14:schemeClr w14:val="tx1"/>
            </w14:solidFill>
          </w14:textFill>
        </w:rPr>
        <w:t>涵洞</w:t>
      </w:r>
      <w:r>
        <w:rPr>
          <w:color w:val="000000" w:themeColor="text1"/>
          <w14:textFill>
            <w14:solidFill>
              <w14:schemeClr w14:val="tx1"/>
            </w14:solidFill>
          </w14:textFill>
        </w:rPr>
        <w:t>的排水系统。</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2015年第三轮延期换证，尾矿坝</w:t>
      </w:r>
      <w:r>
        <w:rPr>
          <w:color w:val="000000" w:themeColor="text1"/>
          <w14:textFill>
            <w14:solidFill>
              <w14:schemeClr w14:val="tx1"/>
            </w14:solidFill>
          </w14:textFill>
        </w:rPr>
        <w:t>坝顶高程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3.90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～+310.45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最低处</w:t>
      </w:r>
      <w:r>
        <w:rPr>
          <w:color w:val="000000" w:themeColor="text1"/>
          <w14:textFill>
            <w14:solidFill>
              <w14:schemeClr w14:val="tx1"/>
            </w14:solidFill>
          </w14:textFill>
        </w:rPr>
        <w:t>坝高</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已堆存尾矿640</w:t>
      </w:r>
      <w:r>
        <w:rPr>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。采用原有</w:t>
      </w:r>
      <w:r>
        <w:rPr>
          <w:color w:val="000000" w:themeColor="text1"/>
          <w14:textFill>
            <w14:solidFill>
              <w14:schemeClr w14:val="tx1"/>
            </w14:solidFill>
          </w14:textFill>
        </w:rPr>
        <w:t>排水斜槽+</w:t>
      </w:r>
      <w:r>
        <w:rPr>
          <w:rFonts w:hint="eastAsia"/>
          <w:color w:val="000000" w:themeColor="text1"/>
          <w14:textFill>
            <w14:solidFill>
              <w14:schemeClr w14:val="tx1"/>
            </w14:solidFill>
          </w14:textFill>
        </w:rPr>
        <w:t>2#框架式方形排水</w:t>
      </w:r>
      <w:r>
        <w:rPr>
          <w:color w:val="000000" w:themeColor="text1"/>
          <w14:textFill>
            <w14:solidFill>
              <w14:schemeClr w14:val="tx1"/>
            </w14:solidFill>
          </w14:textFill>
        </w:rPr>
        <w:t>井+</w:t>
      </w:r>
      <w:r>
        <w:rPr>
          <w:rFonts w:hint="eastAsia"/>
          <w:color w:val="000000" w:themeColor="text1"/>
          <w14:textFill>
            <w14:solidFill>
              <w14:schemeClr w14:val="tx1"/>
            </w14:solidFill>
          </w14:textFill>
        </w:rPr>
        <w:t>涵洞的</w:t>
      </w:r>
      <w:r>
        <w:rPr>
          <w:color w:val="000000" w:themeColor="text1"/>
          <w14:textFill>
            <w14:solidFill>
              <w14:schemeClr w14:val="tx1"/>
            </w14:solidFill>
          </w14:textFill>
        </w:rPr>
        <w:t>排水系统</w:t>
      </w:r>
      <w:r>
        <w:rPr>
          <w:rFonts w:hint="eastAsia"/>
          <w:color w:val="000000" w:themeColor="text1"/>
          <w14:textFill>
            <w14:solidFill>
              <w14:schemeClr w14:val="tx1"/>
            </w14:solidFill>
          </w14:textFill>
        </w:rPr>
        <w:t>和新建的排水斜槽+框架式圆柱形排水</w:t>
      </w:r>
      <w:r>
        <w:rPr>
          <w:color w:val="000000" w:themeColor="text1"/>
          <w14:textFill>
            <w14:solidFill>
              <w14:schemeClr w14:val="tx1"/>
            </w14:solidFill>
          </w14:textFill>
        </w:rPr>
        <w:t>井</w:t>
      </w:r>
      <w:r>
        <w:rPr>
          <w:rFonts w:hint="eastAsia"/>
          <w:color w:val="000000" w:themeColor="text1"/>
          <w14:textFill>
            <w14:solidFill>
              <w14:schemeClr w14:val="tx1"/>
            </w14:solidFill>
          </w14:textFill>
        </w:rPr>
        <w:t>+排水管+排水明渠的排水系统以及截洪沟+涵管的清污分流设施联合排水</w:t>
      </w:r>
      <w:r>
        <w:rPr>
          <w:color w:val="000000" w:themeColor="text1"/>
          <w14:textFill>
            <w14:solidFill>
              <w14:schemeClr w14:val="tx1"/>
            </w14:solidFill>
          </w14:textFill>
        </w:rPr>
        <w:t>。</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2018年第四轮延期换证，尾矿坝</w:t>
      </w:r>
      <w:r>
        <w:rPr>
          <w:color w:val="000000" w:themeColor="text1"/>
          <w14:textFill>
            <w14:solidFill>
              <w14:schemeClr w14:val="tx1"/>
            </w14:solidFill>
          </w14:textFill>
        </w:rPr>
        <w:t>坝顶高程</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3.90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～+310.45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最低处</w:t>
      </w:r>
      <w:r>
        <w:rPr>
          <w:color w:val="000000" w:themeColor="text1"/>
          <w14:textFill>
            <w14:solidFill>
              <w14:schemeClr w14:val="tx1"/>
            </w14:solidFill>
          </w14:textFill>
        </w:rPr>
        <w:t>坝高</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已堆存尾矿654.7</w:t>
      </w:r>
      <w:r>
        <w:rPr>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。采用原有</w:t>
      </w:r>
      <w:r>
        <w:rPr>
          <w:color w:val="000000" w:themeColor="text1"/>
          <w14:textFill>
            <w14:solidFill>
              <w14:schemeClr w14:val="tx1"/>
            </w14:solidFill>
          </w14:textFill>
        </w:rPr>
        <w:t>排水斜槽+</w:t>
      </w:r>
      <w:r>
        <w:rPr>
          <w:rFonts w:hint="eastAsia"/>
          <w:color w:val="000000" w:themeColor="text1"/>
          <w14:textFill>
            <w14:solidFill>
              <w14:schemeClr w14:val="tx1"/>
            </w14:solidFill>
          </w14:textFill>
        </w:rPr>
        <w:t>2#框架式方形排水</w:t>
      </w:r>
      <w:r>
        <w:rPr>
          <w:color w:val="000000" w:themeColor="text1"/>
          <w14:textFill>
            <w14:solidFill>
              <w14:schemeClr w14:val="tx1"/>
            </w14:solidFill>
          </w14:textFill>
        </w:rPr>
        <w:t>井+</w:t>
      </w:r>
      <w:r>
        <w:rPr>
          <w:rFonts w:hint="eastAsia"/>
          <w:color w:val="000000" w:themeColor="text1"/>
          <w14:textFill>
            <w14:solidFill>
              <w14:schemeClr w14:val="tx1"/>
            </w14:solidFill>
          </w14:textFill>
        </w:rPr>
        <w:t>涵洞的</w:t>
      </w:r>
      <w:r>
        <w:rPr>
          <w:color w:val="000000" w:themeColor="text1"/>
          <w14:textFill>
            <w14:solidFill>
              <w14:schemeClr w14:val="tx1"/>
            </w14:solidFill>
          </w14:textFill>
        </w:rPr>
        <w:t>排水系统</w:t>
      </w:r>
      <w:r>
        <w:rPr>
          <w:rFonts w:hint="eastAsia"/>
          <w:color w:val="000000" w:themeColor="text1"/>
          <w14:textFill>
            <w14:solidFill>
              <w14:schemeClr w14:val="tx1"/>
            </w14:solidFill>
          </w14:textFill>
        </w:rPr>
        <w:t>和新建的排水斜槽+框架式圆柱形排水</w:t>
      </w:r>
      <w:r>
        <w:rPr>
          <w:color w:val="000000" w:themeColor="text1"/>
          <w14:textFill>
            <w14:solidFill>
              <w14:schemeClr w14:val="tx1"/>
            </w14:solidFill>
          </w14:textFill>
        </w:rPr>
        <w:t>井</w:t>
      </w:r>
      <w:r>
        <w:rPr>
          <w:rFonts w:hint="eastAsia"/>
          <w:color w:val="000000" w:themeColor="text1"/>
          <w14:textFill>
            <w14:solidFill>
              <w14:schemeClr w14:val="tx1"/>
            </w14:solidFill>
          </w14:textFill>
        </w:rPr>
        <w:t>+排水管+排水明渠的排水系统以及截洪沟+涵管的清污分流设施联合排水</w:t>
      </w:r>
      <w:r>
        <w:rPr>
          <w:color w:val="000000" w:themeColor="text1"/>
          <w14:textFill>
            <w14:solidFill>
              <w14:schemeClr w14:val="tx1"/>
            </w14:solidFill>
          </w14:textFill>
        </w:rPr>
        <w:t>。</w:t>
      </w:r>
    </w:p>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2021年</w:t>
      </w:r>
      <w:r>
        <w:rPr>
          <w:rFonts w:hint="eastAsia"/>
          <w:color w:val="000000" w:themeColor="text1"/>
          <w14:textFill>
            <w14:solidFill>
              <w14:schemeClr w14:val="tx1"/>
            </w14:solidFill>
          </w14:textFill>
        </w:rPr>
        <w:t>第五轮延期换证</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尾矿坝坝顶高程为+273.90</w:t>
      </w:r>
      <w:r>
        <w:rPr>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～+310.45m，最低处坝高20.6m，已堆存尾矿670.29万m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。采用原有排水斜槽+2#框架式方形排水井+涵洞的排水系统和新建的排水斜槽+框架式圆柱形排水井+排水管+排水明渠的排水系统以及截洪沟+涵管的清污分流设施联合排水。</w:t>
      </w:r>
      <w:r>
        <w:rPr>
          <w:rFonts w:hint="eastAsia"/>
          <w:color w:val="000000" w:themeColor="text1"/>
          <w14:textFill>
            <w14:solidFill>
              <w14:schemeClr w14:val="tx1"/>
            </w14:solidFill>
          </w14:textFill>
        </w:rPr>
        <w:t>本次属于第</w:t>
      </w:r>
      <w:r>
        <w:rPr>
          <w:rFonts w:hint="eastAsia"/>
          <w:color w:val="000000" w:themeColor="text1"/>
          <w:lang w:val="en-US" w:eastAsia="zh-CN"/>
          <w14:textFill>
            <w14:solidFill>
              <w14:schemeClr w14:val="tx1"/>
            </w14:solidFill>
          </w14:textFill>
        </w:rPr>
        <w:t>六</w:t>
      </w:r>
      <w:r>
        <w:rPr>
          <w:rFonts w:hint="eastAsia"/>
          <w:color w:val="000000" w:themeColor="text1"/>
          <w14:textFill>
            <w14:solidFill>
              <w14:schemeClr w14:val="tx1"/>
            </w14:solidFill>
          </w14:textFill>
        </w:rPr>
        <w:t>轮延期换证。</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确保尾矿库安全运行、整治安全隐患，2012年1月，长沙有色冶金设计研究院有限公司编制了《盘古山钨矿尾矿库隐患综合治理工程初步设计》《盘古山钨矿尾矿库隐患综合治理工程初步设计安全专篇》及施工图设计，通过了</w:t>
      </w:r>
      <w:r>
        <w:rPr>
          <w:rFonts w:hint="eastAsia"/>
          <w:color w:val="000000" w:themeColor="text1"/>
          <w:lang w:val="en-US" w:eastAsia="zh-CN"/>
          <w14:textFill>
            <w14:solidFill>
              <w14:schemeClr w14:val="tx1"/>
            </w14:solidFill>
          </w14:textFill>
        </w:rPr>
        <w:t>原</w:t>
      </w:r>
      <w:r>
        <w:rPr>
          <w:rFonts w:hint="eastAsia"/>
          <w:color w:val="000000" w:themeColor="text1"/>
          <w14:textFill>
            <w14:solidFill>
              <w14:schemeClr w14:val="tx1"/>
            </w14:solidFill>
          </w14:textFill>
        </w:rPr>
        <w:t>江西省安全生产监督管理局组织的专家组评审。盘古山钨业尾矿库隐患综合治理工程自2012年6月开工，至2013年12月完工。由江西有色冶金建设有限公司承担施工、由江西省水利工程监理公司承担施工监理、北京佳尔信息技术有限公司承担在线监测系统施工图设计及施工，总计投入资金2100余万元（其中使用国家隐患治理资金1450万元），主要工程内容：初期坝加高加固整治、堆积坝削坡覆土筑沟整治、增设排渗设施、新建排洪系统、增设尾矿库在线监测系统。2014年11月，江西省赣华安全科技有限公司编制了《盘古山钨矿尾矿库隐患综合治理工程安全验收评价报告》。盘古山钨矿尾矿库隐患综合治理工程安全设施通过了</w:t>
      </w:r>
      <w:r>
        <w:rPr>
          <w:rFonts w:hint="eastAsia"/>
          <w:color w:val="000000" w:themeColor="text1"/>
          <w:lang w:val="en-US" w:eastAsia="zh-CN"/>
          <w14:textFill>
            <w14:solidFill>
              <w14:schemeClr w14:val="tx1"/>
            </w14:solidFill>
          </w14:textFill>
        </w:rPr>
        <w:t>原</w:t>
      </w:r>
      <w:r>
        <w:rPr>
          <w:rFonts w:hint="eastAsia"/>
          <w:color w:val="000000" w:themeColor="text1"/>
          <w14:textFill>
            <w14:solidFill>
              <w14:schemeClr w14:val="tx1"/>
            </w14:solidFill>
          </w14:textFill>
        </w:rPr>
        <w:t>江西省安全生产监督管理局组织的专家组竣工验收。</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14</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原</w:t>
      </w:r>
      <w:r>
        <w:rPr>
          <w:rFonts w:hint="eastAsia"/>
          <w:color w:val="000000" w:themeColor="text1"/>
          <w14:textFill>
            <w14:solidFill>
              <w14:schemeClr w14:val="tx1"/>
            </w14:solidFill>
          </w14:textFill>
        </w:rPr>
        <w:t>江西省安全生产监督管理局下发</w:t>
      </w:r>
      <w:r>
        <w:rPr>
          <w:color w:val="000000" w:themeColor="text1"/>
          <w14:textFill>
            <w14:solidFill>
              <w14:schemeClr w14:val="tx1"/>
            </w14:solidFill>
          </w14:textFill>
        </w:rPr>
        <w:t>了《关于</w:t>
      </w:r>
      <w:r>
        <w:rPr>
          <w:rFonts w:hint="eastAsia"/>
          <w:color w:val="000000" w:themeColor="text1"/>
          <w14:textFill>
            <w14:solidFill>
              <w14:schemeClr w14:val="tx1"/>
            </w14:solidFill>
          </w14:textFill>
        </w:rPr>
        <w:t>盘古山钨矿</w:t>
      </w:r>
      <w:r>
        <w:rPr>
          <w:color w:val="000000" w:themeColor="text1"/>
          <w14:textFill>
            <w14:solidFill>
              <w14:schemeClr w14:val="tx1"/>
            </w14:solidFill>
          </w14:textFill>
        </w:rPr>
        <w:t>尾矿库隐患综合治理工程安全设施竣工验收的批复》（赣安监非煤项目验批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5〕15</w:t>
      </w:r>
      <w:r>
        <w:rPr>
          <w:color w:val="000000" w:themeColor="text1"/>
          <w14:textFill>
            <w14:solidFill>
              <w14:schemeClr w14:val="tx1"/>
            </w14:solidFill>
          </w14:textFill>
        </w:rPr>
        <w:t>号）。</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原</w:t>
      </w:r>
      <w:r>
        <w:rPr>
          <w:rFonts w:hint="eastAsia"/>
          <w:color w:val="000000" w:themeColor="text1"/>
          <w14:textFill>
            <w14:solidFill>
              <w14:schemeClr w14:val="tx1"/>
            </w14:solidFill>
          </w14:textFill>
        </w:rPr>
        <w:t>江西省安监局、江西省国土资源厅、江西省环境保护厅关于印发江西省2018年尾矿库“头顶库”治理工作方案的通知》《江西省安委会矿山安全专业委员会关于进一步加强尾矿库“头顶库”治理工作的通知》等文件要求，盘古山钨业于2018年6月编制的《江西盘古山钨业有限公司尾矿库“头顶库”治理方案》，通过了原江西省安全生产监督管理局组织的专家组评审。盘古山钨业按照该治理方案，积极组织施工，如期完成项目治理任务。江西钨业控股集团有限公司会同原于都县安全生产监督管理局，于2018年11月9日组织有关专家，对盘古山钨业尾矿库“头顶库”治理项目进行了现场验收。</w:t>
      </w:r>
    </w:p>
    <w:p>
      <w:pPr>
        <w:bidi w:val="0"/>
        <w:rPr>
          <w:rFonts w:hint="eastAsia" w:ascii="Times New Roman" w:hAnsi="Times New Roman" w:eastAsia="宋体" w:cs="Times New Roman"/>
          <w:color w:val="000000" w:themeColor="text1"/>
          <w:szCs w:val="28"/>
          <w14:textFill>
            <w14:solidFill>
              <w14:schemeClr w14:val="tx1"/>
            </w14:solidFill>
          </w14:textFill>
        </w:rPr>
      </w:pPr>
      <w:r>
        <w:rPr>
          <w:rFonts w:hint="eastAsia"/>
          <w:color w:val="000000" w:themeColor="text1"/>
          <w14:textFill>
            <w14:solidFill>
              <w14:schemeClr w14:val="tx1"/>
            </w14:solidFill>
          </w14:textFill>
        </w:rPr>
        <w:t>盘古山钨业尾矿库</w:t>
      </w:r>
      <w:r>
        <w:rPr>
          <w:color w:val="000000" w:themeColor="text1"/>
          <w14:textFill>
            <w14:solidFill>
              <w14:schemeClr w14:val="tx1"/>
            </w14:solidFill>
          </w14:textFill>
        </w:rPr>
        <w:t>基本情况调查见表</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表2-1</w:t>
      </w:r>
      <w:r>
        <w:rPr>
          <w:rFonts w:hint="eastAsia" w:ascii="Times New Roman" w:hAnsi="Times New Roman" w:eastAsia="宋体" w:cs="Times New Roman"/>
          <w:color w:val="000000" w:themeColor="text1"/>
          <w:szCs w:val="28"/>
          <w:lang w:val="en-US" w:eastAsia="zh-CN"/>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尾矿库基本情况调查表</w:t>
      </w:r>
    </w:p>
    <w:tbl>
      <w:tblPr>
        <w:tblStyle w:val="15"/>
        <w:tblW w:w="50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992"/>
        <w:gridCol w:w="2382"/>
        <w:gridCol w:w="1780"/>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企业名称</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江西盘古山钨业有限公司</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行业类别</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有色金属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尾矿库名称</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江西盘古山钨业有限公司尾矿库</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投产时间</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1954年9月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尾矿库地址</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于都县盘古山镇</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尾矿库服务期限</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设计单位</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南昌有色冶金设计研究院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隐患综合治理初步设计：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长沙有色冶金设计研究院有限公司</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审批单位</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隐患综合治理初步设计：</w:t>
            </w:r>
            <w:r>
              <w:rPr>
                <w:rFonts w:hint="eastAsia" w:cs="Times New Roman"/>
                <w:color w:val="000000" w:themeColor="text1"/>
                <w:sz w:val="21"/>
                <w:szCs w:val="21"/>
                <w:lang w:val="en-US" w:eastAsia="zh-CN"/>
                <w14:textFill>
                  <w14:solidFill>
                    <w14:schemeClr w14:val="tx1"/>
                  </w14:solidFill>
                </w14:textFill>
              </w:rPr>
              <w:t>原</w:t>
            </w:r>
            <w:r>
              <w:rPr>
                <w:rFonts w:hint="default" w:ascii="Times New Roman" w:hAnsi="Times New Roman" w:eastAsia="宋体" w:cs="Times New Roman"/>
                <w:color w:val="000000" w:themeColor="text1"/>
                <w:sz w:val="21"/>
                <w:szCs w:val="21"/>
                <w14:textFill>
                  <w14:solidFill>
                    <w14:schemeClr w14:val="tx1"/>
                  </w14:solidFill>
                </w14:textFill>
              </w:rPr>
              <w:t>江西省安全生产监督管理局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设计库容（万m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原1410，现1669</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已堆积库容（万m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设计主坝高（m）</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原73.7，现61.7</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目前主坝高（m）</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strike w:val="0"/>
                <w:dstrike w:val="0"/>
                <w:color w:val="000000" w:themeColor="text1"/>
                <w:sz w:val="21"/>
                <w:szCs w:val="21"/>
                <w:lang w:val="en-US" w:eastAsia="zh-CN"/>
                <w14:textFill>
                  <w14:solidFill>
                    <w14:schemeClr w14:val="tx1"/>
                  </w14:solidFill>
                </w14:textFill>
              </w:rPr>
              <w:t>最低处坝高20.7m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尾矿库等别</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现三等库，终期二等库</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库型</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傍山型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安全度分类</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正常库</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筑坝方式</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上游法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是否获得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安全生产许可证</w:t>
            </w:r>
          </w:p>
        </w:tc>
        <w:tc>
          <w:tcPr>
            <w:tcW w:w="1846"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974"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安全评价单位</w:t>
            </w:r>
          </w:p>
        </w:tc>
        <w:tc>
          <w:tcPr>
            <w:tcW w:w="1179"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江西赣安安全生产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科学技术咨询服务中心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1000" w:type="pct"/>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安全评价意见</w:t>
            </w:r>
          </w:p>
        </w:tc>
        <w:tc>
          <w:tcPr>
            <w:tcW w:w="3999" w:type="pct"/>
            <w:gridSpan w:val="4"/>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安全生产条件一般，能满足基本的生产活动，为正常库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trPr>
        <w:tc>
          <w:tcPr>
            <w:tcW w:w="1543"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尾矿库及库区存在的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主要安全问题</w:t>
            </w:r>
          </w:p>
        </w:tc>
        <w:tc>
          <w:tcPr>
            <w:tcW w:w="3456" w:type="pct"/>
            <w:gridSpan w:val="3"/>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尾矿库周边及下游有村庄。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543" w:type="pct"/>
            <w:gridSpan w:val="2"/>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近五年生产安全事故情况</w:t>
            </w:r>
          </w:p>
        </w:tc>
        <w:tc>
          <w:tcPr>
            <w:tcW w:w="3456" w:type="pct"/>
            <w:gridSpan w:val="3"/>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w:t>
            </w:r>
          </w:p>
        </w:tc>
      </w:tr>
    </w:tbl>
    <w:p>
      <w:pPr>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t>尾矿基础资料</w:t>
      </w:r>
      <w:r>
        <w:rPr>
          <w:rFonts w:hint="eastAsia"/>
          <w:color w:val="000000" w:themeColor="text1"/>
          <w14:textFill>
            <w14:solidFill>
              <w14:schemeClr w14:val="tx1"/>
            </w14:solidFill>
          </w14:textFill>
        </w:rPr>
        <w:t>如下：</w:t>
      </w:r>
    </w:p>
    <w:p>
      <w:pPr>
        <w:numPr>
          <w:ilvl w:val="0"/>
          <w:numId w:val="3"/>
        </w:numPr>
        <w:bidi w:val="0"/>
        <w:rPr>
          <w:color w:val="000000" w:themeColor="text1"/>
          <w14:textFill>
            <w14:solidFill>
              <w14:schemeClr w14:val="tx1"/>
            </w14:solidFill>
          </w14:textFill>
        </w:rPr>
      </w:pPr>
      <w:r>
        <w:rPr>
          <w:color w:val="000000" w:themeColor="text1"/>
          <w14:textFill>
            <w14:solidFill>
              <w14:schemeClr w14:val="tx1"/>
            </w14:solidFill>
          </w14:textFill>
        </w:rPr>
        <w:t>选厂生产规模660t/d；</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工作制度280d/a</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班</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选矿工艺</w:t>
      </w:r>
      <w:r>
        <w:rPr>
          <w:rFonts w:hint="eastAsia"/>
          <w:color w:val="000000" w:themeColor="text1"/>
          <w14:textFill>
            <w14:solidFill>
              <w14:schemeClr w14:val="tx1"/>
            </w14:solidFill>
          </w14:textFill>
        </w:rPr>
        <w:t>以</w:t>
      </w:r>
      <w:r>
        <w:rPr>
          <w:color w:val="000000" w:themeColor="text1"/>
          <w14:textFill>
            <w14:solidFill>
              <w14:schemeClr w14:val="tx1"/>
            </w14:solidFill>
          </w14:textFill>
        </w:rPr>
        <w:t>重选为主、磁选和吸附浮选为辅；</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尾矿产率46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numPr>
          <w:ilvl w:val="0"/>
          <w:numId w:val="3"/>
        </w:numPr>
        <w:bidi w:val="0"/>
        <w:ind w:left="0" w:leftChars="0" w:firstLine="560" w:firstLineChars="200"/>
        <w:rPr>
          <w:color w:val="000000" w:themeColor="text1"/>
          <w14:textFill>
            <w14:solidFill>
              <w14:schemeClr w14:val="tx1"/>
            </w14:solidFill>
          </w14:textFill>
        </w:rPr>
      </w:pPr>
      <w:bookmarkStart w:id="18" w:name="OLE_LINK3"/>
      <w:r>
        <w:rPr>
          <w:color w:val="000000" w:themeColor="text1"/>
          <w14:textFill>
            <w14:solidFill>
              <w14:schemeClr w14:val="tx1"/>
            </w14:solidFill>
          </w14:textFill>
        </w:rPr>
        <w:t>尾矿真比重2.7t/m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bookmarkEnd w:id="18"/>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尾矿堆积干容重1.6t/m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年尾矿量8.50</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t（5.31</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尾矿粒度：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200目2.91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400目0.43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；平均粒径0.77mm；</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尾矿排放浓度8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numPr>
          <w:ilvl w:val="0"/>
          <w:numId w:val="3"/>
        </w:numPr>
        <w:bidi w:val="0"/>
        <w:ind w:left="0" w:leftChars="0"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放矿流量0.036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0.045m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pPr>
        <w:numPr>
          <w:ilvl w:val="0"/>
          <w:numId w:val="3"/>
        </w:numPr>
        <w:bidi w:val="0"/>
        <w:ind w:left="0" w:leftChars="0" w:firstLine="560" w:firstLineChars="20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选矿厂尾矿出口标高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272.6m</w:t>
      </w:r>
      <w:r>
        <w:rPr>
          <w:rFonts w:hint="eastAsia"/>
          <w:color w:val="000000" w:themeColor="text1"/>
          <w:lang w:eastAsia="zh-CN"/>
          <w14:textFill>
            <w14:solidFill>
              <w14:schemeClr w14:val="tx1"/>
            </w14:solidFill>
          </w14:textFill>
        </w:rPr>
        <w:t>。</w:t>
      </w:r>
    </w:p>
    <w:p>
      <w:pPr>
        <w:pStyle w:val="4"/>
        <w:bidi w:val="0"/>
        <w:rPr>
          <w:rFonts w:hint="eastAsia"/>
          <w:color w:val="000000" w:themeColor="text1"/>
          <w:lang w:eastAsia="zh-CN"/>
          <w14:textFill>
            <w14:solidFill>
              <w14:schemeClr w14:val="tx1"/>
            </w14:solidFill>
          </w14:textFill>
        </w:rPr>
      </w:pPr>
      <w:bookmarkStart w:id="19" w:name="_Toc728"/>
      <w:r>
        <w:rPr>
          <w:rFonts w:hint="eastAsia"/>
          <w:color w:val="000000" w:themeColor="text1"/>
          <w:lang w:eastAsia="zh-CN"/>
          <w14:textFill>
            <w14:solidFill>
              <w14:schemeClr w14:val="tx1"/>
            </w14:solidFill>
          </w14:textFill>
        </w:rPr>
        <w:t>2.2.1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库区自然气候</w:t>
      </w:r>
      <w:bookmarkEnd w:id="19"/>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库区北高南低，为中低山地形，最低海拔+250m，北部龙王山主峰海拔最高+1219m，属亚热带季风湿润气候，气候温湿，四季分明，雨量充沛。年平均气温18.8℃～20.2℃，最高气温39.9℃，最低气温﹣4.5℃，平均降水量1546.8mm，全年蒸发量为1044.6mm。春冬雨季多西北风，秋夏多东南风，年平均风速1.0m/s，最大风力可达7级，一般2～3级。山地植被繁茂，历史最高洪水位为+257.5m，地震烈度6度。</w:t>
      </w:r>
    </w:p>
    <w:p>
      <w:pPr>
        <w:pStyle w:val="4"/>
        <w:bidi w:val="0"/>
        <w:rPr>
          <w:rFonts w:hint="eastAsia"/>
          <w:color w:val="000000" w:themeColor="text1"/>
          <w:lang w:eastAsia="zh-CN"/>
          <w14:textFill>
            <w14:solidFill>
              <w14:schemeClr w14:val="tx1"/>
            </w14:solidFill>
          </w14:textFill>
        </w:rPr>
      </w:pPr>
      <w:bookmarkStart w:id="20" w:name="_Toc8095"/>
      <w:r>
        <w:rPr>
          <w:rFonts w:hint="eastAsia"/>
          <w:color w:val="000000" w:themeColor="text1"/>
          <w:lang w:eastAsia="zh-CN"/>
          <w14:textFill>
            <w14:solidFill>
              <w14:schemeClr w14:val="tx1"/>
            </w14:solidFill>
          </w14:textFill>
        </w:rPr>
        <w:t>2.2.2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工程地质条件</w:t>
      </w:r>
      <w:bookmarkEnd w:id="20"/>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以下内容主要摘自地矿赣州地质工程勘察院的《盘古山钨矿尾矿库隐患综合治理工程工程地质勘察报告》。</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rFonts w:hint="eastAsia"/>
          <w:color w:val="000000" w:themeColor="text1"/>
          <w:lang w:eastAsia="zh-CN"/>
          <w14:textFill>
            <w14:solidFill>
              <w14:schemeClr w14:val="tx1"/>
            </w14:solidFill>
          </w14:textFill>
        </w:rPr>
        <w:t>地形地貌</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库区北边山体坡度较陡，山峦起伏，东、南、西三面筑坝，山体坡角一般为30°～45°，处于自然平衡状态，边坡稳定，不良地质作用不发育。</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 </w:t>
      </w:r>
      <w:r>
        <w:rPr>
          <w:rFonts w:hint="eastAsia"/>
          <w:color w:val="000000" w:themeColor="text1"/>
          <w:lang w:eastAsia="zh-CN"/>
          <w14:textFill>
            <w14:solidFill>
              <w14:schemeClr w14:val="tx1"/>
            </w14:solidFill>
          </w14:textFill>
        </w:rPr>
        <w:t>地层岩性</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地层有泥盆系上统中棚组及第四系。</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（1）泥盆系上统中棚组地层</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主要由石英砾岩，含砾石英粗砂岩，石英砂岩，页岩组成。</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（2）泥盆纪地层</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砾状粗砂岩夹石英质砂岩及薄层板岩分布于南坑山顶，其厚度30余米，具有明显的砾状结构，砾石主要由石英组成，此层以其岩性坚硬，不易风化而盘据山顶，与变质岩系呈不整合接触。</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）第四系：主要由砾石、砂、黄土、粘土，亚粘土等组成的冲积层，坡积层，残积层及人工堆积层。分布在河谷及间盆地。</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库区属低山丘陵剥蚀地貌类型，植被发育，地表调查，坝区基底地层为石英砾岩，含砾石英粗砂岩，石英砂岩，页岩组成。表部为第四系全新统冲、洪积、坡积覆盖层。库区未发现大的滑坡体存在，库区边坡基本稳定，未发现较大的断层、破碎带等，不存在软弱夹层、崩塌堆积物等不良地质现象。</w:t>
      </w:r>
    </w:p>
    <w:p>
      <w:pPr>
        <w:pStyle w:val="4"/>
        <w:bidi w:val="0"/>
        <w:rPr>
          <w:rFonts w:hint="eastAsia"/>
          <w:color w:val="000000" w:themeColor="text1"/>
          <w:lang w:eastAsia="zh-CN"/>
          <w14:textFill>
            <w14:solidFill>
              <w14:schemeClr w14:val="tx1"/>
            </w14:solidFill>
          </w14:textFill>
        </w:rPr>
      </w:pPr>
      <w:bookmarkStart w:id="21" w:name="_Toc29095"/>
      <w:r>
        <w:rPr>
          <w:rFonts w:hint="eastAsia"/>
          <w:color w:val="000000" w:themeColor="text1"/>
          <w:lang w:eastAsia="zh-CN"/>
          <w14:textFill>
            <w14:solidFill>
              <w14:schemeClr w14:val="tx1"/>
            </w14:solidFill>
          </w14:textFill>
        </w:rPr>
        <w:t>2.2.3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尾矿库库容</w:t>
      </w:r>
      <w:bookmarkEnd w:id="21"/>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根据矿方提供的资料，原设计尾矿库总库容1410万m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，隐患综合治理工程初步设计：总库容1669万m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，目前已堆库容</w:t>
      </w:r>
      <w:r>
        <w:rPr>
          <w:rFonts w:hint="eastAsia"/>
          <w:color w:val="000000" w:themeColor="text1"/>
          <w:lang w:val="en-US" w:eastAsia="zh-CN"/>
          <w14:textFill>
            <w14:solidFill>
              <w14:schemeClr w14:val="tx1"/>
            </w14:solidFill>
          </w14:textFill>
        </w:rPr>
        <w:t>672</w:t>
      </w:r>
      <w:r>
        <w:rPr>
          <w:rFonts w:hint="eastAsia"/>
          <w:color w:val="000000" w:themeColor="text1"/>
          <w:lang w:eastAsia="zh-CN"/>
          <w14:textFill>
            <w14:solidFill>
              <w14:schemeClr w14:val="tx1"/>
            </w14:solidFill>
          </w14:textFill>
        </w:rPr>
        <w:t>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w:t>
      </w:r>
    </w:p>
    <w:p>
      <w:pPr>
        <w:pStyle w:val="4"/>
        <w:bidi w:val="0"/>
        <w:rPr>
          <w:rFonts w:hint="eastAsia"/>
          <w:color w:val="000000" w:themeColor="text1"/>
          <w:lang w:eastAsia="zh-CN"/>
          <w14:textFill>
            <w14:solidFill>
              <w14:schemeClr w14:val="tx1"/>
            </w14:solidFill>
          </w14:textFill>
        </w:rPr>
      </w:pPr>
      <w:bookmarkStart w:id="22" w:name="_Toc1254"/>
      <w:r>
        <w:rPr>
          <w:rFonts w:hint="eastAsia"/>
          <w:color w:val="000000" w:themeColor="text1"/>
          <w:lang w:eastAsia="zh-CN"/>
          <w14:textFill>
            <w14:solidFill>
              <w14:schemeClr w14:val="tx1"/>
            </w14:solidFill>
          </w14:textFill>
        </w:rPr>
        <w:t>2.2.4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尾矿库等级</w:t>
      </w:r>
      <w:bookmarkEnd w:id="22"/>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原设计总坝高73.7m，总库容1410万m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，隐患综合治理工程初步设计：总坝高61.7m，总库容1669万m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，盘古山钨业尾矿库目前按</w:t>
      </w:r>
      <w:r>
        <w:rPr>
          <w:rFonts w:hint="eastAsia" w:ascii="宋体" w:hAnsi="宋体" w:eastAsia="宋体" w:cs="宋体"/>
          <w:color w:val="000000" w:themeColor="text1"/>
          <w:lang w:eastAsia="zh-CN"/>
          <w14:textFill>
            <w14:solidFill>
              <w14:schemeClr w14:val="tx1"/>
            </w14:solidFill>
          </w14:textFill>
        </w:rPr>
        <w:t>Ⅲ</w:t>
      </w:r>
      <w:r>
        <w:rPr>
          <w:rFonts w:hint="eastAsia"/>
          <w:color w:val="000000" w:themeColor="text1"/>
          <w:lang w:eastAsia="zh-CN"/>
          <w14:textFill>
            <w14:solidFill>
              <w14:schemeClr w14:val="tx1"/>
            </w14:solidFill>
          </w14:textFill>
        </w:rPr>
        <w:t>等库设防，终期按Ⅱ等库设防，主要构筑物级别2级，次要构筑物级别3级，临时构筑物级别4级。目前防洪标准按500年一遇设防，终期防洪标准按1000年一遇设防。安全超高0.7m、最小干滩长度70m。目前盘古山钨业尾矿库已堆库容</w:t>
      </w:r>
      <w:r>
        <w:rPr>
          <w:rFonts w:hint="eastAsia"/>
          <w:color w:val="000000" w:themeColor="text1"/>
          <w:lang w:val="en-US" w:eastAsia="zh-CN"/>
          <w14:textFill>
            <w14:solidFill>
              <w14:schemeClr w14:val="tx1"/>
            </w14:solidFill>
          </w14:textFill>
        </w:rPr>
        <w:t>672</w:t>
      </w:r>
      <w:r>
        <w:rPr>
          <w:rFonts w:hint="eastAsia"/>
          <w:color w:val="000000" w:themeColor="text1"/>
          <w:lang w:eastAsia="zh-CN"/>
          <w14:textFill>
            <w14:solidFill>
              <w14:schemeClr w14:val="tx1"/>
            </w14:solidFill>
          </w14:textFill>
        </w:rPr>
        <w:t>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，目前主坝最低处坝高</w:t>
      </w:r>
      <w:r>
        <w:rPr>
          <w:rFonts w:hint="eastAsia"/>
          <w:color w:val="000000" w:themeColor="text1"/>
          <w:lang w:val="en-US" w:eastAsia="zh-CN"/>
          <w14:textFill>
            <w14:solidFill>
              <w14:schemeClr w14:val="tx1"/>
            </w14:solidFill>
          </w14:textFill>
        </w:rPr>
        <w:t>20.7</w:t>
      </w:r>
      <w:r>
        <w:rPr>
          <w:rFonts w:hint="eastAsia"/>
          <w:color w:val="000000" w:themeColor="text1"/>
          <w:lang w:eastAsia="zh-CN"/>
          <w14:textFill>
            <w14:solidFill>
              <w14:schemeClr w14:val="tx1"/>
            </w14:solidFill>
          </w14:textFill>
        </w:rPr>
        <w:t>m，按《尾矿库安全规程》、《尾矿设施设计规范》的规定，该库属四等库，由于盘古山钨业尾矿库下游有盘古山镇，故其等别提高至三等库，库内主要水工构筑物为3级。</w:t>
      </w:r>
    </w:p>
    <w:p>
      <w:pPr>
        <w:pStyle w:val="4"/>
        <w:bidi w:val="0"/>
        <w:rPr>
          <w:rFonts w:hint="eastAsia"/>
          <w:color w:val="000000" w:themeColor="text1"/>
          <w:lang w:eastAsia="zh-CN"/>
          <w14:textFill>
            <w14:solidFill>
              <w14:schemeClr w14:val="tx1"/>
            </w14:solidFill>
          </w14:textFill>
        </w:rPr>
      </w:pPr>
      <w:bookmarkStart w:id="23" w:name="_Toc26581"/>
      <w:r>
        <w:rPr>
          <w:rFonts w:hint="eastAsia"/>
          <w:color w:val="000000" w:themeColor="text1"/>
          <w:lang w:eastAsia="zh-CN"/>
          <w14:textFill>
            <w14:solidFill>
              <w14:schemeClr w14:val="tx1"/>
            </w14:solidFill>
          </w14:textFill>
        </w:rPr>
        <w:t>2.2.5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尾矿坝</w:t>
      </w:r>
      <w:bookmarkEnd w:id="23"/>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rFonts w:hint="eastAsia"/>
          <w:color w:val="000000" w:themeColor="text1"/>
          <w:lang w:eastAsia="zh-CN"/>
          <w14:textFill>
            <w14:solidFill>
              <w14:schemeClr w14:val="tx1"/>
            </w14:solidFill>
          </w14:textFill>
        </w:rPr>
        <w:t>初期坝</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）设计情况</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初期坝采用干砌块石筑坝，北面靠山，东面利用二期坝，南、西两面围堤筑坝，坝总长1050m，坝基东南低西高，最高高程+270.5m，最低高程+253.3m，坝顶也是东南低西高，最高高程+270.6m，最低高程+259.3m，平均坝高6m，坝顶宽1.5m，内外坡比1∶1。</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隐患综合治理工程初步设计：采用干砌块石加固并加高南面、西面的初期坝坝顶至+260.0m，坝顶宽度加宽至2.0m，下游边坡1∶1.75。</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）现状检查情况</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初期坝为干砌块石坝，北面靠山，东面利用二期坝，南、西两面围堤筑坝，坝基东南低西高，最高高程+270.5m，最低高程+253.3m。盘古山钨业根据隐患综合治理工程初步设计要求，沿原初期坝东、南、西三面对初期坝进行了加高、加固，其中对坝顶标高低于+260.0m的坝段（如东、南面）采用干砌块石加高至+260.0m标高，坝顶加宽至2m，最大坝高6m；对坝顶标高高于+260.0m的坝段（如西面）也采用干砌块石加高0.5m，坝顶加宽至2m，下游边坡放缓至1∶1.75（局部地段为避免占用库外水泥公路而按</w:t>
      </w:r>
    </w:p>
    <w:p>
      <w:pPr>
        <w:ind w:left="0" w:lef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1∶1边坡自然连接）。</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现场检查，初期坝坝体符合设计要求，无沉陷、滑坡、裂缝、流土和管涌等现象，运行工况正常。</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与上一轮评价相比，初期坝无变化。</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 </w:t>
      </w:r>
      <w:r>
        <w:rPr>
          <w:rFonts w:hint="eastAsia"/>
          <w:color w:val="000000" w:themeColor="text1"/>
          <w:lang w:eastAsia="zh-CN"/>
          <w14:textFill>
            <w14:solidFill>
              <w14:schemeClr w14:val="tx1"/>
            </w14:solidFill>
          </w14:textFill>
        </w:rPr>
        <w:t>堆积坝</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）设计情况</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原设计尾矿堆积坝采用上游式筑坝，最终坝顶标高+327.0m，总坝高73.7m，平均外坡坡比为1∶5。要求植树护坡。</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隐患综合治理设计：尾矿堆积坝继续采用上游式筑坝，最终坝顶标高+315m，总坝高61.7m；根据现场实际平整坝坡，将陡于1∶3.8的坝坡削坡平整至1∶4以上，多余的尾砂用于填平坝面冲沟或运至库内，然后在平整后坝坡表面覆土30cm，植草绿化护坡。</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）现状检查情况</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尾矿堆积坝采用上游式筑坝，由于盘古山选厂排放的尾矿粒度较粗，加之盘古山钨业尾矿库东西两头距离较长，须有一定坡度，尾矿才能自流输送，以致堆积坝坝体东高西低明显。</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盘古山钨业根据隐患综合治理工程初步设计要求，对东侧堆积坝外坡进行了削坡处理，放坡至1∶4.02，东侧堆积坝最高标高+310.45m，西侧最低标高+27</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m，坝顶宽度5m；南、西侧堆积坝外坡进行了平整，外坡比分别为1∶4.88、1∶4.06。库内沉积滩坡度为0.28%～5.0%，其中西侧较缓，一般在0.5%左右，南侧尾矿沉积坡度一般在1.5%～4.5%。原下部堆积坝种植的松树护坡予以保留，遮挡风砂、避免扬尘引发矿群纠纷；上部外坡面已覆土、植被，植被长势良好。堆积坝外坡局部冲沟现象已落实了覆土回填。尾矿坝安全超高3.3m，干滩长度约280m，库内排水井水位标高+270.6m。整个堆积坝无滑坡、裂缝、流土、管涌、沼泽化等现象，运行工况正常。</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与上一轮评价相比，堆积坝</w:t>
      </w:r>
      <w:r>
        <w:rPr>
          <w:rFonts w:hint="eastAsia"/>
          <w:color w:val="000000" w:themeColor="text1"/>
          <w:lang w:val="en-US" w:eastAsia="zh-CN"/>
          <w14:textFill>
            <w14:solidFill>
              <w14:schemeClr w14:val="tx1"/>
            </w14:solidFill>
          </w14:textFill>
        </w:rPr>
        <w:t>西侧</w:t>
      </w:r>
      <w:r>
        <w:rPr>
          <w:rFonts w:hint="eastAsia"/>
          <w:color w:val="000000" w:themeColor="text1"/>
          <w:lang w:eastAsia="zh-CN"/>
          <w14:textFill>
            <w14:solidFill>
              <w14:schemeClr w14:val="tx1"/>
            </w14:solidFill>
          </w14:textFill>
        </w:rPr>
        <w:t>坝顶高程</w:t>
      </w:r>
      <w:r>
        <w:rPr>
          <w:rFonts w:hint="eastAsia"/>
          <w:color w:val="000000" w:themeColor="text1"/>
          <w:lang w:val="en-US" w:eastAsia="zh-CN"/>
          <w14:textFill>
            <w14:solidFill>
              <w14:schemeClr w14:val="tx1"/>
            </w14:solidFill>
          </w14:textFill>
        </w:rPr>
        <w:t>最低标高为+274m，比上一轮上升0.1m，东侧、南侧堆积坝坝顶高程没有发生变化</w:t>
      </w:r>
      <w:r>
        <w:rPr>
          <w:rFonts w:hint="eastAsia"/>
          <w:color w:val="000000" w:themeColor="text1"/>
          <w:lang w:eastAsia="zh-CN"/>
          <w14:textFill>
            <w14:solidFill>
              <w14:schemeClr w14:val="tx1"/>
            </w14:solidFill>
          </w14:textFill>
        </w:rPr>
        <w:t>，堆积坝外坡面植被</w:t>
      </w:r>
      <w:r>
        <w:rPr>
          <w:rFonts w:hint="eastAsia"/>
          <w:color w:val="000000" w:themeColor="text1"/>
          <w:lang w:val="en-US" w:eastAsia="zh-CN"/>
          <w14:textFill>
            <w14:solidFill>
              <w14:schemeClr w14:val="tx1"/>
            </w14:solidFill>
          </w14:textFill>
        </w:rPr>
        <w:t>比较</w:t>
      </w:r>
      <w:r>
        <w:rPr>
          <w:rFonts w:hint="eastAsia"/>
          <w:color w:val="000000" w:themeColor="text1"/>
          <w:lang w:eastAsia="zh-CN"/>
          <w14:textFill>
            <w14:solidFill>
              <w14:schemeClr w14:val="tx1"/>
            </w14:solidFill>
          </w14:textFill>
        </w:rPr>
        <w:t>茂密。</w:t>
      </w:r>
    </w:p>
    <w:p>
      <w:pPr>
        <w:pStyle w:val="4"/>
        <w:bidi w:val="0"/>
        <w:rPr>
          <w:rFonts w:hint="eastAsia"/>
          <w:color w:val="000000" w:themeColor="text1"/>
          <w:lang w:eastAsia="zh-CN"/>
          <w14:textFill>
            <w14:solidFill>
              <w14:schemeClr w14:val="tx1"/>
            </w14:solidFill>
          </w14:textFill>
        </w:rPr>
      </w:pPr>
      <w:bookmarkStart w:id="24" w:name="_Toc32499"/>
      <w:r>
        <w:rPr>
          <w:rFonts w:hint="eastAsia"/>
          <w:color w:val="000000" w:themeColor="text1"/>
          <w:lang w:eastAsia="zh-CN"/>
          <w14:textFill>
            <w14:solidFill>
              <w14:schemeClr w14:val="tx1"/>
            </w14:solidFill>
          </w14:textFill>
        </w:rPr>
        <w:t>2.2.6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坝体排渗设施、坝面排水设施</w:t>
      </w:r>
      <w:bookmarkEnd w:id="24"/>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rFonts w:hint="eastAsia"/>
          <w:color w:val="000000" w:themeColor="text1"/>
          <w:lang w:eastAsia="zh-CN"/>
          <w14:textFill>
            <w14:solidFill>
              <w14:schemeClr w14:val="tx1"/>
            </w14:solidFill>
          </w14:textFill>
        </w:rPr>
        <w:t>设计情况</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原设计无坝体排渗、坝面排水要求。</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隐患综合治理工程初步设计：新建坝肩、坝坡排水沟，均采用M7.5水泥砂浆浆砌块石结构。尾砂与山体相接处设坝肩排水沟，B×H=0.8m×0.8m，顺地形设置，从初期坝坝脚延伸至堆积坝顶；堆积坝每10m高差设一道平行于坝轴线的纵向坝坡排水沟，B×H=0.5m×0.5m；沿堆积坝轴线每50m设一道垂至于坝轴线的横向坝坡排水沟，B×H=0.5m×0.5m，将整个堆积坝坡面的降水引至初期坝坝脚B×H=0.8m×0.8m的排水沟，排水沟与涵洞出口下游排水渠连通，将堆积坝坡面降水引坝外排水渠。</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在加固后南面初期坝坝顶+260.0m沿坝轴线间距10m设置一根水平排渗管，合计60根。排渗管采用内径100mmUPVC管，长70m，纵坡1%，前端30m为集渗段，集渗段排渗管</w:t>
      </w:r>
      <w:r>
        <w:rPr>
          <w:rFonts w:hint="eastAsia"/>
          <w:color w:val="000000" w:themeColor="text1"/>
          <w:lang w:val="en-US" w:eastAsia="zh-CN"/>
          <w14:textFill>
            <w14:solidFill>
              <w14:schemeClr w14:val="tx1"/>
            </w14:solidFill>
          </w14:textFill>
        </w:rPr>
        <w:t>周围</w:t>
      </w:r>
      <w:r>
        <w:rPr>
          <w:rFonts w:hint="eastAsia"/>
          <w:color w:val="000000" w:themeColor="text1"/>
          <w:lang w:eastAsia="zh-CN"/>
          <w14:textFill>
            <w14:solidFill>
              <w14:schemeClr w14:val="tx1"/>
            </w14:solidFill>
          </w14:textFill>
        </w:rPr>
        <w:t>开4个1cm的孔，间距10cm，梅花型布置，管外包400g/m</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土工布两层并用铁丝扎紧，将坝体内尾矿渗透水及时引至初期坝坝脚排水沟再排往下游，排渗管出口1m范围内设400g/m</w:t>
      </w:r>
      <w:r>
        <w:rPr>
          <w:rFonts w:hint="eastAsia"/>
          <w:color w:val="000000" w:themeColor="text1"/>
          <w:vertAlign w:val="superscript"/>
          <w:lang w:eastAsia="zh-CN"/>
          <w14:textFill>
            <w14:solidFill>
              <w14:schemeClr w14:val="tx1"/>
            </w14:solidFill>
          </w14:textFill>
        </w:rPr>
        <w:t>2</w:t>
      </w:r>
      <w:r>
        <w:rPr>
          <w:rFonts w:hint="eastAsia"/>
          <w:color w:val="000000" w:themeColor="text1"/>
          <w:lang w:eastAsia="zh-CN"/>
          <w14:textFill>
            <w14:solidFill>
              <w14:schemeClr w14:val="tx1"/>
            </w14:solidFill>
          </w14:textFill>
        </w:rPr>
        <w:t>土工布包碎石作反滤层，防止渗水沿排渗管管壁渗出引起渗透破坏。</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2. </w:t>
      </w:r>
      <w:r>
        <w:rPr>
          <w:rFonts w:hint="eastAsia"/>
          <w:color w:val="000000" w:themeColor="text1"/>
          <w:lang w:eastAsia="zh-CN"/>
          <w14:textFill>
            <w14:solidFill>
              <w14:schemeClr w14:val="tx1"/>
            </w14:solidFill>
          </w14:textFill>
        </w:rPr>
        <w:t>现状检查情况</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检查情况：已按隐患综合治理工程初步设计要求修筑了M7.5水泥砂浆浆砌块石结构坝肩、坝坡排水沟。坝肩排水沟净断面B×H=0.8m×0.8m，纵向坝坡排水沟净断面B×H=0.5m×0.5m，个别坝肩排水沟由浆砌块石沟调整为Φ0.6m水泥涵管（大小口水泥砂浆连接）；沿堆积坝轴线每50m至200m不等设置了13道垂直于坝轴线的横向坝坡排水沟，B×H=0.5m×0.5m，其中横穿库内临时道路地段即马道排水明沟由浆砌块石沟调整为Φ0.4m水泥涵管暗沟，或者为减少树木砍伐而由浆砌块石沟调整为U型预制水泥槽，再将整个堆积坝坡面的降水引至初期坝坝脚B×H=0.8m×0.8m的排水沟，排水沟与涵洞出口下游排水渠连通。</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沿南侧初期坝坝顶、堆积坝坝脚垂直坝轴线间距10～20m埋设了17根4吋PE排渗管和跌水井，并与初期坝坝脚排水沟连通。个别排渗管有渗水流出，水量较小、水质清澈。</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与上一轮评价相比，坝体排渗设施、坝面排水设施无变化。</w:t>
      </w:r>
    </w:p>
    <w:p>
      <w:pPr>
        <w:pStyle w:val="4"/>
        <w:bidi w:val="0"/>
        <w:rPr>
          <w:rFonts w:hint="eastAsia"/>
          <w:color w:val="000000" w:themeColor="text1"/>
          <w:lang w:eastAsia="zh-CN"/>
          <w14:textFill>
            <w14:solidFill>
              <w14:schemeClr w14:val="tx1"/>
            </w14:solidFill>
          </w14:textFill>
        </w:rPr>
      </w:pPr>
      <w:bookmarkStart w:id="25" w:name="_Toc30731"/>
      <w:r>
        <w:rPr>
          <w:rFonts w:hint="eastAsia"/>
          <w:color w:val="000000" w:themeColor="text1"/>
          <w:lang w:eastAsia="zh-CN"/>
          <w14:textFill>
            <w14:solidFill>
              <w14:schemeClr w14:val="tx1"/>
            </w14:solidFill>
          </w14:textFill>
        </w:rPr>
        <w:t>2.2.7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排水构筑物</w:t>
      </w:r>
      <w:bookmarkEnd w:id="25"/>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 设计情况</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原设计采用排水斜槽+框架式方形排水井+涵洞的排水系统。斜槽为C20钢筋混凝土结构、单格矩形，断面1.0m×1.0m，纵坡44.2%。排水井</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座：1#排水井设在X=7648、Y=8220、+256.22m标高处，井高13.28m，2#排水井设在X=7919、Y=8243、+266.35m标高处，井高12.15m，3#排水井设在X=8016、Y=8400、+274.00m标高处，井高17m，各井均为方形钢筋砼结构，井内空1.6m×1.6m，每隔1m留4个1.0m×0.6m之溢流窗口。</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排水涵洞进口位于尾矿库北侧山坡，总长约728m，梯形，底宽1.1m、顶宽1.5m、高1.6m，钢筋砼结构，平均纵坡3%，连接各排水井及斜槽，出口标高+255.60m。</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隐患综合治理工程初步设计：在库区北侧山坡约+274.3m标高处新建一座C25现浇钢筋混凝土框架式排水井，井径D=3.0m，井高H=15m；斜槽从排水井井座沿东北方向顺地形坡度延伸至+315.0m标高，断面为圆形，D=1.5m，C25现浇钢筋混凝土结构；排水井以下采用现浇C25钢筋砼结构排水管延伸至西侧坝体外排水渠，管径D=1.5m，全长约380m，坡度1%；坝外排水渠B×H=1.5m×1.5m，沿初期坝外延伸至已建污水处理厂。</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在库区北侧沿+315.0m标高线修建一条C20钢筋混凝土结构截洪沟，B×H=1.5m×1.5m，全长约470m，将北侧山坡降水直接引至库外，实现尾矿库的清污分流。</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对原排水涵洞实施封堵：封堵上端位置为距涵洞出口约250m（已封堵1#排水井下游约46m）处；下端位置为距涵洞出口约45m（堆积坝约+265.3m标高）处，封堵段长205m。封堵段后部2m采用C20混凝土封堵，其余采用粗尾砂充填，顶部高水材料固结结顶。封堵混凝土墙前端设1.0m厚反滤层，采用土工布袋状碎石码砌，顶部设1根DN50排气管，底部设2根DN200排渗管。反滤层内管段每周开4个1cm的孔，间距5cm，梅花型布置，400g/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土工布包裹两层，铁丝扎紧，以排走涵洞内渗水。</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 现状检查情况</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经现场检查和查阅竣工资料及工程技术人员介绍，原排洪系统1</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排水井均为C20钢筋砼结构框架式排水井，内断面呈方形，1.6m×1.6m，每隔1m留4个1.0m×0.6m的溢流窗口。采用预制件进行盖封。1</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排水井井座面标高+257.62m，井筒顶标高+270.02m，高12.4m，对应砂面+271.23m，已于2001年10月在其井座上进行了封堵。2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排水井井座面标高+267.75m，井筒顶标高+280.15m，高12.4m，对应砂面+269.10m，2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排水井+排水涵洞在用。3</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排水井及斜槽尚未投入使用。3</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井座面标高+278.10m，井筒顶标高+291.10m，高13.0m。斜槽M7.5浆砌块石结构槽身，底板C15耐酸钢筋砼结构，梯形内断面，顶宽1.2m、底宽0.8m、高1.0m，局部损坏。排水涵洞墙身M7.5浆砌块石结构、底板C15耐酸钢筋砼结构、顶板C20耐酸钢筋砼结构，梯形边墙拱顶内断面，顶宽1.5m、底宽1.1m、高1.65m，出口底板高程+252.20m。生产期间，选矿废水集聚在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排水井附近，通过2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排水井+排水涵洞排向下游。</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沿库区北侧修建了清污分流设施：截洪沟+涵管，前段</w:t>
      </w:r>
      <w:r>
        <w:rPr>
          <w:rFonts w:hint="eastAsia"/>
          <w:color w:val="000000" w:themeColor="text1"/>
          <w:lang w:val="en-US" w:eastAsia="zh-CN"/>
          <w14:textFill>
            <w14:solidFill>
              <w14:schemeClr w14:val="tx1"/>
            </w14:solidFill>
          </w14:textFill>
        </w:rPr>
        <w:t>为</w:t>
      </w:r>
      <w:r>
        <w:rPr>
          <w:rFonts w:hint="default"/>
          <w:color w:val="000000" w:themeColor="text1"/>
          <w:lang w:val="en-US" w:eastAsia="zh-CN"/>
          <w14:textFill>
            <w14:solidFill>
              <w14:schemeClr w14:val="tx1"/>
            </w14:solidFill>
          </w14:textFill>
        </w:rPr>
        <w:t>浆砌块石结构，下游段C20钢筋砼结构，B×H=1.5m×1.5m，将北侧山坡降水直接引至库外（跨公路段埋设Φ1.5m水泥预制涵管）。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在库区北侧新建了排水斜槽+排水井+排水管，斜槽从排水井井座沿东北方向顺地形坡度延伸至+288.6m标高（因村民不让征地，只能施工到此标高），断面为圆形，D=1.5m，C25现浇钢筋混凝土结构；排水井C25现浇钢筋混凝土结构，井径D=3.0m，井座面标高+270m，井高H=15m，已在井座上盖封了3圈预制拱板，进水口最低高程为+270.6m，主要集聚停产期间应急排水。排水井以下采用现浇C25钢筋混凝土结构排水管延伸至西侧坝体外排水渠，管径D=1.5m，涵管上方埋设有两根PVC排水管；坝外排水渠B×H=1.0m×1.8m，沿初期坝外延伸至已建污水处理厂。</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经查阅盘古山钨业提供的资料，长沙有色冶金设计研究院有限公司2015年3月出具的《盘古山钨矿尾矿库隐患综合治理工程设计总结报告》，对新建排水井与排水斜槽启用高程做了如下说明：库内正常水位+271.0</w:t>
      </w:r>
      <w:r>
        <w:rPr>
          <w:rFonts w:hint="eastAsia"/>
          <w:color w:val="000000" w:themeColor="text1"/>
          <w:lang w:val="en-US" w:eastAsia="zh-CN"/>
          <w14:textFill>
            <w14:solidFill>
              <w14:schemeClr w14:val="tx1"/>
            </w14:solidFill>
          </w14:textFill>
        </w:rPr>
        <w:t>m</w:t>
      </w:r>
      <w:r>
        <w:rPr>
          <w:rFonts w:hint="default"/>
          <w:color w:val="000000" w:themeColor="text1"/>
          <w:lang w:val="en-US" w:eastAsia="zh-CN"/>
          <w14:textFill>
            <w14:solidFill>
              <w14:schemeClr w14:val="tx1"/>
            </w14:solidFill>
          </w14:textFill>
        </w:rPr>
        <w:t>～+284.0m标高期间启用新建排水井，正常水位+284.0m至终期启用排水斜槽。据此，原排水涵洞待2#排水井使用至+271.0m标高时予以封堵。目前库内水位在+270.6m标高，盘古山钨业暂未封堵原排水涵洞。也即盘古山钨业尾矿库库内仍采用排水斜槽+框架式方形排水井+涵洞和新建的排水斜槽+排水井+排水管两套排水系统排洪排水，以及库外截洪沟+涵管的清污分流排水系统排山水。</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除</w:t>
      </w:r>
      <w:r>
        <w:rPr>
          <w:rFonts w:hint="default"/>
          <w:color w:val="000000" w:themeColor="text1"/>
          <w:lang w:val="en-US" w:eastAsia="zh-CN"/>
          <w14:textFill>
            <w14:solidFill>
              <w14:schemeClr w14:val="tx1"/>
            </w14:solidFill>
          </w14:textFill>
        </w:rPr>
        <w:t>原排水涵洞及原排水斜槽与原设计不符外，库内外其余各排水构筑物均无堵塞、坍塌、裂缝、变形、腐蚀或磨蚀等现象。库内两套排水系统以及清污分流设施运行状况均正常。</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与上一轮评价相比，各排水构筑物无变化，库水位无变化。</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2021年5月，江西盘古山钨业有限公司委托江西衡宇工程质量检测有限公司，</w:t>
      </w:r>
      <w:r>
        <w:rPr>
          <w:rFonts w:hint="eastAsia"/>
          <w:color w:val="000000" w:themeColor="text1"/>
          <w:lang w:val="en-US" w:eastAsia="zh-CN"/>
          <w14:textFill>
            <w14:solidFill>
              <w14:schemeClr w14:val="tx1"/>
            </w14:solidFill>
          </w14:textFill>
        </w:rPr>
        <w:t>对</w:t>
      </w:r>
      <w:r>
        <w:rPr>
          <w:rFonts w:hint="default"/>
          <w:color w:val="000000" w:themeColor="text1"/>
          <w:lang w:val="en-US" w:eastAsia="zh-CN"/>
          <w14:textFill>
            <w14:solidFill>
              <w14:schemeClr w14:val="tx1"/>
            </w14:solidFill>
          </w14:textFill>
        </w:rPr>
        <w:t>江西盘古山钨业有限公司盘古山尾矿库的排水系统进行了质量检测，出具了《江西盘古山钨业有限公司尾矿库排洪构筑物检测报告》，检测成果表明：排洪构筑物工程所检测的10组混凝</w:t>
      </w:r>
      <w:r>
        <w:rPr>
          <w:rFonts w:hint="eastAsia"/>
          <w:color w:val="000000" w:themeColor="text1"/>
          <w:lang w:val="en-US" w:eastAsia="zh-CN"/>
          <w14:textFill>
            <w14:solidFill>
              <w14:schemeClr w14:val="tx1"/>
            </w14:solidFill>
          </w14:textFill>
        </w:rPr>
        <w:t>土（</w:t>
      </w:r>
      <w:r>
        <w:rPr>
          <w:rFonts w:hint="default"/>
          <w:color w:val="000000" w:themeColor="text1"/>
          <w:lang w:val="en-US" w:eastAsia="zh-CN"/>
          <w14:textFill>
            <w14:solidFill>
              <w14:schemeClr w14:val="tx1"/>
            </w14:solidFill>
          </w14:textFill>
        </w:rPr>
        <w:t>回弹法</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的抗压强度均大于设计值，满足设计要求</w:t>
      </w:r>
      <w:r>
        <w:rPr>
          <w:rFonts w:hint="eastAsia"/>
          <w:color w:val="000000" w:themeColor="text1"/>
          <w:lang w:val="en-US" w:eastAsia="zh-CN"/>
          <w14:textFill>
            <w14:solidFill>
              <w14:schemeClr w14:val="tx1"/>
            </w14:solidFill>
          </w14:textFill>
        </w:rPr>
        <w:t>；排洪构筑物工程所检测的10组钢筋混凝土保护层厚度（电磁感应法）的实测值均满足设计或规范要求；排洪构筑物工程所检测的6组钢筋间距（电磁感应法）的实测值均满足设计或规范要求。</w:t>
      </w:r>
    </w:p>
    <w:p>
      <w:pPr>
        <w:pStyle w:val="4"/>
        <w:bidi w:val="0"/>
        <w:rPr>
          <w:rFonts w:hint="eastAsia"/>
          <w:color w:val="000000" w:themeColor="text1"/>
          <w:lang w:eastAsia="zh-CN"/>
          <w14:textFill>
            <w14:solidFill>
              <w14:schemeClr w14:val="tx1"/>
            </w14:solidFill>
          </w14:textFill>
        </w:rPr>
      </w:pPr>
      <w:bookmarkStart w:id="26" w:name="_Toc5852"/>
      <w:r>
        <w:rPr>
          <w:rFonts w:hint="eastAsia"/>
          <w:color w:val="000000" w:themeColor="text1"/>
          <w:lang w:eastAsia="zh-CN"/>
          <w14:textFill>
            <w14:solidFill>
              <w14:schemeClr w14:val="tx1"/>
            </w14:solidFill>
          </w14:textFill>
        </w:rPr>
        <w:t>2.2.8</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安全监测设施</w:t>
      </w:r>
      <w:bookmarkEnd w:id="26"/>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现场已按隐患综合治理工程初步设计要求，构建了：</w:t>
      </w:r>
    </w:p>
    <w:p>
      <w:pPr>
        <w:numPr>
          <w:ilvl w:val="0"/>
          <w:numId w:val="4"/>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在堆积坝上埋设了坝体人工沉降位移、浸润线观测装置，并进行了观测。</w:t>
      </w:r>
    </w:p>
    <w:p>
      <w:pPr>
        <w:numPr>
          <w:ilvl w:val="0"/>
          <w:numId w:val="4"/>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水位观测标尺直接用红漆标注在2#排水井及新建排水井立柱上。</w:t>
      </w:r>
    </w:p>
    <w:p>
      <w:pPr>
        <w:numPr>
          <w:ilvl w:val="0"/>
          <w:numId w:val="4"/>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在堆积坝上设置了3处坝体表面位移监控仪、3处干滩长度监测点、3处浸润线监测点、在新建排水井安设了库水位监测仪、在库区值班房顶设雨量计、环库区7处设视频探头等5类尾矿库自动化安全监测预警设施。</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尾矿库在线监测系统由库区机房、坝体位移监测、浸润线监测、库水位监测、降雨量监测、库区视频监控、调度指挥中心等组成，盘古山钨业尾矿库在线安全监测预警系统接入了省级尾矿库安全生产风险监测预警平台，实现了数据共享、互联互通，与国家灾害风险综合监测预警信息平台的对接。实现了环境监测、安全监管数据共享。</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与上一轮评价相比，盘古山钨业尾矿库人工安全监测设施无变化，在线监测系统增设了浸润线监测，系统运行工况均正常。</w:t>
      </w:r>
    </w:p>
    <w:p>
      <w:pPr>
        <w:pStyle w:val="4"/>
        <w:bidi w:val="0"/>
        <w:rPr>
          <w:rFonts w:hint="eastAsia"/>
          <w:color w:val="000000" w:themeColor="text1"/>
          <w:lang w:eastAsia="zh-CN"/>
          <w14:textFill>
            <w14:solidFill>
              <w14:schemeClr w14:val="tx1"/>
            </w14:solidFill>
          </w14:textFill>
        </w:rPr>
      </w:pPr>
      <w:bookmarkStart w:id="27" w:name="_Toc3022"/>
      <w:r>
        <w:rPr>
          <w:rFonts w:hint="eastAsia"/>
          <w:color w:val="000000" w:themeColor="text1"/>
          <w:lang w:eastAsia="zh-CN"/>
          <w14:textFill>
            <w14:solidFill>
              <w14:schemeClr w14:val="tx1"/>
            </w14:solidFill>
          </w14:textFill>
        </w:rPr>
        <w:t>2.2.9</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尾矿库辅助设施</w:t>
      </w:r>
      <w:bookmarkEnd w:id="27"/>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尾矿值班观测室设在尾矿库东北侧</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315.0m标高山坡，距坝顶15m。尾矿工主要通过固定电话及移动电话和选厂及公司调度保持联系。</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设置了应急物资库，配备了各类应急物资，如木尖、铁锤、铁丝、土工布、编织袋、土箕、铁锹、报警器、救生衣、救生圈、雨衣、应急灯、手动葫芦、排水泵、备用电源等。</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设立了尾矿库安全运行牌和安全警示牌。</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设置了坝体照明设施。</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从矿区及选厂各有一条公路直通尾矿库，可以满足尾矿库应急抢险用。</w:t>
      </w:r>
    </w:p>
    <w:p>
      <w:pPr>
        <w:pStyle w:val="4"/>
        <w:bidi w:val="0"/>
        <w:rPr>
          <w:rFonts w:hint="eastAsia"/>
          <w:color w:val="000000" w:themeColor="text1"/>
          <w:lang w:val="en-US" w:eastAsia="zh-CN"/>
          <w14:textFill>
            <w14:solidFill>
              <w14:schemeClr w14:val="tx1"/>
            </w14:solidFill>
          </w14:textFill>
        </w:rPr>
      </w:pPr>
      <w:bookmarkStart w:id="28" w:name="_Toc10674"/>
      <w:r>
        <w:rPr>
          <w:rFonts w:hint="eastAsia"/>
          <w:color w:val="000000" w:themeColor="text1"/>
          <w:lang w:val="en-US" w:eastAsia="zh-CN"/>
          <w14:textFill>
            <w14:solidFill>
              <w14:schemeClr w14:val="tx1"/>
            </w14:solidFill>
          </w14:textFill>
        </w:rPr>
        <w:t>2.2.10 放矿工艺</w:t>
      </w:r>
      <w:bookmarkEnd w:id="28"/>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尾矿由选厂经6寸衬胶泵扬至库东侧+311.5m标高缓冲池后，再经φ250mm铸铁管沿坝轴线自流输送至库内堆积坝前放矿堆坝，废水经自然沉降后通过排水井+排水涵洞，进入选矿废水处理系统处理后达标排入下游，尾砂堆积在库内。在库区北侧设有一条尾砂应急排放自流沟，停产期间的溢流水通过此沟排入库内，由新建排水井+排水涵管进入选矿废水处理系统处理后达标排入下游。</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与上一轮评价相比，放矿工艺、尾矿粒径没变化。</w:t>
      </w:r>
    </w:p>
    <w:p>
      <w:pPr>
        <w:pStyle w:val="3"/>
        <w:bidi w:val="0"/>
        <w:rPr>
          <w:rFonts w:hint="eastAsia"/>
          <w:color w:val="000000" w:themeColor="text1"/>
          <w:lang w:eastAsia="zh-CN"/>
          <w14:textFill>
            <w14:solidFill>
              <w14:schemeClr w14:val="tx1"/>
            </w14:solidFill>
          </w14:textFill>
        </w:rPr>
      </w:pPr>
      <w:bookmarkStart w:id="29" w:name="_Toc18186"/>
      <w:r>
        <w:rPr>
          <w:rFonts w:hint="eastAsia"/>
          <w:color w:val="000000" w:themeColor="text1"/>
          <w:lang w:eastAsia="zh-CN"/>
          <w14:textFill>
            <w14:solidFill>
              <w14:schemeClr w14:val="tx1"/>
            </w14:solidFill>
          </w14:textFill>
        </w:rPr>
        <w:t>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安全综合管理</w:t>
      </w:r>
      <w:bookmarkEnd w:id="29"/>
    </w:p>
    <w:p>
      <w:pPr>
        <w:pStyle w:val="4"/>
        <w:bidi w:val="0"/>
        <w:rPr>
          <w:rFonts w:hint="eastAsia"/>
          <w:color w:val="000000" w:themeColor="text1"/>
          <w:lang w:eastAsia="zh-CN"/>
          <w14:textFill>
            <w14:solidFill>
              <w14:schemeClr w14:val="tx1"/>
            </w14:solidFill>
          </w14:textFill>
        </w:rPr>
      </w:pPr>
      <w:bookmarkStart w:id="30" w:name="_Toc616"/>
      <w:r>
        <w:rPr>
          <w:rFonts w:hint="eastAsia"/>
          <w:color w:val="000000" w:themeColor="text1"/>
          <w:lang w:eastAsia="zh-CN"/>
          <w14:textFill>
            <w14:solidFill>
              <w14:schemeClr w14:val="tx1"/>
            </w14:solidFill>
          </w14:textFill>
        </w:rPr>
        <w:t>2.3.1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安全机构设置</w:t>
      </w:r>
      <w:bookmarkEnd w:id="30"/>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盘古山钨业设立了安全生产委员会，由党委书记任主任，总经理任常务副主任、副总经理任副主任，成员由各部室、二级生产单位负责人以及员工代表组成。安委会全面负责公司安全生产工作。</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盘古山钨业设有安全环保部，设安全副主任1人，科员2人，负责公司安全生产日常工作。</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二级生产单位设有安全组，设专职安全员1人，负责各生产单位安全生产日常工作。</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坑口采掘工区各班组设专职安全工1人；地面工段及各生产班级设兼职安全工1人。班组配有“两长五员”。</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尾矿库由选厂负责安全管理，重选工段负责日常现场安全管理。</w:t>
      </w:r>
    </w:p>
    <w:p>
      <w:pPr>
        <w:pStyle w:val="4"/>
        <w:bidi w:val="0"/>
        <w:rPr>
          <w:rFonts w:hint="eastAsia"/>
          <w:color w:val="000000" w:themeColor="text1"/>
          <w:lang w:eastAsia="zh-CN"/>
          <w14:textFill>
            <w14:solidFill>
              <w14:schemeClr w14:val="tx1"/>
            </w14:solidFill>
          </w14:textFill>
        </w:rPr>
      </w:pPr>
      <w:bookmarkStart w:id="31" w:name="_Toc27852"/>
      <w:r>
        <w:rPr>
          <w:rFonts w:hint="eastAsia"/>
          <w:color w:val="000000" w:themeColor="text1"/>
          <w:lang w:eastAsia="zh-CN"/>
          <w14:textFill>
            <w14:solidFill>
              <w14:schemeClr w14:val="tx1"/>
            </w14:solidFill>
          </w14:textFill>
        </w:rPr>
        <w:t>2.3.2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安全生产责任制</w:t>
      </w:r>
      <w:bookmarkEnd w:id="31"/>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盘古山钨业建立健全了包括主要负责人、分管负责人、安全生产管理人员、职能部门以及岗位在内各级人员和部门的安全生产责任制。并就各级安全生产责任制落实情况进行了严格的奖惩考核。</w:t>
      </w:r>
    </w:p>
    <w:p>
      <w:pPr>
        <w:pStyle w:val="4"/>
        <w:bidi w:val="0"/>
        <w:rPr>
          <w:rFonts w:hint="eastAsia"/>
          <w:color w:val="000000" w:themeColor="text1"/>
          <w:lang w:eastAsia="zh-CN"/>
          <w14:textFill>
            <w14:solidFill>
              <w14:schemeClr w14:val="tx1"/>
            </w14:solidFill>
          </w14:textFill>
        </w:rPr>
      </w:pPr>
      <w:bookmarkStart w:id="32" w:name="_Toc5142"/>
      <w:r>
        <w:rPr>
          <w:rFonts w:hint="eastAsia"/>
          <w:color w:val="000000" w:themeColor="text1"/>
          <w:lang w:eastAsia="zh-CN"/>
          <w14:textFill>
            <w14:solidFill>
              <w14:schemeClr w14:val="tx1"/>
            </w14:solidFill>
          </w14:textFill>
        </w:rPr>
        <w:t>2.3.3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安全生产管理制度</w:t>
      </w:r>
      <w:bookmarkEnd w:id="32"/>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制定了尾矿库安全检查制度、安全教育培训制度、生产安全事故管理制度、交接班制度、安全生产档案管理制度、安全生产奖惩制度等规章制度，制定了各工种操作规程（含尾矿工操作规程）和作业安全规程。各项规章制度、规程落实得较好。</w:t>
      </w:r>
    </w:p>
    <w:p>
      <w:pPr>
        <w:pStyle w:val="4"/>
        <w:bidi w:val="0"/>
        <w:rPr>
          <w:rFonts w:hint="eastAsia"/>
          <w:color w:val="000000" w:themeColor="text1"/>
          <w:lang w:eastAsia="zh-CN"/>
          <w14:textFill>
            <w14:solidFill>
              <w14:schemeClr w14:val="tx1"/>
            </w14:solidFill>
          </w14:textFill>
        </w:rPr>
      </w:pPr>
      <w:bookmarkStart w:id="33" w:name="_Toc30471"/>
      <w:r>
        <w:rPr>
          <w:rFonts w:hint="eastAsia"/>
          <w:color w:val="000000" w:themeColor="text1"/>
          <w:lang w:eastAsia="zh-CN"/>
          <w14:textFill>
            <w14:solidFill>
              <w14:schemeClr w14:val="tx1"/>
            </w14:solidFill>
          </w14:textFill>
        </w:rPr>
        <w:t>2.3.4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安全生产应急救援与措施</w:t>
      </w:r>
      <w:bookmarkEnd w:id="33"/>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应急管理体系</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成立了由总经理担任总指挥，分管副总经理担任副总指挥，各部门负责人及各单位主管领导为成员的应急救援总指挥部，下设现场指挥组，现场抢救组，安全警卫组，后期保障组，通信联络组等工作小组。建立了预警、通信报告、接警处置、应急启动、现场抢救、善后处理等应急管理网络，制定了各部门职责，明确了各成员的责任。</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应急预案及演练</w:t>
      </w:r>
    </w:p>
    <w:p>
      <w:pPr>
        <w:rPr>
          <w:rFonts w:hint="eastAsia"/>
          <w:strike w:val="0"/>
          <w:dstrike w:val="0"/>
          <w:color w:val="000000" w:themeColor="text1"/>
          <w:lang w:eastAsia="zh-CN"/>
          <w14:textFill>
            <w14:solidFill>
              <w14:schemeClr w14:val="tx1"/>
            </w14:solidFill>
          </w14:textFill>
        </w:rPr>
      </w:pPr>
      <w:r>
        <w:rPr>
          <w:rFonts w:hint="eastAsia"/>
          <w:strike w:val="0"/>
          <w:dstrike w:val="0"/>
          <w:color w:val="000000" w:themeColor="text1"/>
          <w:lang w:eastAsia="zh-CN"/>
          <w14:textFill>
            <w14:solidFill>
              <w14:schemeClr w14:val="tx1"/>
            </w14:solidFill>
          </w14:textFill>
        </w:rPr>
        <w:t>202</w:t>
      </w:r>
      <w:r>
        <w:rPr>
          <w:rFonts w:hint="eastAsia"/>
          <w:strike w:val="0"/>
          <w:dstrike w:val="0"/>
          <w:color w:val="000000" w:themeColor="text1"/>
          <w:lang w:val="en-US" w:eastAsia="zh-CN"/>
          <w14:textFill>
            <w14:solidFill>
              <w14:schemeClr w14:val="tx1"/>
            </w14:solidFill>
          </w14:textFill>
        </w:rPr>
        <w:t>3</w:t>
      </w:r>
      <w:r>
        <w:rPr>
          <w:rFonts w:hint="eastAsia"/>
          <w:strike w:val="0"/>
          <w:dstrike w:val="0"/>
          <w:color w:val="000000" w:themeColor="text1"/>
          <w:lang w:eastAsia="zh-CN"/>
          <w14:textFill>
            <w14:solidFill>
              <w14:schemeClr w14:val="tx1"/>
            </w14:solidFill>
          </w14:textFill>
        </w:rPr>
        <w:t>年3月1</w:t>
      </w:r>
      <w:r>
        <w:rPr>
          <w:rFonts w:hint="eastAsia"/>
          <w:strike w:val="0"/>
          <w:dstrike w:val="0"/>
          <w:color w:val="000000" w:themeColor="text1"/>
          <w:lang w:val="en-US" w:eastAsia="zh-CN"/>
          <w14:textFill>
            <w14:solidFill>
              <w14:schemeClr w14:val="tx1"/>
            </w14:solidFill>
          </w14:textFill>
        </w:rPr>
        <w:t>4</w:t>
      </w:r>
      <w:r>
        <w:rPr>
          <w:rFonts w:hint="eastAsia"/>
          <w:strike w:val="0"/>
          <w:dstrike w:val="0"/>
          <w:color w:val="000000" w:themeColor="text1"/>
          <w:lang w:eastAsia="zh-CN"/>
          <w14:textFill>
            <w14:solidFill>
              <w14:schemeClr w14:val="tx1"/>
            </w14:solidFill>
          </w14:textFill>
        </w:rPr>
        <w:t>日，经专家组评审后修订的《江西盘古山钨业有限公司生产安全事故应急预案》至赣州市应急管理局备案，取得了《生产经营单位生产安全事故应急预案备案登记表》，备案编号：3607002023010。盘古山钨业与赣州市综合应急救援支队签订了《矿山救护服务协议书》，有效期从202</w:t>
      </w:r>
      <w:r>
        <w:rPr>
          <w:rFonts w:hint="eastAsia"/>
          <w:strike w:val="0"/>
          <w:dstrike w:val="0"/>
          <w:color w:val="000000" w:themeColor="text1"/>
          <w:lang w:val="en-US" w:eastAsia="zh-CN"/>
          <w14:textFill>
            <w14:solidFill>
              <w14:schemeClr w14:val="tx1"/>
            </w14:solidFill>
          </w14:textFill>
        </w:rPr>
        <w:t>3</w:t>
      </w:r>
      <w:r>
        <w:rPr>
          <w:rFonts w:hint="eastAsia"/>
          <w:strike w:val="0"/>
          <w:dstrike w:val="0"/>
          <w:color w:val="000000" w:themeColor="text1"/>
          <w:lang w:eastAsia="zh-CN"/>
          <w14:textFill>
            <w14:solidFill>
              <w14:schemeClr w14:val="tx1"/>
            </w14:solidFill>
          </w14:textFill>
        </w:rPr>
        <w:t>年</w:t>
      </w:r>
      <w:r>
        <w:rPr>
          <w:rFonts w:hint="eastAsia"/>
          <w:strike w:val="0"/>
          <w:dstrike w:val="0"/>
          <w:color w:val="000000" w:themeColor="text1"/>
          <w:lang w:val="en-US" w:eastAsia="zh-CN"/>
          <w14:textFill>
            <w14:solidFill>
              <w14:schemeClr w14:val="tx1"/>
            </w14:solidFill>
          </w14:textFill>
        </w:rPr>
        <w:t>7</w:t>
      </w:r>
      <w:r>
        <w:rPr>
          <w:rFonts w:hint="eastAsia"/>
          <w:strike w:val="0"/>
          <w:dstrike w:val="0"/>
          <w:color w:val="000000" w:themeColor="text1"/>
          <w:lang w:eastAsia="zh-CN"/>
          <w14:textFill>
            <w14:solidFill>
              <w14:schemeClr w14:val="tx1"/>
            </w14:solidFill>
          </w14:textFill>
        </w:rPr>
        <w:t>月</w:t>
      </w:r>
      <w:r>
        <w:rPr>
          <w:rFonts w:hint="eastAsia"/>
          <w:strike w:val="0"/>
          <w:dstrike w:val="0"/>
          <w:color w:val="000000" w:themeColor="text1"/>
          <w:lang w:val="en-US" w:eastAsia="zh-CN"/>
          <w14:textFill>
            <w14:solidFill>
              <w14:schemeClr w14:val="tx1"/>
            </w14:solidFill>
          </w14:textFill>
        </w:rPr>
        <w:t>2</w:t>
      </w:r>
      <w:r>
        <w:rPr>
          <w:rFonts w:hint="eastAsia"/>
          <w:strike w:val="0"/>
          <w:dstrike w:val="0"/>
          <w:color w:val="000000" w:themeColor="text1"/>
          <w:lang w:eastAsia="zh-CN"/>
          <w14:textFill>
            <w14:solidFill>
              <w14:schemeClr w14:val="tx1"/>
            </w14:solidFill>
          </w14:textFill>
        </w:rPr>
        <w:t>9日至202</w:t>
      </w:r>
      <w:r>
        <w:rPr>
          <w:rFonts w:hint="eastAsia"/>
          <w:strike w:val="0"/>
          <w:dstrike w:val="0"/>
          <w:color w:val="000000" w:themeColor="text1"/>
          <w:lang w:val="en-US" w:eastAsia="zh-CN"/>
          <w14:textFill>
            <w14:solidFill>
              <w14:schemeClr w14:val="tx1"/>
            </w14:solidFill>
          </w14:textFill>
        </w:rPr>
        <w:t>4</w:t>
      </w:r>
      <w:r>
        <w:rPr>
          <w:rFonts w:hint="eastAsia"/>
          <w:strike w:val="0"/>
          <w:dstrike w:val="0"/>
          <w:color w:val="000000" w:themeColor="text1"/>
          <w:lang w:eastAsia="zh-CN"/>
          <w14:textFill>
            <w14:solidFill>
              <w14:schemeClr w14:val="tx1"/>
            </w14:solidFill>
          </w14:textFill>
        </w:rPr>
        <w:t>年</w:t>
      </w:r>
      <w:r>
        <w:rPr>
          <w:rFonts w:hint="eastAsia"/>
          <w:strike w:val="0"/>
          <w:dstrike w:val="0"/>
          <w:color w:val="000000" w:themeColor="text1"/>
          <w:lang w:val="en-US" w:eastAsia="zh-CN"/>
          <w14:textFill>
            <w14:solidFill>
              <w14:schemeClr w14:val="tx1"/>
            </w14:solidFill>
          </w14:textFill>
        </w:rPr>
        <w:t>7</w:t>
      </w:r>
      <w:r>
        <w:rPr>
          <w:rFonts w:hint="eastAsia"/>
          <w:strike w:val="0"/>
          <w:dstrike w:val="0"/>
          <w:color w:val="000000" w:themeColor="text1"/>
          <w:lang w:eastAsia="zh-CN"/>
          <w14:textFill>
            <w14:solidFill>
              <w14:schemeClr w14:val="tx1"/>
            </w14:solidFill>
          </w14:textFill>
        </w:rPr>
        <w:t>月</w:t>
      </w:r>
      <w:r>
        <w:rPr>
          <w:rFonts w:hint="eastAsia"/>
          <w:strike w:val="0"/>
          <w:dstrike w:val="0"/>
          <w:color w:val="000000" w:themeColor="text1"/>
          <w:lang w:val="en-US" w:eastAsia="zh-CN"/>
          <w14:textFill>
            <w14:solidFill>
              <w14:schemeClr w14:val="tx1"/>
            </w14:solidFill>
          </w14:textFill>
        </w:rPr>
        <w:t>2</w:t>
      </w:r>
      <w:r>
        <w:rPr>
          <w:rFonts w:hint="eastAsia"/>
          <w:strike w:val="0"/>
          <w:dstrike w:val="0"/>
          <w:color w:val="000000" w:themeColor="text1"/>
          <w:lang w:eastAsia="zh-CN"/>
          <w14:textFill>
            <w14:solidFill>
              <w14:schemeClr w14:val="tx1"/>
            </w14:solidFill>
          </w14:textFill>
        </w:rPr>
        <w:t>8日。</w:t>
      </w:r>
    </w:p>
    <w:p>
      <w:pPr>
        <w:rPr>
          <w:rFonts w:hint="eastAsia"/>
          <w:strike w:val="0"/>
          <w:dstrike w:val="0"/>
          <w:color w:val="000000" w:themeColor="text1"/>
          <w:lang w:eastAsia="zh-CN"/>
          <w14:textFill>
            <w14:solidFill>
              <w14:schemeClr w14:val="tx1"/>
            </w14:solidFill>
          </w14:textFill>
        </w:rPr>
      </w:pPr>
      <w:r>
        <w:rPr>
          <w:rFonts w:hint="eastAsia"/>
          <w:strike w:val="0"/>
          <w:dstrike w:val="0"/>
          <w:color w:val="000000" w:themeColor="text1"/>
          <w:lang w:eastAsia="zh-CN"/>
          <w14:textFill>
            <w14:solidFill>
              <w14:schemeClr w14:val="tx1"/>
            </w14:solidFill>
          </w14:textFill>
        </w:rPr>
        <w:t>2023年4月7日，盘古山钨业组织开展了尾矿库溃坝事故抢险应急预案演练。制定演练方案，精心组织、实战演练、找出差距，不断总结提高，加强了应急队伍的建设，完善安全生产保障体系，演练结束后，进行了评估、总结，保留有影像资料和相关记录。通过演练提高了全员应急救援的防范意识，提高了对于突发事件的应急处置能力，为今后应急救援积累了经验。</w:t>
      </w:r>
    </w:p>
    <w:p>
      <w:pPr>
        <w:pStyle w:val="4"/>
        <w:bidi w:val="0"/>
        <w:rPr>
          <w:rFonts w:hint="eastAsia"/>
          <w:color w:val="000000" w:themeColor="text1"/>
          <w:lang w:eastAsia="zh-CN"/>
          <w14:textFill>
            <w14:solidFill>
              <w14:schemeClr w14:val="tx1"/>
            </w14:solidFill>
          </w14:textFill>
        </w:rPr>
      </w:pPr>
      <w:bookmarkStart w:id="34" w:name="_Toc24372"/>
      <w:r>
        <w:rPr>
          <w:rFonts w:hint="eastAsia"/>
          <w:color w:val="000000" w:themeColor="text1"/>
          <w:lang w:eastAsia="zh-CN"/>
          <w14:textFill>
            <w14:solidFill>
              <w14:schemeClr w14:val="tx1"/>
            </w14:solidFill>
          </w14:textFill>
        </w:rPr>
        <w:t>2.3.5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安全教育培训</w:t>
      </w:r>
      <w:bookmarkEnd w:id="34"/>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盘古山钨业重视员工的安全教育培训工作，实行公司、选厂、班组三级安全教育培训制度，有安全宣传教育室，主要负责人（</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人）、安全管理人员（</w:t>
      </w:r>
      <w:r>
        <w:rPr>
          <w:rFonts w:hint="eastAsia"/>
          <w:color w:val="000000" w:themeColor="text1"/>
          <w:lang w:val="en-US" w:eastAsia="zh-CN"/>
          <w14:textFill>
            <w14:solidFill>
              <w14:schemeClr w14:val="tx1"/>
            </w14:solidFill>
          </w14:textFill>
        </w:rPr>
        <w:t>12</w:t>
      </w:r>
      <w:r>
        <w:rPr>
          <w:rFonts w:hint="eastAsia"/>
          <w:color w:val="000000" w:themeColor="text1"/>
          <w:lang w:eastAsia="zh-CN"/>
          <w14:textFill>
            <w14:solidFill>
              <w14:schemeClr w14:val="tx1"/>
            </w14:solidFill>
          </w14:textFill>
        </w:rPr>
        <w:t>人）及特种作业人员（总计</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1人，其中尾矿工3名）均经培训获得相应安全资质。年内对</w:t>
      </w:r>
      <w:r>
        <w:rPr>
          <w:rFonts w:hint="eastAsia"/>
          <w:strike w:val="0"/>
          <w:dstrike w:val="0"/>
          <w:color w:val="000000" w:themeColor="text1"/>
          <w:lang w:val="en-US" w:eastAsia="zh-CN"/>
          <w14:textFill>
            <w14:solidFill>
              <w14:schemeClr w14:val="tx1"/>
            </w14:solidFill>
          </w14:textFill>
        </w:rPr>
        <w:t>206</w:t>
      </w:r>
      <w:r>
        <w:rPr>
          <w:rFonts w:hint="eastAsia"/>
          <w:color w:val="000000" w:themeColor="text1"/>
          <w:lang w:eastAsia="zh-CN"/>
          <w14:textFill>
            <w14:solidFill>
              <w14:schemeClr w14:val="tx1"/>
            </w14:solidFill>
          </w14:textFill>
        </w:rPr>
        <w:t>名从业人员进行了安全教育复训和考试，安全培训时间满足规程规范要求，全部考试合格。</w:t>
      </w:r>
    </w:p>
    <w:p>
      <w:pPr>
        <w:pStyle w:val="4"/>
        <w:bidi w:val="0"/>
        <w:rPr>
          <w:rFonts w:hint="eastAsia"/>
          <w:color w:val="000000" w:themeColor="text1"/>
          <w:lang w:eastAsia="zh-CN"/>
          <w14:textFill>
            <w14:solidFill>
              <w14:schemeClr w14:val="tx1"/>
            </w14:solidFill>
          </w14:textFill>
        </w:rPr>
      </w:pPr>
      <w:bookmarkStart w:id="35" w:name="_Toc24927"/>
      <w:r>
        <w:rPr>
          <w:rFonts w:hint="eastAsia"/>
          <w:color w:val="000000" w:themeColor="text1"/>
          <w:lang w:eastAsia="zh-CN"/>
          <w14:textFill>
            <w14:solidFill>
              <w14:schemeClr w14:val="tx1"/>
            </w14:solidFill>
          </w14:textFill>
        </w:rPr>
        <w:t>2.3.6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安全措施费用</w:t>
      </w:r>
      <w:bookmarkEnd w:id="35"/>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202</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年1～1</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月，盘古山钨业已使用安全费用</w:t>
      </w:r>
      <w:r>
        <w:rPr>
          <w:rFonts w:hint="eastAsia"/>
          <w:color w:val="000000" w:themeColor="text1"/>
          <w:lang w:val="en-US" w:eastAsia="zh-CN"/>
          <w14:textFill>
            <w14:solidFill>
              <w14:schemeClr w14:val="tx1"/>
            </w14:solidFill>
          </w14:textFill>
        </w:rPr>
        <w:t>196.76</w:t>
      </w:r>
      <w:r>
        <w:rPr>
          <w:rFonts w:hint="eastAsia"/>
          <w:color w:val="000000" w:themeColor="text1"/>
          <w:lang w:eastAsia="zh-CN"/>
          <w14:textFill>
            <w14:solidFill>
              <w14:schemeClr w14:val="tx1"/>
            </w14:solidFill>
          </w14:textFill>
        </w:rPr>
        <w:t>万元。具体如下：1.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完善、改造和维护安全防护设施设备和重大安全隐患治理支出；2.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完善安全避险“六大系统”支出和尾矿库在线监控系统支出；3.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开展重大危险源和事故隐患评估、监控和整改支出；4.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安全生产检查、评价、咨询、标准化建设支出；5.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配备和更新现场作业人员安全防护用品支出；6.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安全生产宣传、教育、培训支出；7.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安全设施和特种设备检测检验支出；8.</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其它与安全生产直接有关的支出，做到安全费用足额提取、专款专用。</w:t>
      </w:r>
    </w:p>
    <w:p>
      <w:pPr>
        <w:pStyle w:val="4"/>
        <w:bidi w:val="0"/>
        <w:rPr>
          <w:rFonts w:hint="eastAsia"/>
          <w:color w:val="000000" w:themeColor="text1"/>
          <w:lang w:eastAsia="zh-CN"/>
          <w14:textFill>
            <w14:solidFill>
              <w14:schemeClr w14:val="tx1"/>
            </w14:solidFill>
          </w14:textFill>
        </w:rPr>
      </w:pPr>
      <w:bookmarkStart w:id="36" w:name="_Toc8635"/>
      <w:r>
        <w:rPr>
          <w:rFonts w:hint="eastAsia"/>
          <w:color w:val="000000" w:themeColor="text1"/>
          <w:lang w:eastAsia="zh-CN"/>
          <w14:textFill>
            <w14:solidFill>
              <w14:schemeClr w14:val="tx1"/>
            </w14:solidFill>
          </w14:textFill>
        </w:rPr>
        <w:t>2.3.7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w:t>
      </w:r>
      <w:bookmarkEnd w:id="36"/>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盘古山钨业正常开展公司级、选厂、班组级安全检查工作，有公司级、选厂、班组级安全检查情况及隐患整改情况记录。</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开展了隐患排查治理体系建设，定期实施自查自纠，线上根据应急管理部门的要求，每月在江西省应急管理厅官网不少于2次登陆江西省安全生产监管信息系统进行隐患排查信息填报，线下建立健全隐患排查登记台账。今年1～1</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月，盘古山钨业累计开展</w:t>
      </w:r>
      <w:r>
        <w:rPr>
          <w:rFonts w:hint="eastAsia"/>
          <w:color w:val="000000" w:themeColor="text1"/>
          <w:lang w:val="en-US" w:eastAsia="zh-CN"/>
          <w14:textFill>
            <w14:solidFill>
              <w14:schemeClr w14:val="tx1"/>
            </w14:solidFill>
          </w14:textFill>
        </w:rPr>
        <w:t>16</w:t>
      </w:r>
      <w:r>
        <w:rPr>
          <w:rFonts w:hint="eastAsia"/>
          <w:color w:val="000000" w:themeColor="text1"/>
          <w:lang w:eastAsia="zh-CN"/>
          <w14:textFill>
            <w14:solidFill>
              <w14:schemeClr w14:val="tx1"/>
            </w14:solidFill>
          </w14:textFill>
        </w:rPr>
        <w:t>次隐患排查治理工作，共查出隐患</w:t>
      </w:r>
      <w:r>
        <w:rPr>
          <w:rFonts w:hint="eastAsia"/>
          <w:color w:val="000000" w:themeColor="text1"/>
          <w:lang w:val="en-US" w:eastAsia="zh-CN"/>
          <w14:textFill>
            <w14:solidFill>
              <w14:schemeClr w14:val="tx1"/>
            </w14:solidFill>
          </w14:textFill>
        </w:rPr>
        <w:t>195</w:t>
      </w:r>
      <w:r>
        <w:rPr>
          <w:rFonts w:hint="eastAsia"/>
          <w:color w:val="000000" w:themeColor="text1"/>
          <w:lang w:eastAsia="zh-CN"/>
          <w14:textFill>
            <w14:solidFill>
              <w14:schemeClr w14:val="tx1"/>
            </w14:solidFill>
          </w14:textFill>
        </w:rPr>
        <w:t>条，其中尾矿库</w:t>
      </w:r>
      <w:r>
        <w:rPr>
          <w:rFonts w:hint="eastAsia"/>
          <w:color w:val="000000" w:themeColor="text1"/>
          <w:lang w:val="en-US" w:eastAsia="zh-CN"/>
          <w14:textFill>
            <w14:solidFill>
              <w14:schemeClr w14:val="tx1"/>
            </w14:solidFill>
          </w14:textFill>
        </w:rPr>
        <w:t>10</w:t>
      </w:r>
      <w:r>
        <w:rPr>
          <w:rFonts w:hint="eastAsia"/>
          <w:color w:val="000000" w:themeColor="text1"/>
          <w:lang w:eastAsia="zh-CN"/>
          <w14:textFill>
            <w14:solidFill>
              <w14:schemeClr w14:val="tx1"/>
            </w14:solidFill>
          </w14:textFill>
        </w:rPr>
        <w:t>条，共整改</w:t>
      </w:r>
      <w:r>
        <w:rPr>
          <w:rFonts w:hint="eastAsia"/>
          <w:color w:val="000000" w:themeColor="text1"/>
          <w:lang w:val="en-US" w:eastAsia="zh-CN"/>
          <w14:textFill>
            <w14:solidFill>
              <w14:schemeClr w14:val="tx1"/>
            </w14:solidFill>
          </w14:textFill>
        </w:rPr>
        <w:t>10</w:t>
      </w:r>
      <w:r>
        <w:rPr>
          <w:rFonts w:hint="eastAsia"/>
          <w:color w:val="000000" w:themeColor="text1"/>
          <w:lang w:eastAsia="zh-CN"/>
          <w14:textFill>
            <w14:solidFill>
              <w14:schemeClr w14:val="tx1"/>
            </w14:solidFill>
          </w14:textFill>
        </w:rPr>
        <w:t>条，整改率100%。</w:t>
      </w:r>
    </w:p>
    <w:p>
      <w:pPr>
        <w:pStyle w:val="4"/>
        <w:bidi w:val="0"/>
        <w:rPr>
          <w:rFonts w:hint="eastAsia"/>
          <w:color w:val="000000" w:themeColor="text1"/>
          <w:lang w:eastAsia="zh-CN"/>
          <w14:textFill>
            <w14:solidFill>
              <w14:schemeClr w14:val="tx1"/>
            </w14:solidFill>
          </w14:textFill>
        </w:rPr>
      </w:pPr>
      <w:bookmarkStart w:id="37" w:name="_Toc26432"/>
      <w:r>
        <w:rPr>
          <w:rFonts w:hint="eastAsia"/>
          <w:color w:val="000000" w:themeColor="text1"/>
          <w:lang w:eastAsia="zh-CN"/>
          <w14:textFill>
            <w14:solidFill>
              <w14:schemeClr w14:val="tx1"/>
            </w14:solidFill>
          </w14:textFill>
        </w:rPr>
        <w:t>2.3.8安全生产标准化</w:t>
      </w:r>
      <w:bookmarkEnd w:id="37"/>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于2010年6月开始启动尾矿库安全标准化工作，体系文件于2011年2月26日发布、于2011年3月1日试运行、于2011年4月1日正式实施。2012年2月通过二级安全生产标准化评审，并取得相应证书和牌匾，证书编号：赣AQBW二[2012]0032，有效期至2015年3月20日。</w:t>
      </w:r>
    </w:p>
    <w:p>
      <w:pPr>
        <w:ind w:left="0" w:leftChars="0" w:firstLine="0" w:firstLine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并每年进行了</w:t>
      </w:r>
      <w:r>
        <w:rPr>
          <w:rFonts w:hint="eastAsia"/>
          <w:color w:val="000000" w:themeColor="text1"/>
          <w:szCs w:val="28"/>
          <w14:textFill>
            <w14:solidFill>
              <w14:schemeClr w14:val="tx1"/>
            </w14:solidFill>
          </w14:textFill>
        </w:rPr>
        <w:t>盘古山钨业尾矿库</w:t>
      </w:r>
      <w:r>
        <w:rPr>
          <w:rFonts w:hint="eastAsia"/>
          <w:color w:val="000000" w:themeColor="text1"/>
          <w:lang w:eastAsia="zh-CN"/>
          <w14:textFill>
            <w14:solidFill>
              <w14:schemeClr w14:val="tx1"/>
            </w14:solidFill>
          </w14:textFill>
        </w:rPr>
        <w:t>安标化自评活动。2018年1月30日至2月1日，我中心组织安全生产标准化专家评审组对盘古山钨业尾矿库安全生产标准化工作进行了达标复评。其后，盘古山钨业尾矿库取得了江西省应急管理厅颁发的二级安全生产标准化证书和牌匾，证书编号：赣AQBWⅡ[2018]001，有效期至2021年7月。</w:t>
      </w:r>
    </w:p>
    <w:p>
      <w:pPr>
        <w:bidi w:val="0"/>
        <w:rPr>
          <w:rFonts w:hint="eastAsia"/>
          <w:color w:val="000000" w:themeColor="text1"/>
          <w:lang w:eastAsia="zh-CN"/>
          <w14:textFill>
            <w14:solidFill>
              <w14:schemeClr w14:val="tx1"/>
            </w14:solidFill>
          </w14:textFill>
        </w:rPr>
      </w:pPr>
      <w:r>
        <w:rPr>
          <w:rFonts w:hint="eastAsia"/>
          <w:color w:val="000000" w:themeColor="text1"/>
          <w:szCs w:val="28"/>
          <w14:textFill>
            <w14:solidFill>
              <w14:schemeClr w14:val="tx1"/>
            </w14:solidFill>
          </w14:textFill>
        </w:rPr>
        <w:t>盘古山钨业</w:t>
      </w:r>
      <w:r>
        <w:rPr>
          <w:rFonts w:hint="eastAsia"/>
          <w:color w:val="000000" w:themeColor="text1"/>
          <w:lang w:eastAsia="zh-CN"/>
          <w14:textFill>
            <w14:solidFill>
              <w14:schemeClr w14:val="tx1"/>
            </w14:solidFill>
          </w14:textFill>
        </w:rPr>
        <w:t>积极开展了尾矿库风险管控体系建设，制订了隐患排查及风险分级管控制度以及风险分级管控“一图一表三清单”等，将隐患排查及风险管控纳入责任考核。</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现</w:t>
      </w:r>
      <w:r>
        <w:rPr>
          <w:rFonts w:hint="eastAsia"/>
          <w:color w:val="000000" w:themeColor="text1"/>
          <w:szCs w:val="28"/>
          <w14:textFill>
            <w14:solidFill>
              <w14:schemeClr w14:val="tx1"/>
            </w14:solidFill>
          </w14:textFill>
        </w:rPr>
        <w:t>盘古山钨业尾矿库</w:t>
      </w:r>
      <w:r>
        <w:rPr>
          <w:rFonts w:hint="eastAsia"/>
          <w:color w:val="000000" w:themeColor="text1"/>
          <w:lang w:eastAsia="zh-CN"/>
          <w14:textFill>
            <w14:solidFill>
              <w14:schemeClr w14:val="tx1"/>
            </w14:solidFill>
          </w14:textFill>
        </w:rPr>
        <w:t>作业现场保持着较好的状况，安全生产标准化体系运行正常。</w:t>
      </w:r>
    </w:p>
    <w:p>
      <w:pPr>
        <w:pStyle w:val="4"/>
        <w:bidi w:val="0"/>
        <w:rPr>
          <w:rFonts w:hint="eastAsia"/>
          <w:color w:val="000000" w:themeColor="text1"/>
          <w:lang w:eastAsia="zh-CN"/>
          <w14:textFill>
            <w14:solidFill>
              <w14:schemeClr w14:val="tx1"/>
            </w14:solidFill>
          </w14:textFill>
        </w:rPr>
      </w:pPr>
      <w:bookmarkStart w:id="38" w:name="_Toc12629"/>
      <w:r>
        <w:rPr>
          <w:rFonts w:hint="eastAsia"/>
          <w:color w:val="000000" w:themeColor="text1"/>
          <w:lang w:eastAsia="zh-CN"/>
          <w14:textFill>
            <w14:solidFill>
              <w14:schemeClr w14:val="tx1"/>
            </w14:solidFill>
          </w14:textFill>
        </w:rPr>
        <w:t>2.3.9</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事故情况</w:t>
      </w:r>
      <w:bookmarkEnd w:id="38"/>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盘古山钨业尾矿库近三年来未发生死亡事故，保持安全生产平稳态势。</w:t>
      </w:r>
    </w:p>
    <w:p>
      <w:pPr>
        <w:pStyle w:val="3"/>
        <w:bidi w:val="0"/>
        <w:rPr>
          <w:rFonts w:hint="eastAsia"/>
          <w:color w:val="000000" w:themeColor="text1"/>
          <w:lang w:eastAsia="zh-CN"/>
          <w14:textFill>
            <w14:solidFill>
              <w14:schemeClr w14:val="tx1"/>
            </w14:solidFill>
          </w14:textFill>
        </w:rPr>
      </w:pPr>
      <w:bookmarkStart w:id="39" w:name="_Toc14295"/>
      <w:r>
        <w:rPr>
          <w:rFonts w:hint="eastAsia"/>
          <w:color w:val="000000" w:themeColor="text1"/>
          <w:lang w:eastAsia="zh-CN"/>
          <w14:textFill>
            <w14:solidFill>
              <w14:schemeClr w14:val="tx1"/>
            </w14:solidFill>
          </w14:textFill>
        </w:rPr>
        <w:t>2.4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周边环境</w:t>
      </w:r>
      <w:bookmarkEnd w:id="39"/>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盘古山钨业尾矿库为傍山型尾矿库，位于盘古山钨业选矿厂西侧约200m，初期坝下游东侧300m以外为盘古山钨业办公大楼、招待所、公园及居民区（含矿山员工家属），东南约500m为横村，共有住户3890余户，常住人口一万余人；南侧为原盘古山钨业精选尾矿沉淀池及尾矿废水处理系统及工农村，西侧为石角排村，有零星住户；南侧初期坝下游为公路，公路另一侧为仁风河（位于尾矿库上游），仁风河上游有一座山森水库，距尾矿库约3.5km，该库下泄的洪水通过仁风河行洪，不进入库区，仁风河历史最高洪水位+257.5m。尾矿库上游西北侧为于都县盘古山镇饮水安全集中供水工程，水源取自山森水库，通过暗渠引水。</w:t>
      </w:r>
    </w:p>
    <w:p>
      <w:pPr>
        <w:ind w:left="0" w:leftChars="0"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4735830" cy="3535680"/>
            <wp:effectExtent l="0" t="0" r="3810" b="0"/>
            <wp:docPr id="1" name="图片 1" descr="盘古山钨矿尾矿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盘古山钨矿尾矿库"/>
                    <pic:cNvPicPr>
                      <a:picLocks noChangeAspect="1"/>
                    </pic:cNvPicPr>
                  </pic:nvPicPr>
                  <pic:blipFill>
                    <a:blip r:embed="rId9"/>
                    <a:stretch>
                      <a:fillRect/>
                    </a:stretch>
                  </pic:blipFill>
                  <pic:spPr>
                    <a:xfrm>
                      <a:off x="0" y="0"/>
                      <a:ext cx="4735830" cy="3535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图2-1</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eastAsia="宋体"/>
          <w:color w:val="000000" w:themeColor="text1"/>
          <w:lang w:eastAsia="zh-CN"/>
          <w14:textFill>
            <w14:solidFill>
              <w14:schemeClr w14:val="tx1"/>
            </w14:solidFill>
          </w14:textFill>
        </w:rPr>
        <w:t>盘古山钨业尾矿库</w:t>
      </w:r>
      <w:r>
        <w:rPr>
          <w:rFonts w:hint="eastAsia" w:ascii="Times New Roman" w:hAnsi="Times New Roman" w:eastAsia="宋体" w:cs="Times New Roman"/>
          <w:color w:val="000000" w:themeColor="text1"/>
          <w:lang w:eastAsia="zh-CN"/>
          <w14:textFill>
            <w14:solidFill>
              <w14:schemeClr w14:val="tx1"/>
            </w14:solidFill>
          </w14:textFill>
        </w:rPr>
        <w:t>卫星云图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lang w:val="en-US" w:eastAsia="zh-CN"/>
          <w14:textFill>
            <w14:solidFill>
              <w14:schemeClr w14:val="tx1"/>
            </w14:solidFill>
          </w14:textFill>
        </w:rPr>
      </w:pPr>
    </w:p>
    <w:p>
      <w:pPr>
        <w:pStyle w:val="2"/>
        <w:numPr>
          <w:ilvl w:val="0"/>
          <w:numId w:val="1"/>
        </w:numPr>
        <w:bidi w:val="0"/>
        <w:rPr>
          <w:rStyle w:val="23"/>
          <w:rFonts w:hint="eastAsia"/>
          <w:b/>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bookmarkStart w:id="40" w:name="_Toc6144"/>
      <w:r>
        <w:rPr>
          <w:rStyle w:val="23"/>
          <w:rFonts w:hint="eastAsia"/>
          <w:b/>
          <w:color w:val="000000" w:themeColor="text1"/>
          <w:lang w:eastAsia="zh-CN"/>
          <w14:textFill>
            <w14:solidFill>
              <w14:schemeClr w14:val="tx1"/>
            </w14:solidFill>
          </w14:textFill>
        </w:rPr>
        <w:t>辨识与分析危险、有害因素</w:t>
      </w:r>
      <w:bookmarkEnd w:id="40"/>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库是矿山的一项重要生产设施，它的运行状况好坏，直接关系到矿山的安全生产和人民生命财产的安全。据统计，在世界上的各种重大灾害中，尾矿库灾害仅次于发生地震、霍乱、洪水和氢弹爆炸而居于第18位。它一旦发生事故，必将对下游地区居民的生命和财产造成巨大灾害，并对环境造成严重污染。</w:t>
      </w:r>
    </w:p>
    <w:p>
      <w:pPr>
        <w:pStyle w:val="3"/>
        <w:numPr>
          <w:ilvl w:val="1"/>
          <w:numId w:val="1"/>
        </w:numPr>
        <w:bidi w:val="0"/>
        <w:rPr>
          <w:rFonts w:hint="eastAsia"/>
          <w:color w:val="000000" w:themeColor="text1"/>
          <w:lang w:eastAsia="zh-CN"/>
          <w14:textFill>
            <w14:solidFill>
              <w14:schemeClr w14:val="tx1"/>
            </w14:solidFill>
          </w14:textFill>
        </w:rPr>
      </w:pPr>
      <w:bookmarkStart w:id="41" w:name="_Toc30372"/>
      <w:r>
        <w:rPr>
          <w:rFonts w:hint="eastAsia"/>
          <w:color w:val="000000" w:themeColor="text1"/>
          <w:lang w:eastAsia="zh-CN"/>
          <w14:textFill>
            <w14:solidFill>
              <w14:schemeClr w14:val="tx1"/>
            </w14:solidFill>
          </w14:textFill>
        </w:rPr>
        <w:t>尾矿库病害的产生原因</w:t>
      </w:r>
      <w:bookmarkEnd w:id="41"/>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库从勘察、设计、施工到使用的全过程中，任何一个环节有毛病，都可能导致尾矿库不能正常使用。其中，由于生产管理不善、操作不当或外界环境因素干扰所造成的病害比较容易检查发现；而勘察、设计、施工或其它原因造成隐患，在使用初期不易显现出来，这些常被人忽视的隐患往往属于很难补救和治理的病害。</w:t>
      </w:r>
    </w:p>
    <w:p>
      <w:pPr>
        <w:pStyle w:val="4"/>
        <w:bidi w:val="0"/>
        <w:rPr>
          <w:rFonts w:hint="eastAsia"/>
          <w:color w:val="000000" w:themeColor="text1"/>
          <w:lang w:eastAsia="zh-CN"/>
          <w14:textFill>
            <w14:solidFill>
              <w14:schemeClr w14:val="tx1"/>
            </w14:solidFill>
          </w14:textFill>
        </w:rPr>
      </w:pPr>
      <w:bookmarkStart w:id="42" w:name="_Toc3791"/>
      <w:r>
        <w:rPr>
          <w:rFonts w:hint="eastAsia"/>
          <w:color w:val="000000" w:themeColor="text1"/>
          <w:lang w:eastAsia="zh-CN"/>
          <w14:textFill>
            <w14:solidFill>
              <w14:schemeClr w14:val="tx1"/>
            </w14:solidFill>
          </w14:textFill>
        </w:rPr>
        <w:t>3.1.1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勘察因素造成的病害</w:t>
      </w:r>
      <w:bookmarkEnd w:id="42"/>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对库区、坝基、排洪管线等处的不良地质条件未能查明，就可能造成库内滑坡、坝体变形、坝基渗漏、排洪涵管断裂、排水井倒塌等病害。</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对尾矿堆坝坝体及沉积滩的勘察质量低劣，则导致稳定分析、排洪能力等结论的不可靠。</w:t>
      </w:r>
    </w:p>
    <w:p>
      <w:pPr>
        <w:pStyle w:val="4"/>
        <w:bidi w:val="0"/>
        <w:rPr>
          <w:rFonts w:hint="eastAsia"/>
          <w:color w:val="000000" w:themeColor="text1"/>
          <w:lang w:eastAsia="zh-CN"/>
          <w14:textFill>
            <w14:solidFill>
              <w14:schemeClr w14:val="tx1"/>
            </w14:solidFill>
          </w14:textFill>
        </w:rPr>
      </w:pPr>
      <w:bookmarkStart w:id="43" w:name="_Toc21943"/>
      <w:r>
        <w:rPr>
          <w:rFonts w:hint="eastAsia"/>
          <w:color w:val="000000" w:themeColor="text1"/>
          <w:lang w:eastAsia="zh-CN"/>
          <w14:textFill>
            <w14:solidFill>
              <w14:schemeClr w14:val="tx1"/>
            </w14:solidFill>
          </w14:textFill>
        </w:rPr>
        <w:t>3.1.2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设计因素造成的病害</w:t>
      </w:r>
      <w:bookmarkEnd w:id="43"/>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质量低劣表现在基础资料不确切、设计方案及技术论证方法不当、不遵循设计规范、对库水位及浸润线深度的控制要求不明确，或要求不切实际等方面。尽管目前设计单位资质齐全，但上述因素造成尾矿库带病运行的现象屡见不鲜。由此造成的隐患大多为坝体在中、后期稳定性和防洪能力不能满足设计规范的要求。其次，排水构筑物出现断裂、气蚀、倒塌等病害也可能是由于设计人员技术不高或经验不足所造成。</w:t>
      </w:r>
    </w:p>
    <w:p>
      <w:pPr>
        <w:pStyle w:val="4"/>
        <w:bidi w:val="0"/>
        <w:rPr>
          <w:rFonts w:hint="eastAsia"/>
          <w:color w:val="000000" w:themeColor="text1"/>
          <w:lang w:eastAsia="zh-CN"/>
          <w14:textFill>
            <w14:solidFill>
              <w14:schemeClr w14:val="tx1"/>
            </w14:solidFill>
          </w14:textFill>
        </w:rPr>
      </w:pPr>
      <w:bookmarkStart w:id="44" w:name="_Toc4016"/>
      <w:r>
        <w:rPr>
          <w:rFonts w:hint="eastAsia"/>
          <w:color w:val="000000" w:themeColor="text1"/>
          <w:lang w:eastAsia="zh-CN"/>
          <w14:textFill>
            <w14:solidFill>
              <w14:schemeClr w14:val="tx1"/>
            </w14:solidFill>
          </w14:textFill>
        </w:rPr>
        <w:t>3.1.3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施工因素造成的病害</w:t>
      </w:r>
      <w:bookmarkEnd w:id="44"/>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初期坝施工中清基不彻底、坝体密实度不均、坝料不符合要求、反滤层铺设不当等，会造成坝体沉降不均、坝基或坝体漏矿、后期坝局部塌陷；排洪构筑物有蜂窝、麻面或强度不达标，当负荷逐渐增大时，会造成掉块、漏筋、断裂、甚至倒塌等病害。</w:t>
      </w:r>
    </w:p>
    <w:p>
      <w:pPr>
        <w:pStyle w:val="4"/>
        <w:bidi w:val="0"/>
        <w:rPr>
          <w:rFonts w:hint="eastAsia"/>
          <w:color w:val="000000" w:themeColor="text1"/>
          <w:lang w:eastAsia="zh-CN"/>
          <w14:textFill>
            <w14:solidFill>
              <w14:schemeClr w14:val="tx1"/>
            </w14:solidFill>
          </w14:textFill>
        </w:rPr>
      </w:pPr>
      <w:bookmarkStart w:id="45" w:name="_Toc16101"/>
      <w:r>
        <w:rPr>
          <w:rFonts w:hint="eastAsia"/>
          <w:color w:val="000000" w:themeColor="text1"/>
          <w:lang w:eastAsia="zh-CN"/>
          <w14:textFill>
            <w14:solidFill>
              <w14:schemeClr w14:val="tx1"/>
            </w14:solidFill>
          </w14:textFill>
        </w:rPr>
        <w:t>3.1.4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操作管理不当造成的病害</w:t>
      </w:r>
      <w:bookmarkEnd w:id="45"/>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在长期生产过程中，由于操作不当造成的常见病害和隐患如下：</w:t>
      </w:r>
    </w:p>
    <w:p>
      <w:pPr>
        <w:numPr>
          <w:ilvl w:val="0"/>
          <w:numId w:val="5"/>
        </w:num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放矿支管开启太少，造成沉积滩坡度过缓，导致调洪库容不足；</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未能均匀放矿，沉积滩此起彼伏，造成局部坝段干滩过短；</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长期独头放矿，致使矿浆顺坝流淌，冲刷子坝坡脚，且易造成细粒尾矿在坝屑大量聚积，严重影响坝体稳定；</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长时间不调换放矿点，造成个别放矿点的矿浆外溢，冲刷坝体；</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巡查不及时，放矿管件漏矿冲刷坝体；</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坝面维护不善，雨水冲刷拉沟，严重时会造成局部坝段滑坡；</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每级子坝高度堆筑太高，致使坝前沉积厚层抗剪强度很低、渗透性极差的矿泥，抬高了坝体内的浸润线，对坝体稳定十分不利；</w:t>
      </w:r>
    </w:p>
    <w:p>
      <w:pPr>
        <w:numPr>
          <w:ilvl w:val="0"/>
          <w:numId w:val="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长期对排洪构筑物不进行检查、维修，致使堵塞、露筋、塌陷等隐患未能及时发现。</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由于管理不当造成的问题主要表现在未能有效地对勘察、设计、施工和操作进行必要的审查和监督；对设计意图不甚了解，片面追求经济效益，未按设计要求指导生产；对防洪、防震问题抱有侥幸心理；明知有隐患，不能及时采取措施消除；未经原设计同意，擅自修改设计等。</w:t>
      </w:r>
    </w:p>
    <w:p>
      <w:pPr>
        <w:pStyle w:val="4"/>
        <w:bidi w:val="0"/>
        <w:rPr>
          <w:rFonts w:hint="eastAsia"/>
          <w:color w:val="000000" w:themeColor="text1"/>
          <w:lang w:eastAsia="zh-CN"/>
          <w14:textFill>
            <w14:solidFill>
              <w14:schemeClr w14:val="tx1"/>
            </w14:solidFill>
          </w14:textFill>
        </w:rPr>
      </w:pPr>
      <w:bookmarkStart w:id="46" w:name="_Toc15964"/>
      <w:r>
        <w:rPr>
          <w:rFonts w:hint="eastAsia"/>
          <w:color w:val="000000" w:themeColor="text1"/>
          <w:lang w:eastAsia="zh-CN"/>
          <w14:textFill>
            <w14:solidFill>
              <w14:schemeClr w14:val="tx1"/>
            </w14:solidFill>
          </w14:textFill>
        </w:rPr>
        <w:t>3.1.5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其他因素造成的病害</w:t>
      </w:r>
      <w:bookmarkEnd w:id="46"/>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暴雨、地震之后可能对坝体、排洪构筑物造成病害：</w:t>
      </w:r>
    </w:p>
    <w:p>
      <w:pPr>
        <w:numPr>
          <w:ilvl w:val="0"/>
          <w:numId w:val="6"/>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由于矿石性质或选矿工艺流程变更，引起尾矿性质（粒度组成、粒径、比重、矿浆浓度等）的改变，而这种改变如果对坝体稳定和防洪不利时，自然会成为隐患；</w:t>
      </w:r>
    </w:p>
    <w:p>
      <w:pPr>
        <w:numPr>
          <w:ilvl w:val="0"/>
          <w:numId w:val="6"/>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因工农关系未协调好，而产生的干扰常常造成尾矿库隐患。如农民在库区上游甚至于在库区以内乱采、滥挖等。</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根据实际发生事故的统计资料，各种尾矿库事故发生的原因与比例见表3-1。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表3</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尾矿库失事的主要原因分析表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539"/>
        <w:gridCol w:w="1539"/>
        <w:gridCol w:w="1539"/>
        <w:gridCol w:w="1539"/>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失事原因</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洪水漫顶</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坝身渗漏</w:t>
            </w:r>
          </w:p>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（包括管涌）</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基础渗漏</w:t>
            </w:r>
          </w:p>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（包括管涌）</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排洪或</w:t>
            </w:r>
          </w:p>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泄水工程</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1539" w:type="dxa"/>
            <w:noWrap w:val="0"/>
            <w:vAlign w:val="center"/>
          </w:tcPr>
          <w:p>
            <w:pPr>
              <w:spacing w:line="300" w:lineRule="exact"/>
              <w:ind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r>
    </w:tbl>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通过统计分析可知，洪水漫顶和渗漏破坏造成的失事几率较大。洪水漫顶的主要原因：</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（1）排水系统能力不够；</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（2）尾矿库的调洪能力和安全超高过小；</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（3）用子坝挡水；</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（4）管理中的失误造成排水系统堵塞。</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坝身渗漏的主要原因：</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（1）尾矿坝无排渗设施；</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（2）尾矿干滩长度和澄清距离过短；</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（3）尾矿坝下游坝面坡度过陡；</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（4）从库侧或库后排矿。</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基础渗漏的主要原因：</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（1）坝基的工程地质条件差，且施工时未进行必要的处理；</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（2）筑坝材料不当；</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（3）无排渗设施。</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排洪或泄水工程发生事故的主要原因：</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（1）排水设施的施工质量不符合设计要求；</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（2）排水工程基础不稳而未进行处理；</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（3）管理措施不当或误操作引发。</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分析还表明，地基渗漏失事多发生在4年坝龄以前，而50%发生在运行的第一年里；坝身渗漏造成失事的有三分之一发生在竣工后5年之内；溢洪泄水构筑物破坏有1/3发生在施工后的一年之内，而泄流失事的有60%在泄流时发生；坝坡或坝肩滑动而失事的，96%在竣工15年后发生；因不均匀变形，贯穿性裂缝而失事的，60%以上是在坝体竣工后很快发生。</w:t>
      </w:r>
    </w:p>
    <w:p>
      <w:pPr>
        <w:pStyle w:val="4"/>
        <w:bidi w:val="0"/>
        <w:rPr>
          <w:rFonts w:hint="eastAsia"/>
          <w:color w:val="000000" w:themeColor="text1"/>
          <w:lang w:eastAsia="zh-CN"/>
          <w14:textFill>
            <w14:solidFill>
              <w14:schemeClr w14:val="tx1"/>
            </w14:solidFill>
          </w14:textFill>
        </w:rPr>
      </w:pPr>
      <w:bookmarkStart w:id="47" w:name="_Toc27495"/>
      <w:r>
        <w:rPr>
          <w:rFonts w:hint="eastAsia"/>
          <w:color w:val="000000" w:themeColor="text1"/>
          <w:lang w:eastAsia="zh-CN"/>
          <w14:textFill>
            <w14:solidFill>
              <w14:schemeClr w14:val="tx1"/>
            </w14:solidFill>
          </w14:textFill>
        </w:rPr>
        <w:t>3.1.6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尾矿库失事实例</w:t>
      </w:r>
      <w:bookmarkEnd w:id="47"/>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实例1：2003年6月，因大宝山地区普降大雨，8日槽对坑尾矿库东侧下游山体因土体水饱和而产生滑坡，导致溢洪道的陡坡段中部出现断裂和导流管中间折断，尾矿库的排洪通道受到严重影响。</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实例2：湖北省大冶有色金属公司龙角山铜矿尾矿库溃坝，死亡28人，失踪3人。</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实例3：大厂鸿图尾矿库倒塌，导致28人死亡，56人受伤、70多间房屋倒塌的重大事故。</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实例4：2006年4月30日18时24分，陕西省商洛市镇安县黄金矿业有限责任公司尾矿库在加高坝体扩容施工时发生溃坝事故，外泄尾矿砂量约20万m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，冲毁居民房屋76间，22人被淹埋，5人获救，17人失踪。</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实例5：2006年12月27日，贵州紫金矿业股份有限公司贞丰县水银洞金矿尾矿库子坝发生塌溃事故，约20万m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尾矿下泄，造成1人轻伤，下游2座水库受到污染，其中，约17万m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尾矿排入小厂水库(废弃水库)，3万m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尾矿溢出小厂水库后进入白坟水库（农灌水库）。</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实例6：2008年9月8日山西省襄汾县新塔矿业公司尾矿坝溃坝，死亡281人。</w:t>
      </w:r>
    </w:p>
    <w:p>
      <w:pPr>
        <w:pStyle w:val="3"/>
        <w:bidi w:val="0"/>
        <w:rPr>
          <w:rFonts w:hint="eastAsia"/>
          <w:color w:val="000000" w:themeColor="text1"/>
          <w:lang w:eastAsia="zh-CN"/>
          <w14:textFill>
            <w14:solidFill>
              <w14:schemeClr w14:val="tx1"/>
            </w14:solidFill>
          </w14:textFill>
        </w:rPr>
      </w:pPr>
      <w:bookmarkStart w:id="48" w:name="_Toc10722"/>
      <w:r>
        <w:rPr>
          <w:rFonts w:hint="eastAsia"/>
          <w:color w:val="000000" w:themeColor="text1"/>
          <w:lang w:eastAsia="zh-CN"/>
          <w14:textFill>
            <w14:solidFill>
              <w14:schemeClr w14:val="tx1"/>
            </w14:solidFill>
          </w14:textFill>
        </w:rPr>
        <w:t>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尾矿库危险、有害因素分析</w:t>
      </w:r>
      <w:bookmarkEnd w:id="48"/>
    </w:p>
    <w:p>
      <w:pPr>
        <w:pStyle w:val="4"/>
        <w:bidi w:val="0"/>
        <w:rPr>
          <w:rFonts w:hint="eastAsia"/>
          <w:color w:val="000000" w:themeColor="text1"/>
          <w:lang w:eastAsia="zh-CN"/>
          <w14:textFill>
            <w14:solidFill>
              <w14:schemeClr w14:val="tx1"/>
            </w14:solidFill>
          </w14:textFill>
        </w:rPr>
      </w:pPr>
      <w:bookmarkStart w:id="49" w:name="_Toc1485"/>
      <w:r>
        <w:rPr>
          <w:rFonts w:hint="eastAsia"/>
          <w:color w:val="000000" w:themeColor="text1"/>
          <w:lang w:eastAsia="zh-CN"/>
          <w14:textFill>
            <w14:solidFill>
              <w14:schemeClr w14:val="tx1"/>
            </w14:solidFill>
          </w14:textFill>
        </w:rPr>
        <w:t>3.2.1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滑坡（坝坡失稳）</w:t>
      </w:r>
      <w:bookmarkEnd w:id="49"/>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滑坡是尾矿坝最危险的因素之一，较大规模的滑坡，往往是垮坝事故的先兆，即使是较小的滑坡也不能掉以轻心。有些滑坡是突然发生的，有的先由裂缝开始，如不及时处理，逐步扩大和漫延，则可能造成垮坝重大事故。</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滑坡的种类，按滑坡的性质分剪切性滑坡，塑流性滑坡和液化性滑坡。滑坡的主要原因：</w:t>
      </w:r>
    </w:p>
    <w:p>
      <w:pPr>
        <w:numPr>
          <w:ilvl w:val="0"/>
          <w:numId w:val="7"/>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尾矿坝边坡陡于设计边坡，坝体抗滑安全系数不足；</w:t>
      </w:r>
    </w:p>
    <w:p>
      <w:pPr>
        <w:numPr>
          <w:ilvl w:val="0"/>
          <w:numId w:val="7"/>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坝面维护不善，雨水冲刷拉沟，严重时会造成局部坝段滑坡；</w:t>
      </w:r>
    </w:p>
    <w:p>
      <w:pPr>
        <w:numPr>
          <w:ilvl w:val="0"/>
          <w:numId w:val="7"/>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尾矿坝坡面无排水系统或排水系统不完善，造成坝面冲刷严重，威胁坝体安全。</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经现场检查，盘古山钨业尾矿库尾矿坝无滑坡现象。</w:t>
      </w:r>
    </w:p>
    <w:p>
      <w:pPr>
        <w:pStyle w:val="4"/>
        <w:bidi w:val="0"/>
        <w:rPr>
          <w:rFonts w:hint="eastAsia"/>
          <w:color w:val="000000" w:themeColor="text1"/>
          <w:lang w:eastAsia="zh-CN"/>
          <w14:textFill>
            <w14:solidFill>
              <w14:schemeClr w14:val="tx1"/>
            </w14:solidFill>
          </w14:textFill>
        </w:rPr>
      </w:pPr>
      <w:bookmarkStart w:id="50" w:name="_Toc13161"/>
      <w:r>
        <w:rPr>
          <w:rFonts w:hint="eastAsia"/>
          <w:color w:val="000000" w:themeColor="text1"/>
          <w:lang w:eastAsia="zh-CN"/>
          <w14:textFill>
            <w14:solidFill>
              <w14:schemeClr w14:val="tx1"/>
            </w14:solidFill>
          </w14:textFill>
        </w:rPr>
        <w:t>3.2.2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坝体位移、沉陷</w:t>
      </w:r>
      <w:bookmarkEnd w:id="50"/>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因为以下主要原因，将导致坝体位移：</w:t>
      </w:r>
    </w:p>
    <w:p>
      <w:pPr>
        <w:numPr>
          <w:ilvl w:val="0"/>
          <w:numId w:val="8"/>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坝体边坡过陡，达不到设计要求的稳定边坡；</w:t>
      </w:r>
    </w:p>
    <w:p>
      <w:pPr>
        <w:numPr>
          <w:ilvl w:val="0"/>
          <w:numId w:val="8"/>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库内水位过高，坝顶没有足够的安全超高；</w:t>
      </w:r>
    </w:p>
    <w:p>
      <w:pPr>
        <w:numPr>
          <w:ilvl w:val="0"/>
          <w:numId w:val="8"/>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坝体施工质量差、压实度不足；</w:t>
      </w:r>
    </w:p>
    <w:p>
      <w:pPr>
        <w:numPr>
          <w:ilvl w:val="0"/>
          <w:numId w:val="8"/>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在坝体修筑时没有查明坝体两坝肩基础有淤泥层或其他高压缩性软土层，设计时没有采取相应的措施。</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经现场检查，盘古山钨业尾矿库尾矿坝无坝体位移、沉陷现象。</w:t>
      </w:r>
    </w:p>
    <w:p>
      <w:pPr>
        <w:pStyle w:val="4"/>
        <w:bidi w:val="0"/>
        <w:rPr>
          <w:rFonts w:hint="eastAsia"/>
          <w:color w:val="000000" w:themeColor="text1"/>
          <w:lang w:eastAsia="zh-CN"/>
          <w14:textFill>
            <w14:solidFill>
              <w14:schemeClr w14:val="tx1"/>
            </w14:solidFill>
          </w14:textFill>
        </w:rPr>
      </w:pPr>
      <w:bookmarkStart w:id="51" w:name="_Toc4137"/>
      <w:r>
        <w:rPr>
          <w:rFonts w:hint="eastAsia"/>
          <w:color w:val="000000" w:themeColor="text1"/>
          <w:lang w:eastAsia="zh-CN"/>
          <w14:textFill>
            <w14:solidFill>
              <w14:schemeClr w14:val="tx1"/>
            </w14:solidFill>
          </w14:textFill>
        </w:rPr>
        <w:t>3.2.3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裂缝</w:t>
      </w:r>
      <w:bookmarkEnd w:id="51"/>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裂缝是尾矿坝较为常见的有害因素，某些细小的横向裂缝有可能发展成为坝体的集中渗漏通道，有的纵向裂缝或水平裂缝也可能是坝体出现滑塌的预兆。</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经现场检查，盘古山钨业尾矿库尾矿坝无裂缝现象。</w:t>
      </w:r>
    </w:p>
    <w:p>
      <w:pPr>
        <w:pStyle w:val="4"/>
        <w:bidi w:val="0"/>
        <w:rPr>
          <w:rFonts w:hint="eastAsia"/>
          <w:color w:val="000000" w:themeColor="text1"/>
          <w:lang w:eastAsia="zh-CN"/>
          <w14:textFill>
            <w14:solidFill>
              <w14:schemeClr w14:val="tx1"/>
            </w14:solidFill>
          </w14:textFill>
        </w:rPr>
      </w:pPr>
      <w:bookmarkStart w:id="52" w:name="_Toc3101"/>
      <w:r>
        <w:rPr>
          <w:rFonts w:hint="eastAsia"/>
          <w:color w:val="000000" w:themeColor="text1"/>
          <w:lang w:eastAsia="zh-CN"/>
          <w14:textFill>
            <w14:solidFill>
              <w14:schemeClr w14:val="tx1"/>
            </w14:solidFill>
          </w14:textFill>
        </w:rPr>
        <w:t>3.2.4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坝体坍滑</w:t>
      </w:r>
      <w:bookmarkEnd w:id="52"/>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因为以下主要原因，将导致坝体坍滑：</w:t>
      </w:r>
    </w:p>
    <w:p>
      <w:pPr>
        <w:numPr>
          <w:ilvl w:val="0"/>
          <w:numId w:val="9"/>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坝体边坡过陡，达不到设计要求的稳定边坡；</w:t>
      </w:r>
    </w:p>
    <w:p>
      <w:pPr>
        <w:numPr>
          <w:ilvl w:val="0"/>
          <w:numId w:val="9"/>
        </w:numPr>
        <w:ind w:left="0" w:leftChars="0"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库内水位过高，坝顶没有足够的安全超高；</w:t>
      </w:r>
    </w:p>
    <w:p>
      <w:pPr>
        <w:numPr>
          <w:ilvl w:val="0"/>
          <w:numId w:val="9"/>
        </w:numPr>
        <w:ind w:left="0" w:leftChars="0"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在坝体修筑时没有查明坝体两坝肩基础有淤泥层或其他高压缩性软土层，设计时没有采取相应的措施；</w:t>
      </w:r>
    </w:p>
    <w:p>
      <w:pPr>
        <w:numPr>
          <w:ilvl w:val="0"/>
          <w:numId w:val="9"/>
        </w:numPr>
        <w:ind w:left="0" w:leftChars="0" w:firstLine="56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选择坝址时，没有避开位于坝脚附近的渊潭或水塘，筑坝后由于坝脚处沉陷过大而引起滑坡。</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经现场检查，盘古山钨业尾矿库尾矿坝无坝体坍滑现象</w:t>
      </w:r>
      <w:r>
        <w:rPr>
          <w:rFonts w:hint="eastAsia"/>
          <w:color w:val="000000" w:themeColor="text1"/>
          <w:lang w:eastAsia="zh-CN"/>
          <w14:textFill>
            <w14:solidFill>
              <w14:schemeClr w14:val="tx1"/>
            </w14:solidFill>
          </w14:textFill>
        </w:rPr>
        <w:t>。</w:t>
      </w:r>
    </w:p>
    <w:p>
      <w:pPr>
        <w:pStyle w:val="4"/>
        <w:bidi w:val="0"/>
        <w:rPr>
          <w:rFonts w:hint="eastAsia"/>
          <w:color w:val="000000" w:themeColor="text1"/>
          <w:lang w:eastAsia="zh-CN"/>
          <w14:textFill>
            <w14:solidFill>
              <w14:schemeClr w14:val="tx1"/>
            </w14:solidFill>
          </w14:textFill>
        </w:rPr>
      </w:pPr>
      <w:bookmarkStart w:id="53" w:name="_Toc22741"/>
      <w:r>
        <w:rPr>
          <w:rFonts w:hint="eastAsia"/>
          <w:color w:val="000000" w:themeColor="text1"/>
          <w:lang w:eastAsia="zh-CN"/>
          <w14:textFill>
            <w14:solidFill>
              <w14:schemeClr w14:val="tx1"/>
            </w14:solidFill>
          </w14:textFill>
        </w:rPr>
        <w:t>3.2.5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渗漏</w:t>
      </w:r>
      <w:bookmarkEnd w:id="53"/>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非正常渗漏也是尾矿库常见的危险、有害因素，异常渗漏常导致溢流出口处坝体流土、冲刷及管涌等多种形式的破坏，严重的会导致垮坝事故。非正常渗漏按渗漏的部位可分为：坝体渗漏、坝基渗漏。</w:t>
      </w:r>
    </w:p>
    <w:p>
      <w:pPr>
        <w:numPr>
          <w:ilvl w:val="0"/>
          <w:numId w:val="10"/>
        </w:num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坝体渗漏的主要原因：</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）尾矿坝无排渗设施；</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）尾矿澄清距离过短；</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）尾矿坝下游坝面坡度过陡。</w:t>
      </w:r>
    </w:p>
    <w:p>
      <w:pPr>
        <w:numPr>
          <w:ilvl w:val="0"/>
          <w:numId w:val="10"/>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基础渗漏的主要原因：</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）坝基的工程地质条件差，且施工时未进行必要的处理；</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）筑坝材料不当；</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）无排渗设施。</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经现场检查，盘古山钨业尾矿库尾矿坝无渗漏现象。</w:t>
      </w:r>
    </w:p>
    <w:p>
      <w:pPr>
        <w:pStyle w:val="4"/>
        <w:bidi w:val="0"/>
        <w:rPr>
          <w:rFonts w:hint="eastAsia"/>
          <w:color w:val="000000" w:themeColor="text1"/>
          <w:lang w:eastAsia="zh-CN"/>
          <w14:textFill>
            <w14:solidFill>
              <w14:schemeClr w14:val="tx1"/>
            </w14:solidFill>
          </w14:textFill>
        </w:rPr>
      </w:pPr>
      <w:bookmarkStart w:id="54" w:name="_Toc2914"/>
      <w:r>
        <w:rPr>
          <w:rFonts w:hint="eastAsia"/>
          <w:color w:val="000000" w:themeColor="text1"/>
          <w:lang w:eastAsia="zh-CN"/>
          <w14:textFill>
            <w14:solidFill>
              <w14:schemeClr w14:val="tx1"/>
            </w14:solidFill>
          </w14:textFill>
        </w:rPr>
        <w:t>3.2.6</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排洪构筑物裂缝</w:t>
      </w:r>
      <w:bookmarkEnd w:id="54"/>
    </w:p>
    <w:p>
      <w:pPr>
        <w:numPr>
          <w:ilvl w:val="0"/>
          <w:numId w:val="0"/>
        </w:numPr>
        <w:ind w:left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因为以下主要原因，将导致排洪构筑物裂缝：</w:t>
      </w:r>
    </w:p>
    <w:p>
      <w:pPr>
        <w:numPr>
          <w:ilvl w:val="0"/>
          <w:numId w:val="0"/>
        </w:numPr>
        <w:ind w:left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设计不合理或无设计；</w:t>
      </w:r>
    </w:p>
    <w:p>
      <w:pPr>
        <w:numPr>
          <w:ilvl w:val="0"/>
          <w:numId w:val="0"/>
        </w:numPr>
        <w:ind w:left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未按设计要求施工；</w:t>
      </w:r>
    </w:p>
    <w:p>
      <w:pPr>
        <w:numPr>
          <w:ilvl w:val="0"/>
          <w:numId w:val="0"/>
        </w:numPr>
        <w:ind w:left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施工质量差；</w:t>
      </w:r>
    </w:p>
    <w:p>
      <w:pPr>
        <w:numPr>
          <w:ilvl w:val="0"/>
          <w:numId w:val="0"/>
        </w:numPr>
        <w:ind w:left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山体滑坡影响；</w:t>
      </w:r>
    </w:p>
    <w:p>
      <w:pPr>
        <w:numPr>
          <w:ilvl w:val="0"/>
          <w:numId w:val="0"/>
        </w:numPr>
        <w:ind w:left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构筑物承载能力不均匀。</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经现场检查，盘古山钨业尾矿库新建排洪构筑物无裂缝现象。原有排洪构筑物的涵洞虽有裂缝现象，但无塌陷、堵塞现象，仍正常运行。</w:t>
      </w:r>
    </w:p>
    <w:p>
      <w:pPr>
        <w:pStyle w:val="4"/>
        <w:bidi w:val="0"/>
        <w:rPr>
          <w:rFonts w:hint="eastAsia"/>
          <w:color w:val="000000" w:themeColor="text1"/>
          <w:lang w:eastAsia="zh-CN"/>
          <w14:textFill>
            <w14:solidFill>
              <w14:schemeClr w14:val="tx1"/>
            </w14:solidFill>
          </w14:textFill>
        </w:rPr>
      </w:pPr>
      <w:bookmarkStart w:id="55" w:name="_Toc23118"/>
      <w:r>
        <w:rPr>
          <w:rFonts w:hint="eastAsia"/>
          <w:color w:val="000000" w:themeColor="text1"/>
          <w:lang w:eastAsia="zh-CN"/>
          <w14:textFill>
            <w14:solidFill>
              <w14:schemeClr w14:val="tx1"/>
            </w14:solidFill>
          </w14:textFill>
        </w:rPr>
        <w:t>3.2.7</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排洪构筑物垮塌</w:t>
      </w:r>
      <w:bookmarkEnd w:id="55"/>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排洪构筑物错动、断裂常常造成大量泄漏，垮塌造成堵塞，排洪能力急剧下降，直接危及坝体安全。</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排洪构筑物断裂、垮塌常由下列原因引起：</w:t>
      </w:r>
    </w:p>
    <w:p>
      <w:pPr>
        <w:numPr>
          <w:ilvl w:val="0"/>
          <w:numId w:val="11"/>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基础资料不确切、设计方案及技术论证方法不当、不遵循设计规范、对库水位的控制要求不明确，或要求不切实际等方面；</w:t>
      </w:r>
    </w:p>
    <w:p>
      <w:pPr>
        <w:numPr>
          <w:ilvl w:val="0"/>
          <w:numId w:val="11"/>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设计人员技术不高或经验不足所造成；</w:t>
      </w:r>
    </w:p>
    <w:p>
      <w:pPr>
        <w:numPr>
          <w:ilvl w:val="0"/>
          <w:numId w:val="11"/>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未按设计要求施工；</w:t>
      </w:r>
    </w:p>
    <w:p>
      <w:pPr>
        <w:numPr>
          <w:ilvl w:val="0"/>
          <w:numId w:val="11"/>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排洪管线等处的不良地质条件未能查明，地基不均匀沉陷；出现不均匀或集中荷载；水流流态改变等；</w:t>
      </w:r>
    </w:p>
    <w:p>
      <w:pPr>
        <w:numPr>
          <w:ilvl w:val="0"/>
          <w:numId w:val="11"/>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排洪构筑物有蜂窝、麻面或强度不达标，当负荷逐渐增大时，会造成掉块、漏筋、断裂、甚至倒塌等病害。</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经现场检查，盘古山钨业尾矿库排洪构筑物无垮塌现象。</w:t>
      </w:r>
    </w:p>
    <w:p>
      <w:pPr>
        <w:pStyle w:val="4"/>
        <w:bidi w:val="0"/>
        <w:rPr>
          <w:rFonts w:hint="eastAsia"/>
          <w:color w:val="000000" w:themeColor="text1"/>
          <w:lang w:eastAsia="zh-CN"/>
          <w14:textFill>
            <w14:solidFill>
              <w14:schemeClr w14:val="tx1"/>
            </w14:solidFill>
          </w14:textFill>
        </w:rPr>
      </w:pPr>
      <w:bookmarkStart w:id="56" w:name="_Toc26560"/>
      <w:r>
        <w:rPr>
          <w:rFonts w:hint="eastAsia"/>
          <w:color w:val="000000" w:themeColor="text1"/>
          <w:lang w:eastAsia="zh-CN"/>
          <w14:textFill>
            <w14:solidFill>
              <w14:schemeClr w14:val="tx1"/>
            </w14:solidFill>
          </w14:textFill>
        </w:rPr>
        <w:t>3.2.8</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排水构筑物堵塞</w:t>
      </w:r>
      <w:bookmarkEnd w:id="56"/>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排水构筑物堵塞导致排洪能力急剧下降，库水位上升，安全超高不够，直接危及坝体安全。</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排洪构筑物堵塞主要原因有：</w:t>
      </w:r>
    </w:p>
    <w:p>
      <w:pPr>
        <w:numPr>
          <w:ilvl w:val="0"/>
          <w:numId w:val="12"/>
        </w:num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进水口杂物淤积；</w:t>
      </w:r>
    </w:p>
    <w:p>
      <w:pPr>
        <w:numPr>
          <w:ilvl w:val="0"/>
          <w:numId w:val="12"/>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构筑物垮塌；</w:t>
      </w:r>
    </w:p>
    <w:p>
      <w:pPr>
        <w:numPr>
          <w:ilvl w:val="0"/>
          <w:numId w:val="12"/>
        </w:numPr>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长期对排洪构筑物不进行检查、维修，致使堵塞、露筋、塌陷等隐患未能及时发现。</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经现场检查，盘古山钨业尾矿库排洪构筑物无堵塞现象。</w:t>
      </w:r>
    </w:p>
    <w:p>
      <w:pPr>
        <w:pStyle w:val="4"/>
        <w:bidi w:val="0"/>
        <w:rPr>
          <w:rFonts w:hint="eastAsia"/>
          <w:color w:val="000000" w:themeColor="text1"/>
          <w:lang w:eastAsia="zh-CN"/>
          <w14:textFill>
            <w14:solidFill>
              <w14:schemeClr w14:val="tx1"/>
            </w14:solidFill>
          </w14:textFill>
        </w:rPr>
      </w:pPr>
      <w:bookmarkStart w:id="57" w:name="_Toc1780"/>
      <w:r>
        <w:rPr>
          <w:rFonts w:hint="eastAsia"/>
          <w:color w:val="000000" w:themeColor="text1"/>
          <w:lang w:eastAsia="zh-CN"/>
          <w14:textFill>
            <w14:solidFill>
              <w14:schemeClr w14:val="tx1"/>
            </w14:solidFill>
          </w14:textFill>
        </w:rPr>
        <w:t>3.2.9</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排洪构筑物错动</w:t>
      </w:r>
      <w:bookmarkEnd w:id="57"/>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排洪构筑物错动主要由以下原因产生：</w:t>
      </w:r>
    </w:p>
    <w:p>
      <w:pPr>
        <w:numPr>
          <w:ilvl w:val="0"/>
          <w:numId w:val="13"/>
        </w:num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设计不合理或无设计；</w:t>
      </w:r>
    </w:p>
    <w:p>
      <w:pPr>
        <w:numPr>
          <w:ilvl w:val="0"/>
          <w:numId w:val="13"/>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未按设计要求施工；</w:t>
      </w:r>
    </w:p>
    <w:p>
      <w:pPr>
        <w:numPr>
          <w:ilvl w:val="0"/>
          <w:numId w:val="13"/>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施工质量差；</w:t>
      </w:r>
    </w:p>
    <w:p>
      <w:pPr>
        <w:numPr>
          <w:ilvl w:val="0"/>
          <w:numId w:val="13"/>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山体滑坡影响；</w:t>
      </w:r>
    </w:p>
    <w:p>
      <w:pPr>
        <w:numPr>
          <w:ilvl w:val="0"/>
          <w:numId w:val="13"/>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洪水影响。</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经现场检查，盘古山钨业尾矿库排洪构筑物无错动现象。</w:t>
      </w:r>
    </w:p>
    <w:p>
      <w:pPr>
        <w:pStyle w:val="4"/>
        <w:bidi w:val="0"/>
        <w:rPr>
          <w:rFonts w:hint="eastAsia"/>
          <w:color w:val="000000" w:themeColor="text1"/>
          <w:lang w:eastAsia="zh-CN"/>
          <w14:textFill>
            <w14:solidFill>
              <w14:schemeClr w14:val="tx1"/>
            </w14:solidFill>
          </w14:textFill>
        </w:rPr>
      </w:pPr>
      <w:bookmarkStart w:id="58" w:name="_Toc28719"/>
      <w:r>
        <w:rPr>
          <w:rFonts w:hint="eastAsia"/>
          <w:color w:val="000000" w:themeColor="text1"/>
          <w:lang w:eastAsia="zh-CN"/>
          <w14:textFill>
            <w14:solidFill>
              <w14:schemeClr w14:val="tx1"/>
            </w14:solidFill>
          </w14:textFill>
        </w:rPr>
        <w:t>3.2.10</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淹溺</w:t>
      </w:r>
      <w:bookmarkEnd w:id="58"/>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操作人员及管理人员在巡查尾矿库时意外坠入水中，将造成人员淹溺窒息。</w:t>
      </w:r>
    </w:p>
    <w:p>
      <w:pPr>
        <w:pStyle w:val="4"/>
        <w:bidi w:val="0"/>
        <w:rPr>
          <w:rFonts w:hint="eastAsia"/>
          <w:color w:val="000000" w:themeColor="text1"/>
          <w:lang w:eastAsia="zh-CN"/>
          <w14:textFill>
            <w14:solidFill>
              <w14:schemeClr w14:val="tx1"/>
            </w14:solidFill>
          </w14:textFill>
        </w:rPr>
      </w:pPr>
      <w:bookmarkStart w:id="59" w:name="_Toc18346"/>
      <w:r>
        <w:rPr>
          <w:rFonts w:hint="eastAsia"/>
          <w:color w:val="000000" w:themeColor="text1"/>
          <w:lang w:eastAsia="zh-CN"/>
          <w14:textFill>
            <w14:solidFill>
              <w14:schemeClr w14:val="tx1"/>
            </w14:solidFill>
          </w14:textFill>
        </w:rPr>
        <w:t>3.2.11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高处坠落</w:t>
      </w:r>
      <w:bookmarkEnd w:id="59"/>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高处坠落是指在2.0m及以上的高处作业中发生坠落造成的伤亡事故。本项目主要是指巡查副坝、库区时，思想麻痹、身体、精神状态不良等意外发生高处坠落事故。</w:t>
      </w:r>
    </w:p>
    <w:p>
      <w:pPr>
        <w:pStyle w:val="4"/>
        <w:bidi w:val="0"/>
        <w:rPr>
          <w:rFonts w:hint="eastAsia" w:ascii="Times New Roman" w:hAnsi="Times New Roman" w:cs="Times New Roman"/>
          <w:color w:val="000000" w:themeColor="text1"/>
          <w:lang w:val="en-US" w:eastAsia="zh-CN"/>
          <w14:textFill>
            <w14:solidFill>
              <w14:schemeClr w14:val="tx1"/>
            </w14:solidFill>
          </w14:textFill>
        </w:rPr>
      </w:pPr>
      <w:bookmarkStart w:id="60" w:name="_Toc4257"/>
      <w:r>
        <w:rPr>
          <w:rFonts w:hint="eastAsia" w:ascii="Times New Roman" w:hAnsi="Times New Roman" w:cs="Times New Roman"/>
          <w:color w:val="000000" w:themeColor="text1"/>
          <w:lang w:val="en-US" w:eastAsia="zh-CN"/>
          <w14:textFill>
            <w14:solidFill>
              <w14:schemeClr w14:val="tx1"/>
            </w14:solidFill>
          </w14:textFill>
        </w:rPr>
        <w:t>3.2.12 触电</w:t>
      </w:r>
      <w:bookmarkEnd w:id="60"/>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在操作使用照明设施过程中，尾矿库作业人员有发生触电伤害的可能。发生触电伤害的原因：</w:t>
      </w:r>
    </w:p>
    <w:p>
      <w:pPr>
        <w:numPr>
          <w:ilvl w:val="0"/>
          <w:numId w:val="14"/>
        </w:num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控制板接地不良，受潮；</w:t>
      </w:r>
    </w:p>
    <w:p>
      <w:pPr>
        <w:numPr>
          <w:ilvl w:val="0"/>
          <w:numId w:val="14"/>
        </w:numPr>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电缆绝缘失效；</w:t>
      </w:r>
    </w:p>
    <w:p>
      <w:pPr>
        <w:numPr>
          <w:ilvl w:val="0"/>
          <w:numId w:val="14"/>
        </w:numPr>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电缆违章敷设；</w:t>
      </w:r>
    </w:p>
    <w:p>
      <w:pPr>
        <w:numPr>
          <w:ilvl w:val="0"/>
          <w:numId w:val="14"/>
        </w:numPr>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电缆电线老化、漏电；</w:t>
      </w:r>
    </w:p>
    <w:p>
      <w:pPr>
        <w:numPr>
          <w:ilvl w:val="0"/>
          <w:numId w:val="14"/>
        </w:numPr>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违章操作。</w:t>
      </w:r>
    </w:p>
    <w:p>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000000" w:themeColor="text1"/>
          <w:kern w:val="2"/>
          <w:sz w:val="28"/>
          <w:szCs w:val="24"/>
          <w:lang w:val="en-US" w:eastAsia="zh-CN" w:bidi="ar-SA"/>
          <w14:textFill>
            <w14:solidFill>
              <w14:schemeClr w14:val="tx1"/>
            </w14:solidFill>
          </w14:textFill>
        </w:rPr>
      </w:pPr>
      <w:bookmarkStart w:id="61" w:name="_Toc27829"/>
      <w:r>
        <w:rPr>
          <w:rFonts w:hint="eastAsia" w:ascii="Times New Roman" w:hAnsi="Times New Roman" w:eastAsia="黑体" w:cs="Times New Roman"/>
          <w:b/>
          <w:color w:val="000000" w:themeColor="text1"/>
          <w:kern w:val="2"/>
          <w:sz w:val="28"/>
          <w:szCs w:val="24"/>
          <w:lang w:val="en-US" w:eastAsia="zh-CN" w:bidi="ar-SA"/>
          <w14:textFill>
            <w14:solidFill>
              <w14:schemeClr w14:val="tx1"/>
            </w14:solidFill>
          </w14:textFill>
        </w:rPr>
        <w:t>3.2.13 粉尘</w:t>
      </w:r>
      <w:bookmarkEnd w:id="61"/>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在干旱季节和久晴未雨的情况下，遇上刮风时尾矿堆积坝的下游坡和尾矿库的干滩面上部分粒径较小的尾砂将会被风扬起，产生扬尘，对人体产生危害，或对环境产生污染。</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盘古山钨业通过在堆积坝坝坡面上种植松树、覆土植被等措施，将尾矿粉尘危害大幅度减轻。</w:t>
      </w:r>
    </w:p>
    <w:p>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000000" w:themeColor="text1"/>
          <w:kern w:val="2"/>
          <w:sz w:val="28"/>
          <w:szCs w:val="24"/>
          <w:lang w:val="en-US" w:eastAsia="zh-CN" w:bidi="ar-SA"/>
          <w14:textFill>
            <w14:solidFill>
              <w14:schemeClr w14:val="tx1"/>
            </w14:solidFill>
          </w14:textFill>
        </w:rPr>
      </w:pPr>
      <w:bookmarkStart w:id="62" w:name="_Toc1023"/>
      <w:r>
        <w:rPr>
          <w:rFonts w:hint="eastAsia" w:ascii="Times New Roman" w:hAnsi="Times New Roman" w:eastAsia="黑体" w:cs="Times New Roman"/>
          <w:b/>
          <w:color w:val="000000" w:themeColor="text1"/>
          <w:kern w:val="2"/>
          <w:sz w:val="28"/>
          <w:szCs w:val="24"/>
          <w:lang w:val="en-US" w:eastAsia="zh-CN" w:bidi="ar-SA"/>
          <w14:textFill>
            <w14:solidFill>
              <w14:schemeClr w14:val="tx1"/>
            </w14:solidFill>
          </w14:textFill>
        </w:rPr>
        <w:t>3.2.14 不良环境因素</w:t>
      </w:r>
      <w:bookmarkEnd w:id="62"/>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主要指恶劣自然条件下的不安全因素，如超设计频率暴雨洪水、库区雷击、高温、低温等因素。</w:t>
      </w:r>
    </w:p>
    <w:p>
      <w:pPr>
        <w:keepNext/>
        <w:keepLines/>
        <w:widowControl w:val="0"/>
        <w:bidi w:val="0"/>
        <w:spacing w:beforeLines="0" w:beforeAutospacing="0" w:afterLines="0" w:afterAutospacing="0" w:line="360" w:lineRule="auto"/>
        <w:ind w:left="560" w:leftChars="200" w:firstLine="0" w:firstLineChars="0"/>
        <w:jc w:val="both"/>
        <w:outlineLvl w:val="2"/>
        <w:rPr>
          <w:rFonts w:hint="eastAsia" w:ascii="Times New Roman" w:hAnsi="Times New Roman" w:eastAsia="黑体" w:cs="Times New Roman"/>
          <w:b/>
          <w:color w:val="000000" w:themeColor="text1"/>
          <w:kern w:val="2"/>
          <w:sz w:val="28"/>
          <w:szCs w:val="24"/>
          <w:lang w:val="en-US" w:eastAsia="zh-CN" w:bidi="ar-SA"/>
          <w14:textFill>
            <w14:solidFill>
              <w14:schemeClr w14:val="tx1"/>
            </w14:solidFill>
          </w14:textFill>
        </w:rPr>
      </w:pPr>
      <w:bookmarkStart w:id="63" w:name="_Toc2629"/>
      <w:r>
        <w:rPr>
          <w:rFonts w:hint="eastAsia" w:ascii="Times New Roman" w:hAnsi="Times New Roman" w:eastAsia="黑体" w:cs="Times New Roman"/>
          <w:b/>
          <w:color w:val="000000" w:themeColor="text1"/>
          <w:kern w:val="2"/>
          <w:sz w:val="28"/>
          <w:szCs w:val="24"/>
          <w:lang w:val="en-US" w:eastAsia="zh-CN" w:bidi="ar-SA"/>
          <w14:textFill>
            <w14:solidFill>
              <w14:schemeClr w14:val="tx1"/>
            </w14:solidFill>
          </w14:textFill>
        </w:rPr>
        <w:t>3.2.15 库区山体滑坡、塌方和泥石流</w:t>
      </w:r>
      <w:bookmarkEnd w:id="63"/>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尾矿库库区山体滑坡、塌方和泥石流会阻塞截洪沟、库内排洪系统造成洪水漫坝，对尾矿库的安全产生不利影响。</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经现场检查，盘古山钨业尾矿库库区无山体滑坡、塌方和泥石流象。</w:t>
      </w:r>
    </w:p>
    <w:p>
      <w:pPr>
        <w:pStyle w:val="3"/>
        <w:bidi w:val="0"/>
        <w:rPr>
          <w:rFonts w:hint="eastAsia"/>
          <w:color w:val="000000" w:themeColor="text1"/>
          <w:lang w:eastAsia="zh-CN"/>
          <w14:textFill>
            <w14:solidFill>
              <w14:schemeClr w14:val="tx1"/>
            </w14:solidFill>
          </w14:textFill>
        </w:rPr>
      </w:pPr>
      <w:bookmarkStart w:id="64" w:name="_Toc26357"/>
      <w:r>
        <w:rPr>
          <w:rFonts w:hint="eastAsia"/>
          <w:color w:val="000000" w:themeColor="text1"/>
          <w:lang w:eastAsia="zh-CN"/>
          <w14:textFill>
            <w14:solidFill>
              <w14:schemeClr w14:val="tx1"/>
            </w14:solidFill>
          </w14:textFill>
        </w:rPr>
        <w:t>3.3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重大危险源辨识与重大生产安全事故隐患识别</w:t>
      </w:r>
      <w:bookmarkEnd w:id="64"/>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重大危险源辨识</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依据《国家安全监管总局关于宣布失效一批安全生产文件的通知》，《关于开展重大危险源监督管理工作的指导意见》</w:t>
      </w:r>
      <w:r>
        <w:rPr>
          <w:rFonts w:hint="eastAsia"/>
          <w:color w:val="000000" w:themeColor="text1"/>
          <w:lang w:val="en-US" w:eastAsia="zh-CN"/>
          <w14:textFill>
            <w14:solidFill>
              <w14:schemeClr w14:val="tx1"/>
            </w14:solidFill>
          </w14:textFill>
        </w:rPr>
        <w:t>现</w:t>
      </w:r>
      <w:r>
        <w:rPr>
          <w:rFonts w:hint="eastAsia"/>
          <w:color w:val="000000" w:themeColor="text1"/>
          <w:lang w:eastAsia="zh-CN"/>
          <w14:textFill>
            <w14:solidFill>
              <w14:schemeClr w14:val="tx1"/>
            </w14:solidFill>
          </w14:textFill>
        </w:rPr>
        <w:t>已失效</w:t>
      </w:r>
      <w:r>
        <w:rPr>
          <w:rFonts w:hint="eastAsia"/>
          <w:color w:val="000000" w:themeColor="text1"/>
          <w:lang w:val="en-US" w:eastAsia="zh-CN"/>
          <w14:textFill>
            <w14:solidFill>
              <w14:schemeClr w14:val="tx1"/>
            </w14:solidFill>
          </w14:textFill>
        </w:rPr>
        <w:t>作废</w:t>
      </w:r>
      <w:r>
        <w:rPr>
          <w:rFonts w:hint="eastAsia"/>
          <w:color w:val="000000" w:themeColor="text1"/>
          <w:lang w:eastAsia="zh-CN"/>
          <w14:textFill>
            <w14:solidFill>
              <w14:schemeClr w14:val="tx1"/>
            </w14:solidFill>
          </w14:textFill>
        </w:rPr>
        <w:t>，原国家安全监管总局和国家应急管理部未出台新的关于尾矿库重大危险源辨识的配套文件；依据《中华人民共和国安全生产法》，“重大危险源，是指长期地或者临时地生产、搬运、使用或者储存危险物品，且危险物品的数量等于或者超过临界量的单元（包括场所和设施）”，可知重大危险源主要针对的是危险物品，但盘古山钨业选矿厂排放的尾矿属于Ⅰ类一般工业固体废物，不在危险物品之列，尾矿库目前暂不属于重大危险源范畴。故盘古山钨业尾矿库目前暂不属于重大危险源范畴。但尾矿库是矿山企业重要的危险源，是一个具有高势能的人造泥石流的危险源，一旦失事，将给下游造成严重损失。企业仍应登记建档、定期检测、评估、监控，并制定应急预案，告知从业人员和相关人员在紧急情况下应当采取的应急措施，并报应急部门备案。</w:t>
      </w:r>
    </w:p>
    <w:p>
      <w:pPr>
        <w:numPr>
          <w:ilvl w:val="0"/>
          <w:numId w:val="0"/>
        </w:numPr>
        <w:ind w:left="0" w:leftChars="0" w:firstLine="560" w:firstLineChars="200"/>
        <w:rPr>
          <w:rFonts w:hint="eastAsia"/>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2.</w:t>
      </w:r>
      <w:r>
        <w:rPr>
          <w:rFonts w:hint="eastAsia" w:cs="Times New Roman"/>
          <w:color w:val="000000" w:themeColor="text1"/>
          <w:kern w:val="2"/>
          <w:sz w:val="28"/>
          <w:szCs w:val="24"/>
          <w:lang w:val="en-US" w:eastAsia="zh-CN" w:bidi="ar-SA"/>
          <w14:textFill>
            <w14:solidFill>
              <w14:schemeClr w14:val="tx1"/>
            </w14:solidFill>
          </w14:textFill>
        </w:rPr>
        <w:t xml:space="preserve"> </w:t>
      </w:r>
      <w:r>
        <w:rPr>
          <w:rFonts w:hint="eastAsia"/>
          <w:color w:val="000000" w:themeColor="text1"/>
          <w:lang w:eastAsia="zh-CN"/>
          <w14:textFill>
            <w14:solidFill>
              <w14:schemeClr w14:val="tx1"/>
            </w14:solidFill>
          </w14:textFill>
        </w:rPr>
        <w:t>重大生产安全事故隐患识别</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依据《国家矿山安全监察局关于印发〈金属非金属矿山重大事故隐患判定标准〉的通知》，对盘古山钨业尾矿库进行重大生产安全事故隐患识别，识别结果如下表：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盘古山钨业尾矿库重大事故隐患识别情况表</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5435"/>
        <w:gridCol w:w="1460"/>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5435"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重大生产安全事故隐患</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现场实际情况</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识别结果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库区或者尾矿坝上存在未按设计进行开采、挖掘、爆破等危及尾矿库安全的活动。</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无此现象</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坝体存在下列情形之一的：</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1.坝体出现严重的管涌、流土变形等现象；</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2.坝体出现贯穿性裂缝、坍塌、滑动迹象；</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3.坝体出现大面积纵向裂缝，且出现较大范围渗透水高位出逸或者大面积沼泽化。</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无此现象</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坝体的平均外坡比或者堆积子坝的外坡比陡于设计坡比。</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尾矿</w:t>
            </w:r>
            <w:r>
              <w:rPr>
                <w:rFonts w:hint="default" w:ascii="Times New Roman" w:hAnsi="Times New Roman" w:eastAsia="宋体" w:cs="Times New Roman"/>
                <w:bCs/>
                <w:color w:val="000000" w:themeColor="text1"/>
                <w:sz w:val="21"/>
                <w:szCs w:val="21"/>
                <w14:textFill>
                  <w14:solidFill>
                    <w14:schemeClr w14:val="tx1"/>
                  </w14:solidFill>
                </w14:textFill>
              </w:rPr>
              <w:t>坝的外坡比符合设计值</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坝体高度超过设计总坝高，或者尾矿库超过设计库容贮存尾矿。</w:t>
            </w:r>
          </w:p>
        </w:tc>
        <w:tc>
          <w:tcPr>
            <w:tcW w:w="1460" w:type="dxa"/>
            <w:noWrap w:val="0"/>
            <w:vAlign w:val="center"/>
          </w:tcPr>
          <w:p>
            <w:pPr>
              <w:keepNext w:val="0"/>
              <w:keepLines w:val="0"/>
              <w:pageBreakBefore w:val="0"/>
              <w:widowControl/>
              <w:shd w:val="clear" w:color="auto" w:fill="FFFFFF"/>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尾矿堆积坝上升速率大于设计堆积上升速率。</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无此现象</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采用尾矿堆坝的尾矿库，未按《尾矿库安全规程》（GB39496-2020）第6.1.9条规定对尾矿坝做全面的安全性复核。</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bCs/>
                <w:color w:val="000000" w:themeColor="text1"/>
                <w:sz w:val="21"/>
                <w:szCs w:val="21"/>
                <w14:textFill>
                  <w14:solidFill>
                    <w14:schemeClr w14:val="tx1"/>
                  </w14:solidFill>
                </w14:textFill>
              </w:rPr>
              <w:t>按规定对尾矿坝做全面的安全性复核。</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浸润线埋深小于控制浸润线埋深。</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无此现象</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汛前未按国家有关规定对尾矿库进行调洪演算，或者湿式尾矿库防洪高度和干滩长度小于设计值，或者干式尾矿库防洪高度和防洪宽度小于设计值。</w:t>
            </w:r>
          </w:p>
        </w:tc>
        <w:tc>
          <w:tcPr>
            <w:tcW w:w="1460" w:type="dxa"/>
            <w:noWrap w:val="0"/>
            <w:vAlign w:val="center"/>
          </w:tcPr>
          <w:p>
            <w:pPr>
              <w:keepNext w:val="0"/>
              <w:keepLines w:val="0"/>
              <w:pageBreakBefore w:val="0"/>
              <w:widowControl/>
              <w:shd w:val="clear" w:color="auto" w:fill="FFFFFF"/>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开展了调洪演算。</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排洪系统存在下列情形之一的：</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1.排水井、排水斜槽、排水管、排水隧洞、拱板、盖板等排洪建构筑物混凝土厚度、强度或者型式不满足设计要求；</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2.排洪设施部分堵塞或者坍塌、排水井有所倾斜，排水能力有所降低，达不到设计要求；</w:t>
            </w:r>
          </w:p>
          <w:p>
            <w:pPr>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3.排洪构筑物终止使用时，封堵措施不满足设计要求。</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设计以外的尾矿、废料或者废水进库。</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11</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多种矿石性质不同的尾砂混合排放时，未按设计进行排放。</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冬季未按设计要求的冰下放矿方式进行放矿作业。</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13</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安全监测系统存在下列情形之一的：</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bookmarkStart w:id="65" w:name="_Toc9027"/>
            <w:r>
              <w:rPr>
                <w:rFonts w:hint="default" w:ascii="Times New Roman" w:hAnsi="Times New Roman" w:eastAsia="宋体" w:cs="Times New Roman"/>
                <w:color w:val="000000" w:themeColor="text1"/>
                <w:kern w:val="0"/>
                <w:sz w:val="21"/>
                <w:szCs w:val="21"/>
                <w14:textFill>
                  <w14:solidFill>
                    <w14:schemeClr w14:val="tx1"/>
                  </w14:solidFill>
                </w14:textFill>
              </w:rPr>
              <w:t>1.未按设计设置安全监测系统；</w:t>
            </w:r>
            <w:bookmarkEnd w:id="65"/>
          </w:p>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2.安全监测系统运行不正常未及时修复；</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3.关闭、破坏安全监测系统，或者篡改、隐瞒、销毁其相关数据、信息。</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运行正常</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14</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干式尾矿库存在下列情形之一的：</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1.入库尾矿的含水率大于设计值，无法进行正常碾压且未设置可靠的防范措施；</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2.堆存推进方向与设计不一致；</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3.分层厚度或者台阶高度大于设计值；</w:t>
            </w:r>
          </w:p>
          <w:p>
            <w:pPr>
              <w:keepNext w:val="0"/>
              <w:keepLines w:val="0"/>
              <w:pageBreakBefore w:val="0"/>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4.未按设计要求进行碾压。</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无此现象。</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经验算，坝体抗滑稳定最小安全系数小于国家标准规定值的0.98倍。</w:t>
            </w:r>
          </w:p>
        </w:tc>
        <w:tc>
          <w:tcPr>
            <w:tcW w:w="1460"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经验算，尾矿坝坝体在各类工况均处于安全稳定状态。</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16</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三等及以上尾矿库及“头顶库”未按设计设置通往坝顶、排洪系统附近的应急道路，或者应急道路无法满足应急抢险时通行和运送应急物资的需求。</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设有应急道路。</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17</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尾矿库回采存在下列情形之一的：</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1.未经批准擅自回采；</w:t>
            </w:r>
          </w:p>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2.回采方式、顺序、单层开采高度、台阶坡面角不符合设计要求；</w:t>
            </w:r>
          </w:p>
          <w:p>
            <w:pPr>
              <w:keepNext w:val="0"/>
              <w:keepLines w:val="0"/>
              <w:pageBreakBefore w:val="0"/>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3.同时进行回采和排放。</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18</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用以贮存独立选矿厂进行矿石选别后排出尾矿的场所，未按尾矿库实施安全管理的。</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无此现象。</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19</w:t>
            </w:r>
          </w:p>
        </w:tc>
        <w:tc>
          <w:tcPr>
            <w:tcW w:w="5435" w:type="dxa"/>
            <w:noWrap w:val="0"/>
            <w:vAlign w:val="center"/>
          </w:tcPr>
          <w:p>
            <w:pPr>
              <w:keepNext w:val="0"/>
              <w:keepLines w:val="0"/>
              <w:pageBreakBefore w:val="0"/>
              <w:widowControl/>
              <w:shd w:val="clear" w:color="auto" w:fill="FFFFFF"/>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未按国家规定配备专职安全生产管理人员、专业技术人员和特种作业人员。</w:t>
            </w:r>
          </w:p>
        </w:tc>
        <w:tc>
          <w:tcPr>
            <w:tcW w:w="1460"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配有安全管理人员、专业技术人员、尾矿工。</w:t>
            </w:r>
          </w:p>
        </w:tc>
        <w:tc>
          <w:tcPr>
            <w:tcW w:w="1402" w:type="dxa"/>
            <w:noWrap w:val="0"/>
            <w:vAlign w:val="center"/>
          </w:tcPr>
          <w:p>
            <w:pPr>
              <w:keepNext w:val="0"/>
              <w:keepLines w:val="0"/>
              <w:pageBreakBefore w:val="0"/>
              <w:tabs>
                <w:tab w:val="left" w:pos="6810"/>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无重大隐患</w:t>
            </w:r>
          </w:p>
        </w:tc>
      </w:tr>
    </w:tbl>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经现场检查，盘古山钨业尾矿库不存在上述重大生产安全事故隐患，故盘古山钨业尾矿库目前无重大生产安全隐患。</w:t>
      </w:r>
    </w:p>
    <w:p>
      <w:pPr>
        <w:pStyle w:val="3"/>
        <w:bidi w:val="0"/>
        <w:rPr>
          <w:rFonts w:hint="eastAsia"/>
          <w:color w:val="000000" w:themeColor="text1"/>
          <w:lang w:eastAsia="zh-CN"/>
          <w14:textFill>
            <w14:solidFill>
              <w14:schemeClr w14:val="tx1"/>
            </w14:solidFill>
          </w14:textFill>
        </w:rPr>
      </w:pPr>
      <w:bookmarkStart w:id="66" w:name="_Toc18060"/>
      <w:r>
        <w:rPr>
          <w:rFonts w:hint="eastAsia"/>
          <w:color w:val="000000" w:themeColor="text1"/>
          <w:lang w:eastAsia="zh-CN"/>
          <w14:textFill>
            <w14:solidFill>
              <w14:schemeClr w14:val="tx1"/>
            </w14:solidFill>
          </w14:textFill>
        </w:rPr>
        <w:t>3.4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危险、有害因素分析结果</w:t>
      </w:r>
      <w:bookmarkEnd w:id="66"/>
    </w:p>
    <w:p>
      <w:pPr>
        <w:pStyle w:val="4"/>
        <w:bidi w:val="0"/>
        <w:rPr>
          <w:rFonts w:hint="eastAsia"/>
          <w:color w:val="000000" w:themeColor="text1"/>
          <w:lang w:eastAsia="zh-CN"/>
          <w14:textFill>
            <w14:solidFill>
              <w14:schemeClr w14:val="tx1"/>
            </w14:solidFill>
          </w14:textFill>
        </w:rPr>
      </w:pPr>
      <w:bookmarkStart w:id="67" w:name="_Toc14916"/>
      <w:r>
        <w:rPr>
          <w:rFonts w:hint="eastAsia"/>
          <w:color w:val="000000" w:themeColor="text1"/>
          <w:lang w:eastAsia="zh-CN"/>
          <w14:textFill>
            <w14:solidFill>
              <w14:schemeClr w14:val="tx1"/>
            </w14:solidFill>
          </w14:textFill>
        </w:rPr>
        <w:t>3.4.1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危险、有害因素产生的原因</w:t>
      </w:r>
      <w:bookmarkEnd w:id="67"/>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勘察因素造成；</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设计因素造成；</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施工因素造成；</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操作管理不当造成；</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其他因素造成。</w:t>
      </w:r>
    </w:p>
    <w:p>
      <w:pPr>
        <w:pStyle w:val="4"/>
        <w:bidi w:val="0"/>
        <w:rPr>
          <w:rFonts w:hint="eastAsia"/>
          <w:color w:val="000000" w:themeColor="text1"/>
          <w:lang w:eastAsia="zh-CN"/>
          <w14:textFill>
            <w14:solidFill>
              <w14:schemeClr w14:val="tx1"/>
            </w14:solidFill>
          </w14:textFill>
        </w:rPr>
      </w:pPr>
      <w:bookmarkStart w:id="68" w:name="_Toc3411"/>
      <w:r>
        <w:rPr>
          <w:rFonts w:hint="eastAsia"/>
          <w:color w:val="000000" w:themeColor="text1"/>
          <w:lang w:eastAsia="zh-CN"/>
          <w14:textFill>
            <w14:solidFill>
              <w14:schemeClr w14:val="tx1"/>
            </w14:solidFill>
          </w14:textFill>
        </w:rPr>
        <w:t>3.4.2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危险、有害因素分析结果</w:t>
      </w:r>
      <w:bookmarkEnd w:id="68"/>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盘古山钨业尾矿库暂不属于重大危险源，不存在生产安全事故重大隐患。</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盘古山钨业尾矿库可能存在：滑坡（坝坡失稳）；坝体位移、沉陷；裂缝；</w:t>
      </w:r>
      <w:r>
        <w:rPr>
          <w:rFonts w:hint="eastAsia"/>
          <w:color w:val="000000" w:themeColor="text1"/>
          <w:lang w:val="en-US" w:eastAsia="zh-CN"/>
          <w14:textFill>
            <w14:solidFill>
              <w14:schemeClr w14:val="tx1"/>
            </w14:solidFill>
          </w14:textFill>
        </w:rPr>
        <w:t>坝体</w:t>
      </w:r>
      <w:r>
        <w:rPr>
          <w:rFonts w:hint="eastAsia"/>
          <w:color w:val="000000" w:themeColor="text1"/>
          <w:lang w:eastAsia="zh-CN"/>
          <w14:textFill>
            <w14:solidFill>
              <w14:schemeClr w14:val="tx1"/>
            </w14:solidFill>
          </w14:textFill>
        </w:rPr>
        <w:t>坍滑；渗漏；排洪构筑物</w:t>
      </w:r>
      <w:r>
        <w:rPr>
          <w:rFonts w:hint="eastAsia"/>
          <w:color w:val="000000" w:themeColor="text1"/>
          <w:lang w:val="en-US" w:eastAsia="zh-CN"/>
          <w14:textFill>
            <w14:solidFill>
              <w14:schemeClr w14:val="tx1"/>
            </w14:solidFill>
          </w14:textFill>
        </w:rPr>
        <w:t>破坏</w:t>
      </w:r>
      <w:r>
        <w:rPr>
          <w:rFonts w:hint="eastAsia"/>
          <w:color w:val="000000" w:themeColor="text1"/>
          <w:lang w:eastAsia="zh-CN"/>
          <w14:textFill>
            <w14:solidFill>
              <w14:schemeClr w14:val="tx1"/>
            </w14:solidFill>
          </w14:textFill>
        </w:rPr>
        <w:t>（裂缝、垮塌、堵塞、错动）；淹溺；高处坠落；</w:t>
      </w:r>
      <w:r>
        <w:rPr>
          <w:rFonts w:hint="eastAsia"/>
          <w:color w:val="000000" w:themeColor="text1"/>
          <w:lang w:val="en-US" w:eastAsia="zh-CN"/>
          <w14:textFill>
            <w14:solidFill>
              <w14:schemeClr w14:val="tx1"/>
            </w14:solidFill>
          </w14:textFill>
        </w:rPr>
        <w:t>触电</w:t>
      </w:r>
      <w:r>
        <w:rPr>
          <w:rFonts w:hint="eastAsia"/>
          <w:color w:val="000000" w:themeColor="text1"/>
          <w:lang w:eastAsia="zh-CN"/>
          <w14:textFill>
            <w14:solidFill>
              <w14:schemeClr w14:val="tx1"/>
            </w14:solidFill>
          </w14:textFill>
        </w:rPr>
        <w:t>；粉尘；不良环境因素；库区山体滑坡、塌方和泥石流</w:t>
      </w:r>
      <w:r>
        <w:rPr>
          <w:rFonts w:hint="eastAsia"/>
          <w:color w:val="000000" w:themeColor="text1"/>
          <w:lang w:val="en-US" w:eastAsia="zh-CN"/>
          <w14:textFill>
            <w14:solidFill>
              <w14:schemeClr w14:val="tx1"/>
            </w14:solidFill>
          </w14:textFill>
        </w:rPr>
        <w:t>及</w:t>
      </w:r>
      <w:r>
        <w:rPr>
          <w:rFonts w:hint="eastAsia"/>
          <w:color w:val="000000" w:themeColor="text1"/>
          <w:lang w:eastAsia="zh-CN"/>
          <w14:textFill>
            <w14:solidFill>
              <w14:schemeClr w14:val="tx1"/>
            </w14:solidFill>
          </w14:textFill>
        </w:rPr>
        <w:t>其他因素造成的病害。</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br w:type="page"/>
      </w:r>
    </w:p>
    <w:p>
      <w:pPr>
        <w:pStyle w:val="2"/>
        <w:numPr>
          <w:ilvl w:val="0"/>
          <w:numId w:val="1"/>
        </w:numPr>
        <w:bidi w:val="0"/>
        <w:rPr>
          <w:rStyle w:val="23"/>
          <w:rFonts w:hint="eastAsia" w:ascii="Times New Roman" w:hAnsi="Times New Roman" w:cs="Times New Roman"/>
          <w:b/>
          <w:color w:val="000000" w:themeColor="text1"/>
          <w:lang w:eastAsia="zh-CN"/>
          <w14:textFill>
            <w14:solidFill>
              <w14:schemeClr w14:val="tx1"/>
            </w14:solidFill>
          </w14:textFill>
        </w:rPr>
      </w:pPr>
      <w:bookmarkStart w:id="69" w:name="_Toc6256"/>
      <w:r>
        <w:rPr>
          <w:rStyle w:val="23"/>
          <w:rFonts w:hint="eastAsia" w:ascii="Times New Roman" w:hAnsi="Times New Roman" w:cs="Times New Roman"/>
          <w:b/>
          <w:color w:val="000000" w:themeColor="text1"/>
          <w:lang w:eastAsia="zh-CN"/>
          <w14:textFill>
            <w14:solidFill>
              <w14:schemeClr w14:val="tx1"/>
            </w14:solidFill>
          </w14:textFill>
        </w:rPr>
        <w:t>安全评价单元划分和选择</w:t>
      </w:r>
      <w:bookmarkEnd w:id="69"/>
    </w:p>
    <w:p>
      <w:pPr>
        <w:pStyle w:val="3"/>
        <w:bidi w:val="0"/>
        <w:rPr>
          <w:rFonts w:hint="eastAsia"/>
          <w:color w:val="000000" w:themeColor="text1"/>
          <w:lang w:eastAsia="zh-CN"/>
          <w14:textFill>
            <w14:solidFill>
              <w14:schemeClr w14:val="tx1"/>
            </w14:solidFill>
          </w14:textFill>
        </w:rPr>
      </w:pPr>
      <w:bookmarkStart w:id="70" w:name="_Toc32106"/>
      <w:r>
        <w:rPr>
          <w:rFonts w:hint="eastAsia"/>
          <w:color w:val="000000" w:themeColor="text1"/>
          <w:lang w:eastAsia="zh-CN"/>
          <w14:textFill>
            <w14:solidFill>
              <w14:schemeClr w14:val="tx1"/>
            </w14:solidFill>
          </w14:textFill>
        </w:rPr>
        <w:t>4.1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评价单元划分</w:t>
      </w:r>
      <w:bookmarkEnd w:id="70"/>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按照评价单元划分原则和方法，考虑该尾矿库实际情况和尾矿库中危险、有害因素的危害程度，划分为以下</w:t>
      </w:r>
      <w:r>
        <w:rPr>
          <w:rFonts w:hint="eastAsia"/>
          <w:color w:val="000000" w:themeColor="text1"/>
          <w:lang w:val="en-US" w:eastAsia="zh-CN"/>
          <w14:textFill>
            <w14:solidFill>
              <w14:schemeClr w14:val="tx1"/>
            </w14:solidFill>
          </w14:textFill>
        </w:rPr>
        <w:t>六</w:t>
      </w:r>
      <w:r>
        <w:rPr>
          <w:rFonts w:hint="eastAsia"/>
          <w:color w:val="000000" w:themeColor="text1"/>
          <w:lang w:eastAsia="zh-CN"/>
          <w14:textFill>
            <w14:solidFill>
              <w14:schemeClr w14:val="tx1"/>
            </w14:solidFill>
          </w14:textFill>
        </w:rPr>
        <w:t>个单元：</w:t>
      </w:r>
    </w:p>
    <w:p>
      <w:pPr>
        <w:numPr>
          <w:ilvl w:val="0"/>
          <w:numId w:val="15"/>
        </w:num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安全综合管理单元</w:t>
      </w:r>
    </w:p>
    <w:p>
      <w:pPr>
        <w:numPr>
          <w:ilvl w:val="0"/>
          <w:numId w:val="1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尾矿坝单元</w:t>
      </w:r>
    </w:p>
    <w:p>
      <w:pPr>
        <w:numPr>
          <w:ilvl w:val="0"/>
          <w:numId w:val="1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防排洪系统单元</w:t>
      </w:r>
    </w:p>
    <w:p>
      <w:pPr>
        <w:numPr>
          <w:ilvl w:val="0"/>
          <w:numId w:val="1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安全监测设施单元</w:t>
      </w:r>
    </w:p>
    <w:p>
      <w:pPr>
        <w:numPr>
          <w:ilvl w:val="0"/>
          <w:numId w:val="1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库区环境单元</w:t>
      </w:r>
    </w:p>
    <w:p>
      <w:pPr>
        <w:numPr>
          <w:ilvl w:val="0"/>
          <w:numId w:val="15"/>
        </w:numPr>
        <w:bidi w:val="0"/>
        <w:ind w:left="0" w:leftChars="0" w:firstLine="56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辅助设施单元</w:t>
      </w:r>
    </w:p>
    <w:p>
      <w:pPr>
        <w:pStyle w:val="3"/>
        <w:bidi w:val="0"/>
        <w:rPr>
          <w:rFonts w:hint="eastAsia"/>
          <w:color w:val="000000" w:themeColor="text1"/>
          <w:lang w:eastAsia="zh-CN"/>
          <w14:textFill>
            <w14:solidFill>
              <w14:schemeClr w14:val="tx1"/>
            </w14:solidFill>
          </w14:textFill>
        </w:rPr>
      </w:pPr>
      <w:bookmarkStart w:id="71" w:name="_Toc16894"/>
      <w:r>
        <w:rPr>
          <w:rFonts w:hint="eastAsia"/>
          <w:color w:val="000000" w:themeColor="text1"/>
          <w:lang w:eastAsia="zh-CN"/>
          <w14:textFill>
            <w14:solidFill>
              <w14:schemeClr w14:val="tx1"/>
            </w14:solidFill>
          </w14:textFill>
        </w:rPr>
        <w:t>4.2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评价方法选择</w:t>
      </w:r>
      <w:bookmarkEnd w:id="71"/>
      <w:r>
        <w:rPr>
          <w:rFonts w:hint="eastAsia"/>
          <w:color w:val="000000" w:themeColor="text1"/>
          <w:lang w:eastAsia="zh-CN"/>
          <w14:textFill>
            <w14:solidFill>
              <w14:schemeClr w14:val="tx1"/>
            </w14:solidFill>
          </w14:textFill>
        </w:rPr>
        <w:t xml:space="preserve"> </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安全评价方法是对系统的危险、有害因素及其危险、危害程度进行定性、定量的分析、评价的方法。评价方法的选择是根据评价的特点、具体条件和需要，考虑评价对象的特征以及评价方法的特点而确定的。根据该尾矿库危险、有害因素的特征以及安全评价导则的要求，本评价报告采用尾矿库调洪演算、坝体稳定计算、安全检查表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pacing w:val="10"/>
          <w:kern w:val="0"/>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表4</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1</w:t>
      </w:r>
      <w:r>
        <w:rPr>
          <w:rFonts w:hint="eastAsia" w:ascii="Times New Roman" w:hAnsi="Times New Roman" w:eastAsia="宋体" w:cs="Times New Roman"/>
          <w:color w:val="000000" w:themeColor="text1"/>
          <w:szCs w:val="28"/>
          <w:lang w:val="en-US" w:eastAsia="zh-CN"/>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评价方法一览表</w:t>
      </w:r>
    </w:p>
    <w:tbl>
      <w:tblPr>
        <w:tblStyle w:val="15"/>
        <w:tblW w:w="0" w:type="auto"/>
        <w:tblInd w:w="4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6"/>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97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评价单元</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97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综合安全管理</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97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尾矿坝</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安全检查表法</w:t>
            </w:r>
            <w:r>
              <w:rPr>
                <w:rFonts w:hint="default" w:ascii="Times New Roman" w:hAnsi="Times New Roman" w:eastAsia="宋体" w:cs="Times New Roman"/>
                <w:color w:val="000000" w:themeColor="text1"/>
                <w:sz w:val="21"/>
                <w:szCs w:val="21"/>
                <w14:textFill>
                  <w14:solidFill>
                    <w14:schemeClr w14:val="tx1"/>
                  </w14:solidFill>
                </w14:textFill>
              </w:rPr>
              <w:t>、坝体稳定计算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197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防排洪系统</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安全检查表法、</w:t>
            </w:r>
            <w:r>
              <w:rPr>
                <w:rFonts w:hint="default" w:ascii="Times New Roman" w:hAnsi="Times New Roman" w:eastAsia="宋体" w:cs="Times New Roman"/>
                <w:color w:val="000000" w:themeColor="text1"/>
                <w:sz w:val="21"/>
                <w:szCs w:val="21"/>
                <w14:textFill>
                  <w14:solidFill>
                    <w14:schemeClr w14:val="tx1"/>
                  </w14:solidFill>
                </w14:textFill>
              </w:rPr>
              <w:t>尾矿库调洪演算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rPr>
        <w:tc>
          <w:tcPr>
            <w:tcW w:w="197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安全监测设施</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安全检查法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1976" w:type="dxa"/>
            <w:noWrap w:val="0"/>
            <w:vAlign w:val="center"/>
          </w:tcPr>
          <w:p>
            <w:pPr>
              <w:spacing w:line="320" w:lineRule="exact"/>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库区环境</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安全检查表法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1976" w:type="dxa"/>
            <w:noWrap w:val="0"/>
            <w:vAlign w:val="center"/>
          </w:tcPr>
          <w:p>
            <w:pPr>
              <w:spacing w:line="320" w:lineRule="exact"/>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辅助设施单元</w:t>
            </w:r>
          </w:p>
        </w:tc>
        <w:tc>
          <w:tcPr>
            <w:tcW w:w="5956" w:type="dxa"/>
            <w:noWrap w:val="0"/>
            <w:vAlign w:val="center"/>
          </w:tcPr>
          <w:p>
            <w:pPr>
              <w:autoSpaceDE w:val="0"/>
              <w:autoSpaceDN w:val="0"/>
              <w:spacing w:line="32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安全检查法</w:t>
            </w:r>
          </w:p>
        </w:tc>
      </w:tr>
    </w:tbl>
    <w:p>
      <w:pPr>
        <w:rPr>
          <w:rFonts w:hint="eastAsia" w:ascii="Times New Roman" w:hAnsi="Times New Roman" w:eastAsia="黑体" w:cs="Times New Roman"/>
          <w:bCs/>
          <w:color w:val="000000" w:themeColor="text1"/>
          <w:szCs w:val="28"/>
          <w14:textFill>
            <w14:solidFill>
              <w14:schemeClr w14:val="tx1"/>
            </w14:solidFill>
          </w14:textFill>
        </w:rPr>
      </w:pPr>
      <w:r>
        <w:rPr>
          <w:rFonts w:hint="eastAsia" w:ascii="Times New Roman" w:hAnsi="Times New Roman" w:eastAsia="黑体" w:cs="Times New Roman"/>
          <w:bCs/>
          <w:color w:val="000000" w:themeColor="text1"/>
          <w:szCs w:val="28"/>
          <w14:textFill>
            <w14:solidFill>
              <w14:schemeClr w14:val="tx1"/>
            </w14:solidFill>
          </w14:textFill>
        </w:rPr>
        <w:br w:type="page"/>
      </w:r>
    </w:p>
    <w:p>
      <w:pPr>
        <w:pStyle w:val="2"/>
        <w:numPr>
          <w:ilvl w:val="0"/>
          <w:numId w:val="1"/>
        </w:numPr>
        <w:bidi w:val="0"/>
        <w:rPr>
          <w:rStyle w:val="23"/>
          <w:rFonts w:hint="eastAsia" w:ascii="Times New Roman" w:hAnsi="Times New Roman" w:cs="Times New Roman"/>
          <w:b/>
          <w:color w:val="000000" w:themeColor="text1"/>
          <w:lang w:eastAsia="zh-CN"/>
          <w14:textFill>
            <w14:solidFill>
              <w14:schemeClr w14:val="tx1"/>
            </w14:solidFill>
          </w14:textFill>
        </w:rPr>
      </w:pPr>
      <w:bookmarkStart w:id="72" w:name="_Toc18023"/>
      <w:r>
        <w:rPr>
          <w:rStyle w:val="23"/>
          <w:rFonts w:hint="eastAsia" w:ascii="Times New Roman" w:hAnsi="Times New Roman" w:cs="Times New Roman"/>
          <w:b/>
          <w:color w:val="000000" w:themeColor="text1"/>
          <w:lang w:eastAsia="zh-CN"/>
          <w14:textFill>
            <w14:solidFill>
              <w14:schemeClr w14:val="tx1"/>
            </w14:solidFill>
          </w14:textFill>
        </w:rPr>
        <w:t>安全评价</w:t>
      </w:r>
      <w:bookmarkEnd w:id="72"/>
    </w:p>
    <w:p>
      <w:pPr>
        <w:pStyle w:val="3"/>
        <w:bidi w:val="0"/>
        <w:rPr>
          <w:rFonts w:hint="eastAsia"/>
          <w:color w:val="000000" w:themeColor="text1"/>
          <w:lang w:eastAsia="zh-CN"/>
          <w14:textFill>
            <w14:solidFill>
              <w14:schemeClr w14:val="tx1"/>
            </w14:solidFill>
          </w14:textFill>
        </w:rPr>
      </w:pPr>
      <w:bookmarkStart w:id="73" w:name="_Toc31917"/>
      <w:r>
        <w:rPr>
          <w:rFonts w:hint="eastAsia"/>
          <w:color w:val="000000" w:themeColor="text1"/>
          <w:lang w:eastAsia="zh-CN"/>
          <w14:textFill>
            <w14:solidFill>
              <w14:schemeClr w14:val="tx1"/>
            </w14:solidFill>
          </w14:textFill>
        </w:rPr>
        <w:t>5.1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综合安全管理单元</w:t>
      </w:r>
      <w:bookmarkEnd w:id="73"/>
    </w:p>
    <w:p>
      <w:pPr>
        <w:pStyle w:val="4"/>
        <w:bidi w:val="0"/>
        <w:rPr>
          <w:rFonts w:hint="eastAsia"/>
          <w:color w:val="000000" w:themeColor="text1"/>
          <w:lang w:eastAsia="zh-CN"/>
          <w14:textFill>
            <w14:solidFill>
              <w14:schemeClr w14:val="tx1"/>
            </w14:solidFill>
          </w14:textFill>
        </w:rPr>
      </w:pPr>
      <w:bookmarkStart w:id="74" w:name="_Toc8591"/>
      <w:r>
        <w:rPr>
          <w:rFonts w:hint="eastAsia"/>
          <w:color w:val="000000" w:themeColor="text1"/>
          <w:lang w:eastAsia="zh-CN"/>
          <w14:textFill>
            <w14:solidFill>
              <w14:schemeClr w14:val="tx1"/>
            </w14:solidFill>
          </w14:textFill>
        </w:rPr>
        <w:t>5.1.1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安全检查表评价</w:t>
      </w:r>
      <w:bookmarkEnd w:id="74"/>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运用《江西省尾矿库安全检查表》（已按现行规程规范要求进行了修订，下同），对</w:t>
      </w:r>
      <w:r>
        <w:rPr>
          <w:rFonts w:hint="eastAsia"/>
          <w:color w:val="000000" w:themeColor="text1"/>
          <w:szCs w:val="28"/>
          <w14:textFill>
            <w14:solidFill>
              <w14:schemeClr w14:val="tx1"/>
            </w14:solidFill>
          </w14:textFill>
        </w:rPr>
        <w:t>盘古山钨业尾矿库</w:t>
      </w:r>
      <w:r>
        <w:rPr>
          <w:rFonts w:hint="eastAsia"/>
          <w:color w:val="000000" w:themeColor="text1"/>
          <w:lang w:eastAsia="zh-CN"/>
          <w14:textFill>
            <w14:solidFill>
              <w14:schemeClr w14:val="tx1"/>
            </w14:solidFill>
          </w14:textFill>
        </w:rPr>
        <w:t>整个系统的综合安全管理单元进行评判，具体情况如表5-1所示。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表5-1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综合安全管理单元安全检查表</w:t>
      </w:r>
    </w:p>
    <w:tbl>
      <w:tblPr>
        <w:tblStyle w:val="1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33"/>
        <w:gridCol w:w="3357"/>
        <w:gridCol w:w="1081"/>
        <w:gridCol w:w="925"/>
        <w:gridCol w:w="717"/>
        <w:gridCol w:w="841"/>
        <w:gridCol w:w="1097"/>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jc w:val="center"/>
        </w:trPr>
        <w:tc>
          <w:tcPr>
            <w:tcW w:w="73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项目</w:t>
            </w: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pacing w:val="4"/>
                <w:kern w:val="0"/>
                <w:sz w:val="21"/>
                <w:szCs w:val="21"/>
                <w14:textFill>
                  <w14:solidFill>
                    <w14:schemeClr w14:val="tx1"/>
                  </w14:solidFill>
                </w14:textFill>
              </w:rPr>
              <w:t>检查内容</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检查依据</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检查方法及地点</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记录</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标准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分值</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评分标准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4" w:hRule="atLeast"/>
          <w:jc w:val="center"/>
        </w:trPr>
        <w:tc>
          <w:tcPr>
            <w:tcW w:w="73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1.安全许可</w:t>
            </w: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1.1安全生产许可证合法性。</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1.2安全生产许可证有效性。</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1.3安全生产许可证</w:t>
            </w: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是否年检。</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《安全生产许可证条例》第二条</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查有效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证件</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有效</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任一项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即否决</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jc w:val="center"/>
        </w:trPr>
        <w:tc>
          <w:tcPr>
            <w:tcW w:w="73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2.设计与</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评价</w:t>
            </w: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2.1尾矿库的勘察、设计、安全评价、施工及施工监理等工作必须由具有相应资质的单位承担。</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《尾矿库安全监督管理规定》</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第十条</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查设计文件、有效证书</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2.2尾矿坝堆积至设计最终坝高的1/2～2/3高度时，应对尾矿堆积坝进行工勘和稳定性分析。</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《尾矿设施设计规范》第4.4.1条，《尾矿库安全监督管理规定》第十九条；《尾矿库安全规程》第6.1.9条</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查工勘和稳定性分析文件</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未至</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68"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2.3在用尾矿库进行回采再利用或闭库、停用的尾矿库重新启用或改作他用时，必须按照尾矿库建设的规定进行工程设计、安全评价和审批。</w:t>
            </w:r>
          </w:p>
        </w:tc>
        <w:tc>
          <w:tcPr>
            <w:tcW w:w="1081"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《尾矿库安全规程》第4.1、7.2、7.4、7.10条；《尾矿库安全监督管理规定》第二十七条</w:t>
            </w:r>
          </w:p>
        </w:tc>
        <w:tc>
          <w:tcPr>
            <w:tcW w:w="92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1、查有关资料、文件、制度及规程、规范</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2、查工勘和稳定性分析文件</w:t>
            </w:r>
          </w:p>
        </w:tc>
        <w:tc>
          <w:tcPr>
            <w:tcW w:w="71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无此项</w:t>
            </w:r>
          </w:p>
        </w:tc>
        <w:tc>
          <w:tcPr>
            <w:tcW w:w="841"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无设计或设计未经批准的否决，出现影响安全的倒扣6分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7"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2.4进行回采再利用时，必须严格按照批准的设计规划进行回采、排砂和排水，不得影响继续使用的尾矿坝和排洪设施的安全。</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84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109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0" w:hRule="atLeast"/>
          <w:jc w:val="center"/>
        </w:trPr>
        <w:tc>
          <w:tcPr>
            <w:tcW w:w="73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3.安全管理</w:t>
            </w: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3.1应有实测的尾矿库现状图（尾矿坝平、剖面图、排洪及排水设施系统图，实测图纸有效期为六个月内）及尾矿年排放计划</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《尾矿库安全规程》第6.1.2、11.1.3条《尾矿库安全监督管理规定》第二十二条</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对照设计、现状查图纸资料</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无图纸的否决，无计划的倒扣3分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7"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3.2建立和健全各级各岗位人员安全生产责任制</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3.2.1尾矿库主要负责人安全生产责任制；</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3.2.2尾矿库分管负责人安全生产责任制；</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3.2.3尾矿库安全生产管理人员安全生产责任制；</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3.2.4尾矿库职能管理部门安全生产责任制；</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3.2.5尾矿工岗位安全生产责任制。</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《尾矿库安全监督管理规定》第四条；《尾矿库安全规程》第6.1.1条；《安全生产法》《安全生产许可征条例》国家安监局、煤监局第9号令</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1、查有关资料、文件、制度及规程、规范</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2、查有效证件、</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证书</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10</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缺1项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扣2分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70" w:hRule="atLeast"/>
          <w:jc w:val="center"/>
        </w:trPr>
        <w:tc>
          <w:tcPr>
            <w:tcW w:w="73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3.安</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全管</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理</w:t>
            </w: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3.3企业应建立各项安全生产管理规章制度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3.3.1尾矿库日常和定期的检查制度；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3.3.2尾矿库应急管理制度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3.3.3隐患排查与整改制度；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3.3.4特殊状况安全检查制度；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3.3.5安全评价制度；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3.3.6尾矿库事故管理制度；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3.3.7监控、监测制度。</w:t>
            </w:r>
          </w:p>
        </w:tc>
        <w:tc>
          <w:tcPr>
            <w:tcW w:w="1081"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金属非金属矿山安全规程》第4.2、4.3、4.4、4.5条；《尾矿库安全规程》第6.1.1条；《尾矿库安全监督管理规定》第四、五、六、二十一条；《特种作业人员安全技术培训考核管理规定》《安全生产培训管理办法》；《关于印发〈企业安全生产费用提取和使用管理办法〉的通知》《江西省安全生产委员会关于在全省高危行业领域实施安全生产责任保险制度的指导意见》；《国家安全监管总局办公厅关于修改用人单位劳动防护用品管理规范的通知》</w:t>
            </w:r>
          </w:p>
        </w:tc>
        <w:tc>
          <w:tcPr>
            <w:tcW w:w="92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1、查有关资料、文件、制度及规程、规范</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2、查有效证件、证书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未见</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3.3.4</w:t>
            </w:r>
            <w:r>
              <w:rPr>
                <w:rFonts w:hint="eastAsia" w:ascii="Times New Roman" w:hAnsi="Times New Roman" w:eastAsia="宋体" w:cs="Times New Roman"/>
                <w:color w:val="000000" w:themeColor="text1"/>
                <w:kern w:val="0"/>
                <w:sz w:val="21"/>
                <w:szCs w:val="21"/>
                <w:lang w:val="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3.3.4</w:t>
            </w:r>
            <w:r>
              <w:rPr>
                <w:rFonts w:hint="default" w:ascii="Times New Roman" w:hAnsi="Times New Roman" w:eastAsia="宋体" w:cs="Times New Roman"/>
                <w:color w:val="000000" w:themeColor="text1"/>
                <w:kern w:val="0"/>
                <w:sz w:val="21"/>
                <w:szCs w:val="21"/>
                <w:lang w:val="zh-CN"/>
                <w14:textFill>
                  <w14:solidFill>
                    <w14:schemeClr w14:val="tx1"/>
                  </w14:solidFill>
                </w14:textFill>
              </w:rPr>
              <w:t>运行</w:t>
            </w:r>
            <w:r>
              <w:rPr>
                <w:rFonts w:hint="eastAsia" w:cs="Times New Roman"/>
                <w:color w:val="000000" w:themeColor="text1"/>
                <w:kern w:val="0"/>
                <w:sz w:val="21"/>
                <w:szCs w:val="21"/>
                <w:lang w:val="en-US" w:eastAsia="zh-CN"/>
                <w14:textFill>
                  <w14:solidFill>
                    <w14:schemeClr w14:val="tx1"/>
                  </w14:solidFill>
                </w14:textFill>
              </w:rPr>
              <w:t>差</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14</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制度缺1项扣1分；1项制度未运行或运行差扣1分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5"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3.4制定各工种岗位安全操作规程。</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缺1项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扣1分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5"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3.5主要负责人、分管安全工作负责人和安全管理人员经过安全培训，考核合格，持证上岗。</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任一类</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人员无证</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就否</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5"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3.6特种作业人员经有关部门考核合格，取得上岗资格。</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否决项</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尾矿工</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无证就否</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5"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3.7对从业人员进行安全知识培训，新员工、转岗员工应接受三级安全教育。</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w:t>
            </w:r>
          </w:p>
        </w:tc>
        <w:tc>
          <w:tcPr>
            <w:tcW w:w="109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不得分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0"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3.8制定应急救援预案及进行不定期演练，有与邻近应急救援组织签订的救护协议。</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109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3.9按规定提取和使用安全技术措施费用；</w:t>
            </w:r>
          </w:p>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3.9.1有保证安全生产投入的文件；</w:t>
            </w:r>
          </w:p>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3.9.2有安全投入使用计划；</w:t>
            </w:r>
          </w:p>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3.9.3有购置安全设施设备等实物证明。</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3.9.</w:t>
            </w:r>
            <w:r>
              <w:rPr>
                <w:rFonts w:hint="eastAsia" w:cs="Times New Roman"/>
                <w:color w:val="000000" w:themeColor="text1"/>
                <w:kern w:val="0"/>
                <w:sz w:val="21"/>
                <w:szCs w:val="21"/>
                <w:lang w:val="en-US" w:eastAsia="zh-CN"/>
                <w14:textFill>
                  <w14:solidFill>
                    <w14:schemeClr w14:val="tx1"/>
                  </w14:solidFill>
                </w14:textFill>
              </w:rPr>
              <w:t>3</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缺1项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扣1分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7"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3.10从业人员按规定穿戴和使用劳动保护用品与用具。</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c>
          <w:tcPr>
            <w:tcW w:w="109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不得分</w:t>
            </w: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3.11参加安全生产保险；</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3.12有为从业人员缴纳安全生产责任保险证明；</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3.13保险人数与从事尾矿库管理、尾矿工的实际人数相符。</w:t>
            </w:r>
          </w:p>
        </w:tc>
        <w:tc>
          <w:tcPr>
            <w:tcW w:w="108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109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3" w:hRule="atLeast"/>
          <w:jc w:val="center"/>
        </w:trPr>
        <w:tc>
          <w:tcPr>
            <w:tcW w:w="7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3.14应有防震与抗震措施。</w:t>
            </w: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《尾矿库安全安全生产标准化评分办法》</w:t>
            </w: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查记录</w:t>
            </w: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109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2" w:hRule="atLeast"/>
          <w:jc w:val="center"/>
        </w:trPr>
        <w:tc>
          <w:tcPr>
            <w:tcW w:w="73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小计</w:t>
            </w:r>
          </w:p>
        </w:tc>
        <w:tc>
          <w:tcPr>
            <w:tcW w:w="335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108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1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84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51</w:t>
            </w:r>
          </w:p>
        </w:tc>
        <w:tc>
          <w:tcPr>
            <w:tcW w:w="109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3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eastAsia" w:cs="Times New Roman"/>
                <w:color w:val="000000" w:themeColor="text1"/>
                <w:kern w:val="0"/>
                <w:sz w:val="21"/>
                <w:szCs w:val="21"/>
                <w:lang w:val="en-US" w:eastAsia="zh-CN"/>
                <w14:textFill>
                  <w14:solidFill>
                    <w14:schemeClr w14:val="tx1"/>
                  </w14:solidFill>
                </w14:textFill>
              </w:rPr>
              <w:t>8</w:t>
            </w:r>
          </w:p>
        </w:tc>
      </w:tr>
    </w:tbl>
    <w:p>
      <w:pPr>
        <w:pStyle w:val="4"/>
        <w:bidi w:val="0"/>
        <w:rPr>
          <w:rFonts w:hint="eastAsia"/>
          <w:color w:val="000000" w:themeColor="text1"/>
          <w:lang w:eastAsia="zh-CN"/>
          <w14:textFill>
            <w14:solidFill>
              <w14:schemeClr w14:val="tx1"/>
            </w14:solidFill>
          </w14:textFill>
        </w:rPr>
      </w:pPr>
      <w:bookmarkStart w:id="75" w:name="_Toc25917"/>
      <w:r>
        <w:rPr>
          <w:rFonts w:hint="eastAsia"/>
          <w:color w:val="000000" w:themeColor="text1"/>
          <w:lang w:eastAsia="zh-CN"/>
          <w14:textFill>
            <w14:solidFill>
              <w14:schemeClr w14:val="tx1"/>
            </w14:solidFill>
          </w14:textFill>
        </w:rPr>
        <w:t>5.1.2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评价单元小结</w:t>
      </w:r>
      <w:bookmarkEnd w:id="75"/>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经检查，盘古山钨业于2006年3月取得了</w:t>
      </w:r>
      <w:r>
        <w:rPr>
          <w:rFonts w:hint="eastAsia"/>
          <w:color w:val="000000" w:themeColor="text1"/>
          <w:lang w:val="en-US" w:eastAsia="zh-CN"/>
          <w14:textFill>
            <w14:solidFill>
              <w14:schemeClr w14:val="tx1"/>
            </w14:solidFill>
          </w14:textFill>
        </w:rPr>
        <w:t>原</w:t>
      </w:r>
      <w:r>
        <w:rPr>
          <w:rFonts w:hint="eastAsia"/>
          <w:color w:val="000000" w:themeColor="text1"/>
          <w:lang w:eastAsia="zh-CN"/>
          <w14:textFill>
            <w14:solidFill>
              <w14:schemeClr w14:val="tx1"/>
            </w14:solidFill>
          </w14:textFill>
        </w:rPr>
        <w:t>江西省安全生产监督管理局颁发的尾矿库安全生产许可证，证书编号：（赣）FM安许证字[2006]M0204号。盘古山钨业设有安全管理机构，配备了专职安全管理人员，安全管理体系健全，制定了各种规章制度、岗位责任制和应急救援预案，安全管理措施基本落实到位；主要负责人和安全管理人员经省安监局培训合格，持有安全资格证，有尾矿工</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人，全部持证上岗，符合规程规范要求；尾矿库有实测图纸且在有效期内，企业为尾矿库管理及作业人员办理了安全生产责任险。尾矿库综合安全管理应得分51分，实际分48分，得分率为94.12%.</w:t>
      </w:r>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综上所述，该尾矿库综合安全管理单元符合安全生产条件。还应加强日常安全管理，特别是汛期的安全管理。</w:t>
      </w:r>
    </w:p>
    <w:p>
      <w:pPr>
        <w:pStyle w:val="3"/>
        <w:bidi w:val="0"/>
        <w:rPr>
          <w:rFonts w:hint="eastAsia"/>
          <w:color w:val="000000" w:themeColor="text1"/>
          <w:lang w:eastAsia="zh-CN"/>
          <w14:textFill>
            <w14:solidFill>
              <w14:schemeClr w14:val="tx1"/>
            </w14:solidFill>
          </w14:textFill>
        </w:rPr>
      </w:pPr>
      <w:bookmarkStart w:id="76" w:name="_Toc9955"/>
      <w:r>
        <w:rPr>
          <w:rFonts w:hint="eastAsia"/>
          <w:color w:val="000000" w:themeColor="text1"/>
          <w:lang w:eastAsia="zh-CN"/>
          <w14:textFill>
            <w14:solidFill>
              <w14:schemeClr w14:val="tx1"/>
            </w14:solidFill>
          </w14:textFill>
        </w:rPr>
        <w:t>5.2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尾矿坝体单元</w:t>
      </w:r>
      <w:bookmarkEnd w:id="76"/>
    </w:p>
    <w:p>
      <w:pPr>
        <w:pStyle w:val="4"/>
        <w:bidi w:val="0"/>
        <w:rPr>
          <w:rFonts w:hint="eastAsia"/>
          <w:color w:val="000000" w:themeColor="text1"/>
          <w:lang w:eastAsia="zh-CN"/>
          <w14:textFill>
            <w14:solidFill>
              <w14:schemeClr w14:val="tx1"/>
            </w14:solidFill>
          </w14:textFill>
        </w:rPr>
      </w:pPr>
      <w:bookmarkStart w:id="77" w:name="_Toc4303"/>
      <w:r>
        <w:rPr>
          <w:rFonts w:hint="eastAsia"/>
          <w:color w:val="000000" w:themeColor="text1"/>
          <w:lang w:eastAsia="zh-CN"/>
          <w14:textFill>
            <w14:solidFill>
              <w14:schemeClr w14:val="tx1"/>
            </w14:solidFill>
          </w14:textFill>
        </w:rPr>
        <w:t>5.2.1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安全检查表评价</w:t>
      </w:r>
      <w:bookmarkEnd w:id="77"/>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运用《江西省尾矿库安全检查表》对</w:t>
      </w:r>
      <w:r>
        <w:rPr>
          <w:rFonts w:hint="eastAsia"/>
          <w:color w:val="000000" w:themeColor="text1"/>
          <w:szCs w:val="28"/>
          <w14:textFill>
            <w14:solidFill>
              <w14:schemeClr w14:val="tx1"/>
            </w14:solidFill>
          </w14:textFill>
        </w:rPr>
        <w:t>盘古山钨业尾矿库</w:t>
      </w:r>
      <w:r>
        <w:rPr>
          <w:rFonts w:hint="eastAsia"/>
          <w:color w:val="000000" w:themeColor="text1"/>
          <w:lang w:eastAsia="zh-CN"/>
          <w14:textFill>
            <w14:solidFill>
              <w14:schemeClr w14:val="tx1"/>
            </w14:solidFill>
          </w14:textFill>
        </w:rPr>
        <w:t>坝体现状进行评判，对其安全性进行评述，具体见表5-2。</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表5-2</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尾矿坝体安全检查表</w:t>
      </w:r>
    </w:p>
    <w:tbl>
      <w:tblPr>
        <w:tblStyle w:val="15"/>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10"/>
        <w:gridCol w:w="300"/>
        <w:gridCol w:w="2810"/>
        <w:gridCol w:w="1174"/>
        <w:gridCol w:w="1213"/>
        <w:gridCol w:w="900"/>
        <w:gridCol w:w="544"/>
        <w:gridCol w:w="751"/>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atLeast"/>
          <w:jc w:val="center"/>
        </w:trPr>
        <w:tc>
          <w:tcPr>
            <w:tcW w:w="81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项目</w:t>
            </w: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检查内容</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检查依据</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检查方法及地点</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记录</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标准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分值</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评分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标准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51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初期坝、拦挡坝、堆积坝、副坝、拦水坝坝体和排水棱体</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br w:type="page"/>
            </w:r>
          </w:p>
        </w:tc>
        <w:tc>
          <w:tcPr>
            <w:tcW w:w="30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坝</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体</w:t>
            </w: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1.初期坝、拦挡坝、堆积坝、副坝、拦水坝坝体和排水棱体</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1.1顶高程必须符合设计要求</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1.2顶宽度必须符合设计要求</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1.3筑坝材料必须符合设计要求</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1.4内外坡比必须符合设计要求，当坝坡陡于设计值时，其稳定性必须符合规范要求</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《尾矿库安全规程》第5.6.2、6.1.5、6.1.6条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对照设计、稳定性分析文件查现场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坝顶高程、顶宽、筑坝材料、内外坡比均与设计一致，符合要求</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10</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任1项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就不得分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3"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1.5坝体出现贯穿性横向裂缝，且出现较大范围管涌、流土变形，坝体出现深层滑动迹象。</w:t>
            </w:r>
          </w:p>
        </w:tc>
        <w:tc>
          <w:tcPr>
            <w:tcW w:w="11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《尾矿库安全规程》第6.9条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无此现象</w:t>
            </w:r>
          </w:p>
        </w:tc>
        <w:tc>
          <w:tcPr>
            <w:tcW w:w="54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重大险情</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1.6经验算，坝体抗滑稳定最小安全系数小于规范值的0.95。</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查稳定性分析文件</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大于规范值</w:t>
            </w:r>
          </w:p>
        </w:tc>
        <w:tc>
          <w:tcPr>
            <w:tcW w:w="54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2"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1.7坝体出现浅层滑动迹象。</w:t>
            </w:r>
          </w:p>
        </w:tc>
        <w:tc>
          <w:tcPr>
            <w:tcW w:w="11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《尾矿库安全规程》第6.9条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w:t>
            </w:r>
          </w:p>
        </w:tc>
        <w:tc>
          <w:tcPr>
            <w:tcW w:w="54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重大隐患</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1.8经验算，坝体抗滑稳定最小安全系数小于规范值的0.98。</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查稳定性分析文件</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无此现象</w:t>
            </w:r>
          </w:p>
        </w:tc>
        <w:tc>
          <w:tcPr>
            <w:tcW w:w="54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1.9坝体出现大面积纵向裂缝，且出现较大范围渗透水高位出逸，出现大面积沼泽化。</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大于规范值</w:t>
            </w:r>
          </w:p>
        </w:tc>
        <w:tc>
          <w:tcPr>
            <w:tcW w:w="54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1.10经验算，坝体抗滑稳定最小安全系数满足规范规定值，但部分高程上堆积边坡过陡，可能出现局部失稳。</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查稳定分析文件和现场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无此现象</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一般隐患</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4" w:hRule="atLeast"/>
          <w:jc w:val="center"/>
        </w:trPr>
        <w:tc>
          <w:tcPr>
            <w:tcW w:w="51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堆积坝</w:t>
            </w: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2.1坝体应设位移、沉降和浸润线观测设施。</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《尾矿库安全规程》第5.5.2条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对照</w:t>
            </w:r>
            <w:r>
              <w:rPr>
                <w:rFonts w:hint="default" w:ascii="Times New Roman" w:hAnsi="Times New Roman" w:eastAsia="宋体" w:cs="Times New Roman"/>
                <w:color w:val="000000" w:themeColor="text1"/>
                <w:kern w:val="0"/>
                <w:sz w:val="21"/>
                <w:szCs w:val="21"/>
                <w:lang w:val="zh-CN"/>
                <w14:textFill>
                  <w14:solidFill>
                    <w14:schemeClr w14:val="tx1"/>
                  </w14:solidFill>
                </w14:textFill>
              </w:rPr>
              <w:t>设计</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不得分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1"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2.2浸润线位置局部过高，有渗透水逸出，坝面局部出现沼泽化。</w:t>
            </w:r>
          </w:p>
        </w:tc>
        <w:tc>
          <w:tcPr>
            <w:tcW w:w="11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《尾矿库安全规程》第6.9条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查观测</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记录、现场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无此现象</w:t>
            </w:r>
          </w:p>
        </w:tc>
        <w:tc>
          <w:tcPr>
            <w:tcW w:w="54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一般隐患</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正常库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1"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2.3坝面出现纵向或横向裂缝。</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无裂缝</w:t>
            </w:r>
          </w:p>
        </w:tc>
        <w:tc>
          <w:tcPr>
            <w:tcW w:w="54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正常库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2.4马道的高程、宽度必须符合设计要求。</w:t>
            </w:r>
          </w:p>
        </w:tc>
        <w:tc>
          <w:tcPr>
            <w:tcW w:w="11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《尾矿设施设计规范》第4.5.5、4.5.7条，《尾矿库安全规程》第5.3.20条</w:t>
            </w:r>
          </w:p>
        </w:tc>
        <w:tc>
          <w:tcPr>
            <w:tcW w:w="121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4</w:t>
            </w:r>
          </w:p>
        </w:tc>
        <w:tc>
          <w:tcPr>
            <w:tcW w:w="751"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不得分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4"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2.5坝面排水沟的数量、尺寸必须符合设计要求，并保持畅通。</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已畅通</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4</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2.6上游式尾矿坝的堆积坝下游坡面上，应结合排渗设施每隔6～10m高差设排水沟。</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对照设计、规范查现场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2.7坝面未按设计设置排水沟，冲蚀严重，形成较多或较大的冲沟。</w:t>
            </w:r>
          </w:p>
        </w:tc>
        <w:tc>
          <w:tcPr>
            <w:tcW w:w="117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《尾矿设施设计规范》第4.5.9条，《尾矿库安全规程》第6.9条、第5.3.20条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w:t>
            </w:r>
            <w:r>
              <w:rPr>
                <w:rFonts w:hint="eastAsia"/>
                <w:color w:val="000000" w:themeColor="text1"/>
                <w:kern w:val="0"/>
                <w:sz w:val="21"/>
                <w:szCs w:val="21"/>
                <w:lang w:val="en-US" w:eastAsia="zh-CN"/>
                <w14:textFill>
                  <w14:solidFill>
                    <w14:schemeClr w14:val="tx1"/>
                  </w14:solidFill>
                </w14:textFill>
              </w:rPr>
              <w:t>此项</w:t>
            </w:r>
          </w:p>
        </w:tc>
        <w:tc>
          <w:tcPr>
            <w:tcW w:w="54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病库</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正常库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2.8尾矿堆积坝下游坡与两岸山坡结合处的山坡上设置的截水沟应符合设计要求，并畅通。</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w:t>
            </w:r>
            <w:r>
              <w:rPr>
                <w:rFonts w:hint="eastAsia"/>
                <w:color w:val="000000" w:themeColor="text1"/>
                <w:kern w:val="0"/>
                <w:sz w:val="21"/>
                <w:szCs w:val="21"/>
                <w:lang w:val="en-US" w:eastAsia="zh-CN"/>
                <w14:textFill>
                  <w14:solidFill>
                    <w14:schemeClr w14:val="tx1"/>
                  </w14:solidFill>
                </w14:textFill>
              </w:rPr>
              <w:t>此项</w:t>
            </w:r>
          </w:p>
        </w:tc>
        <w:tc>
          <w:tcPr>
            <w:tcW w:w="54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正常库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2"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2.9堆积坝外坡未按设计覆土、植被。</w:t>
            </w:r>
          </w:p>
        </w:tc>
        <w:tc>
          <w:tcPr>
            <w:tcW w:w="117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1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w:t>
            </w:r>
            <w:r>
              <w:rPr>
                <w:rFonts w:hint="eastAsia"/>
                <w:color w:val="000000" w:themeColor="text1"/>
                <w:kern w:val="0"/>
                <w:sz w:val="21"/>
                <w:szCs w:val="21"/>
                <w:lang w:val="en-US" w:eastAsia="zh-CN"/>
                <w14:textFill>
                  <w14:solidFill>
                    <w14:schemeClr w14:val="tx1"/>
                  </w14:solidFill>
                </w14:textFill>
              </w:rPr>
              <w:t>此项</w:t>
            </w:r>
          </w:p>
        </w:tc>
        <w:tc>
          <w:tcPr>
            <w:tcW w:w="54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正常库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2.10尾矿坝下游坡面上，不得有积水坑存在。</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《尾矿库安全规程》第6.3.11条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无此现象</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8"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拦挡坝</w:t>
            </w: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3.1尾矿库拦挡坝在设计洪水位时，其安全超高不得小于最小安全超高、最大风雍水面高度和最大风浪爬高三者之和。地震雍浪高度可根据抗震设防烈度和水深确定，可采用0.5～1.5m。</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《尾矿设施设计规范》第4.2.3条，《尾矿库安全规程》第5.3.11、5.3.12条第5.3.11、12条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w:t>
            </w:r>
            <w:r>
              <w:rPr>
                <w:rFonts w:hint="eastAsia"/>
                <w:color w:val="000000" w:themeColor="text1"/>
                <w:kern w:val="0"/>
                <w:sz w:val="21"/>
                <w:szCs w:val="21"/>
                <w:lang w:val="en-US" w:eastAsia="zh-CN"/>
                <w14:textFill>
                  <w14:solidFill>
                    <w14:schemeClr w14:val="tx1"/>
                  </w14:solidFill>
                </w14:textFill>
              </w:rPr>
              <w:t>此项</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4"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3.2挑流鼻坎应与设计的相符，施工质量合格，下泄水不得冲刷坝脚。</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《尾矿库安全规程》第5.6.2条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对照设计查现场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无此项</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9" w:hRule="atLeast"/>
          <w:jc w:val="center"/>
        </w:trPr>
        <w:tc>
          <w:tcPr>
            <w:tcW w:w="51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初期坝、拦挡坝、堆积坝、副坝、拦水坝坝体和排水棱体</w:t>
            </w:r>
          </w:p>
        </w:tc>
        <w:tc>
          <w:tcPr>
            <w:tcW w:w="30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初期坝</w:t>
            </w: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4.1上游式尾矿堆积坝的初期透水堆石坝坝高与总坝高之比值不宜小于1/8。</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《尾矿设施设计规范》第4.1.3条，《尾矿库安全规程》第5.3.3条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查设计与现场并进行验算</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14"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4.2透水初期坝上游坡面采用土工布组合反滤层时，土工布嵌入坝基及坝肩的深度不得小于0.5m，并需用土料填塞密实。</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《尾矿设施设计规范》第4.5.4条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查设计文件、竣工、监理报告、现场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w:t>
            </w:r>
          </w:p>
        </w:tc>
        <w:tc>
          <w:tcPr>
            <w:tcW w:w="751"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不得分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color w:val="000000" w:themeColor="text1"/>
                <w:kern w:val="0"/>
                <w:sz w:val="21"/>
                <w:szCs w:val="21"/>
                <w:lang w:val="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9"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4.3 初期的安全超高和泄洪能力要满足初期设计洪水标准。</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《尾矿设施设计规范》第4.1.3条，《尾矿库安全规程》第5.3.3条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查设计与场察</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4"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堆积坝</w:t>
            </w: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5.1坝上必须配备有通讯照明设备、各种安全监测设施、救生设备。</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《尾矿库安全规程》第9.7.1条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有</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5.2每一期筑坝充填作业之前，必须进行岸坡处理。岸坡处理应做隐蔽工程记录，如遇泉眼水井、地道或洞穴等，要采取有效措施进行处理，经主管技术人员检查合格后方可充填筑坝。</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第6.3.3条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查设尾矿库工程档案、现场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无记录</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3</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7"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5.3每期子坝堆筑完毕，应进行质量检查，检查记录需经主管技术人员签字后存档备查。</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《尾矿库安全规程》第6.1.6、6.3.5条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查现场查尾矿库工程档案</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无记录</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2</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2"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5.4坝下游坡面不得有冲刷、拉沟现象。</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《尾矿库安全规程》第6.3.11条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4</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0"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5.5若同一尾矿库内，建有一座或几座尾矿堆积坝体时，不得将细粒尾矿排至尾矿堆积坝前。</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《冶金矿山尾矿设施管理规程》第4.2.9条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无此项</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5"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5.6坝面不得出现局部隆起、塌陷、流土、管涌、渗水量增大或渗水变浑等异常情况。</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《尾矿库安全规程》第6.9条</w:t>
            </w:r>
          </w:p>
        </w:tc>
        <w:tc>
          <w:tcPr>
            <w:tcW w:w="12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查记录、</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无此现象</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c>
          <w:tcPr>
            <w:tcW w:w="751"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pacing w:val="4"/>
                <w:kern w:val="0"/>
                <w:sz w:val="21"/>
                <w:szCs w:val="21"/>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5.7上游式尾矿筑坝，应于坝前均匀分散放矿（修子坝或移动放矿管时除外）。在沉积滩范围内不允许有大面积矿泥沉积；沉积滩顶应均匀平整：沉积滩坡度及长度等应符合设计要求；矿浆排放不得冲刷初期坝和子坝，严禁矿浆沿子坝内坡趾流动冲刷坝体；放矿是否有专人管理。</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《尾矿库安全规程》第6.3.4条</w:t>
            </w:r>
          </w:p>
        </w:tc>
        <w:tc>
          <w:tcPr>
            <w:tcW w:w="121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查尾矿库工程档案、现场</w:t>
            </w: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不得分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4" w:hRule="atLeast"/>
          <w:jc w:val="center"/>
        </w:trPr>
        <w:tc>
          <w:tcPr>
            <w:tcW w:w="51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3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8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pacing w:val="4"/>
                <w:kern w:val="0"/>
                <w:sz w:val="21"/>
                <w:szCs w:val="21"/>
                <w14:textFill>
                  <w14:solidFill>
                    <w14:schemeClr w14:val="tx1"/>
                  </w14:solidFill>
                </w14:textFill>
              </w:rPr>
            </w:pPr>
            <w:r>
              <w:rPr>
                <w:rFonts w:hint="default" w:ascii="Times New Roman" w:hAnsi="Times New Roman" w:eastAsia="宋体" w:cs="Times New Roman"/>
                <w:color w:val="000000" w:themeColor="text1"/>
                <w:spacing w:val="4"/>
                <w:kern w:val="0"/>
                <w:sz w:val="21"/>
                <w:szCs w:val="21"/>
                <w14:textFill>
                  <w14:solidFill>
                    <w14:schemeClr w14:val="tx1"/>
                  </w14:solidFill>
                </w14:textFill>
              </w:rPr>
              <w:t>5.8坝体较长时应采用分段交替放矿作业，使坝体均匀上升，滩面不得出现侧坡、扇形坡或细颗粒尾矿大量集中沉积于一端或一侧。</w:t>
            </w:r>
          </w:p>
        </w:tc>
        <w:tc>
          <w:tcPr>
            <w:tcW w:w="117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《尾矿库安全规程》第6.3.4条</w:t>
            </w:r>
          </w:p>
        </w:tc>
        <w:tc>
          <w:tcPr>
            <w:tcW w:w="121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未均匀上升，坝体东高西低</w:t>
            </w: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6</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不得分</w:t>
            </w: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 w:hRule="atLeast"/>
          <w:jc w:val="center"/>
        </w:trPr>
        <w:tc>
          <w:tcPr>
            <w:tcW w:w="5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小计</w:t>
            </w:r>
          </w:p>
        </w:tc>
        <w:tc>
          <w:tcPr>
            <w:tcW w:w="6397"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5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77</w:t>
            </w:r>
          </w:p>
        </w:tc>
        <w:tc>
          <w:tcPr>
            <w:tcW w:w="7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77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63</w:t>
            </w:r>
          </w:p>
        </w:tc>
      </w:tr>
    </w:tbl>
    <w:p>
      <w:pPr>
        <w:pStyle w:val="4"/>
        <w:bidi w:val="0"/>
        <w:rPr>
          <w:rFonts w:hint="eastAsia"/>
          <w:color w:val="000000" w:themeColor="text1"/>
          <w:lang w:eastAsia="zh-CN"/>
          <w14:textFill>
            <w14:solidFill>
              <w14:schemeClr w14:val="tx1"/>
            </w14:solidFill>
          </w14:textFill>
        </w:rPr>
      </w:pPr>
      <w:bookmarkStart w:id="78" w:name="_Toc1952"/>
      <w:r>
        <w:rPr>
          <w:rFonts w:hint="eastAsia"/>
          <w:color w:val="000000" w:themeColor="text1"/>
          <w:lang w:eastAsia="zh-CN"/>
          <w14:textFill>
            <w14:solidFill>
              <w14:schemeClr w14:val="tx1"/>
            </w14:solidFill>
          </w14:textFill>
        </w:rPr>
        <w:t>5.2.2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尾矿坝稳定性分析</w:t>
      </w:r>
      <w:bookmarkEnd w:id="78"/>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（一）稳定性分析相关规范规定</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本尾矿库等级为三等，根据相关规范规定：三等尾矿库坝坡抗滑稳定的安全系数不应小于表5-3中的数值。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表5-3</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坝坡抗滑稳定安全系数</w:t>
      </w:r>
    </w:p>
    <w:tbl>
      <w:tblPr>
        <w:tblStyle w:val="15"/>
        <w:tblW w:w="37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2"/>
        <w:gridCol w:w="3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运用情况</w:t>
            </w:r>
          </w:p>
        </w:tc>
        <w:tc>
          <w:tcPr>
            <w:tcW w:w="25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正常运行</w:t>
            </w:r>
          </w:p>
        </w:tc>
        <w:tc>
          <w:tcPr>
            <w:tcW w:w="25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pct"/>
            <w:noWrap w:val="0"/>
            <w:vAlign w:val="center"/>
          </w:tcPr>
          <w:p>
            <w:pPr>
              <w:keepNext w:val="0"/>
              <w:keepLines w:val="0"/>
              <w:pageBreakBefore w:val="0"/>
              <w:widowControl w:val="0"/>
              <w:tabs>
                <w:tab w:val="right" w:pos="4412"/>
              </w:tabs>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洪水运行</w:t>
            </w:r>
          </w:p>
        </w:tc>
        <w:tc>
          <w:tcPr>
            <w:tcW w:w="25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特殊运行</w:t>
            </w:r>
          </w:p>
        </w:tc>
        <w:tc>
          <w:tcPr>
            <w:tcW w:w="25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1.0</w:t>
            </w:r>
            <w:r>
              <w:rPr>
                <w:rFonts w:hint="eastAsia" w:ascii="Times New Roman" w:hAnsi="Times New Roman" w:eastAsia="宋体" w:cs="Times New Roman"/>
                <w:color w:val="000000" w:themeColor="text1"/>
                <w:sz w:val="24"/>
                <w14:textFill>
                  <w14:solidFill>
                    <w14:schemeClr w14:val="tx1"/>
                  </w14:solidFill>
                </w14:textFill>
              </w:rPr>
              <w:t>5</w:t>
            </w:r>
          </w:p>
        </w:tc>
      </w:tr>
    </w:tbl>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（二）坝体边坡稳定分析</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物料物理力学指标</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根据工程地质勘察资料，相关地层物理力学指标见表5-4、5-5、5-6。</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表5-4</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坝基土物理力学指标值表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785"/>
        <w:gridCol w:w="1073"/>
        <w:gridCol w:w="935"/>
        <w:gridCol w:w="727"/>
        <w:gridCol w:w="911"/>
        <w:gridCol w:w="750"/>
        <w:gridCol w:w="1131"/>
        <w:gridCol w:w="1108"/>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194" w:type="dxa"/>
            <w:vMerge w:val="restart"/>
            <w:tcBorders>
              <w:top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val="0"/>
              <w:spacing w:line="240" w:lineRule="auto"/>
              <w:ind w:firstLine="0" w:firstLineChars="0"/>
              <w:jc w:val="left"/>
              <w:textAlignment w:val="auto"/>
              <mc:AlternateContent>
                <mc:Choice Requires="wpsCustomData">
                  <wpsCustomData:diagonalParaType/>
                </mc:Choice>
              </mc:AlternateConten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岩土名称</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指标</w:t>
            </w:r>
          </w:p>
        </w:tc>
        <w:tc>
          <w:tcPr>
            <w:tcW w:w="78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量</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7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湿</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密度</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（g/cm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3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干</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密度</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（g/cm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2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孔</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隙</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e</w:t>
            </w:r>
          </w:p>
        </w:tc>
        <w:tc>
          <w:tcPr>
            <w:tcW w:w="1661"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直剪</w:t>
            </w:r>
          </w:p>
        </w:tc>
        <w:tc>
          <w:tcPr>
            <w:tcW w:w="1131" w:type="dxa"/>
            <w:vMerge w:val="restart"/>
            <w:noWrap w:val="0"/>
            <w:vAlign w:val="center"/>
          </w:tcPr>
          <w:p>
            <w:pPr>
              <w:pStyle w:val="1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 透</w:t>
            </w:r>
          </w:p>
          <w:p>
            <w:pPr>
              <w:pStyle w:val="1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 数</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（cm/s）</w:t>
            </w:r>
          </w:p>
        </w:tc>
        <w:tc>
          <w:tcPr>
            <w:tcW w:w="110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压缩</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系数</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（MPa</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7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渗透</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坡降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19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7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3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2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粘聚力</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（kPa）</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内摩</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擦角</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3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0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7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194" w:type="dxa"/>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含砂低液限粘土</w:t>
            </w:r>
          </w:p>
        </w:tc>
        <w:tc>
          <w:tcPr>
            <w:tcW w:w="7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26.85</w:t>
            </w:r>
          </w:p>
        </w:tc>
        <w:tc>
          <w:tcPr>
            <w:tcW w:w="10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1.83</w:t>
            </w:r>
          </w:p>
        </w:tc>
        <w:tc>
          <w:tcPr>
            <w:tcW w:w="93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1.44</w:t>
            </w:r>
          </w:p>
        </w:tc>
        <w:tc>
          <w:tcPr>
            <w:tcW w:w="72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0.889</w:t>
            </w:r>
          </w:p>
        </w:tc>
        <w:tc>
          <w:tcPr>
            <w:tcW w:w="9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w:t>
            </w:r>
          </w:p>
        </w:tc>
        <w:tc>
          <w:tcPr>
            <w:tcW w:w="113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5.13×10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-4</w:t>
            </w:r>
          </w:p>
        </w:tc>
        <w:tc>
          <w:tcPr>
            <w:tcW w:w="110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0.28</w:t>
            </w:r>
          </w:p>
        </w:tc>
        <w:tc>
          <w:tcPr>
            <w:tcW w:w="67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9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级配不良砾、卵石混合土（坝基）</w:t>
            </w:r>
          </w:p>
        </w:tc>
        <w:tc>
          <w:tcPr>
            <w:tcW w:w="7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23.5</w:t>
            </w:r>
          </w:p>
        </w:tc>
        <w:tc>
          <w:tcPr>
            <w:tcW w:w="10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93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72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0.920</w:t>
            </w:r>
          </w:p>
        </w:tc>
        <w:tc>
          <w:tcPr>
            <w:tcW w:w="9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113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8.76×10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10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0.40</w:t>
            </w:r>
          </w:p>
        </w:tc>
        <w:tc>
          <w:tcPr>
            <w:tcW w:w="67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19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含砂低液限粘土（坝基）</w:t>
            </w:r>
          </w:p>
        </w:tc>
        <w:tc>
          <w:tcPr>
            <w:tcW w:w="7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30.93</w:t>
            </w:r>
          </w:p>
        </w:tc>
        <w:tc>
          <w:tcPr>
            <w:tcW w:w="10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1.82</w:t>
            </w:r>
          </w:p>
        </w:tc>
        <w:tc>
          <w:tcPr>
            <w:tcW w:w="93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1.49</w:t>
            </w:r>
          </w:p>
        </w:tc>
        <w:tc>
          <w:tcPr>
            <w:tcW w:w="72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0.914</w:t>
            </w:r>
          </w:p>
        </w:tc>
        <w:tc>
          <w:tcPr>
            <w:tcW w:w="9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17.478</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14.95</w:t>
            </w:r>
          </w:p>
        </w:tc>
        <w:tc>
          <w:tcPr>
            <w:tcW w:w="113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5.54×10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-4</w:t>
            </w:r>
          </w:p>
        </w:tc>
        <w:tc>
          <w:tcPr>
            <w:tcW w:w="110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0.27</w:t>
            </w:r>
          </w:p>
        </w:tc>
        <w:tc>
          <w:tcPr>
            <w:tcW w:w="67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9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级配不良砾、级配良好角砾、粘土质砂(坝基)</w:t>
            </w:r>
          </w:p>
        </w:tc>
        <w:tc>
          <w:tcPr>
            <w:tcW w:w="78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26.6</w:t>
            </w:r>
          </w:p>
        </w:tc>
        <w:tc>
          <w:tcPr>
            <w:tcW w:w="10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1.89</w:t>
            </w:r>
          </w:p>
        </w:tc>
        <w:tc>
          <w:tcPr>
            <w:tcW w:w="93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1.49</w:t>
            </w:r>
          </w:p>
        </w:tc>
        <w:tc>
          <w:tcPr>
            <w:tcW w:w="72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0.809</w:t>
            </w:r>
          </w:p>
        </w:tc>
        <w:tc>
          <w:tcPr>
            <w:tcW w:w="9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w:t>
            </w:r>
          </w:p>
        </w:tc>
        <w:tc>
          <w:tcPr>
            <w:tcW w:w="113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2.99×10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10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0.28</w:t>
            </w:r>
          </w:p>
        </w:tc>
        <w:tc>
          <w:tcPr>
            <w:tcW w:w="67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表5-5</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岩石物理力学性质指标值表</w:t>
      </w:r>
    </w:p>
    <w:tbl>
      <w:tblPr>
        <w:tblStyle w:val="15"/>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252"/>
        <w:gridCol w:w="1203"/>
        <w:gridCol w:w="744"/>
        <w:gridCol w:w="837"/>
        <w:gridCol w:w="750"/>
        <w:gridCol w:w="1067"/>
        <w:gridCol w:w="1034"/>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954" w:type="dxa"/>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部</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宋体" w:eastAsia="宋体" w:cs="Times New Roman"/>
                <w:color w:val="000000" w:themeColor="text1"/>
                <w:sz w:val="21"/>
                <w:szCs w:val="21"/>
                <w14:textFill>
                  <w14:solidFill>
                    <w14:schemeClr w14:val="tx1"/>
                  </w14:solidFill>
                </w14:textFill>
              </w:rPr>
              <w:t>位</w:t>
            </w:r>
          </w:p>
        </w:tc>
        <w:tc>
          <w:tcPr>
            <w:tcW w:w="1252" w:type="dxa"/>
            <w:noWrap w:val="0"/>
            <w:vAlign w:val="center"/>
          </w:tcPr>
          <w:p>
            <w:pPr>
              <w:spacing w:line="20" w:lineRule="atLeas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天然重度</w:t>
            </w:r>
            <w:r>
              <w:rPr>
                <w:rFonts w:hint="eastAsia" w:ascii="Times New Roman" w:hAnsi="Times New Roman" w:eastAsia="宋体" w:cs="Times New Roman"/>
                <w:color w:val="000000" w:themeColor="text1"/>
                <w:sz w:val="21"/>
                <w:szCs w:val="21"/>
                <w14:textFill>
                  <w14:solidFill>
                    <w14:schemeClr w14:val="tx1"/>
                  </w14:solidFill>
                </w14:textFill>
              </w:rPr>
              <w:t>（k</w:t>
            </w:r>
            <w:r>
              <w:rPr>
                <w:rFonts w:ascii="Times New Roman" w:hAnsi="Times New Roman" w:eastAsia="宋体" w:cs="Times New Roman"/>
                <w:color w:val="000000" w:themeColor="text1"/>
                <w:sz w:val="21"/>
                <w:szCs w:val="21"/>
                <w14:textFill>
                  <w14:solidFill>
                    <w14:schemeClr w14:val="tx1"/>
                  </w14:solidFill>
                </w14:textFill>
              </w:rPr>
              <w:t>N/m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203" w:type="dxa"/>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饱和抗</w:t>
            </w:r>
          </w:p>
          <w:p>
            <w:pPr>
              <w:spacing w:line="20" w:lineRule="atLeas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压强度</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744" w:type="dxa"/>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比重</w:t>
            </w:r>
          </w:p>
        </w:tc>
        <w:tc>
          <w:tcPr>
            <w:tcW w:w="837" w:type="dxa"/>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泊松比</w:t>
            </w:r>
          </w:p>
        </w:tc>
        <w:tc>
          <w:tcPr>
            <w:tcW w:w="750" w:type="dxa"/>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孔隙率</w:t>
            </w:r>
          </w:p>
        </w:tc>
        <w:tc>
          <w:tcPr>
            <w:tcW w:w="1067" w:type="dxa"/>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内摩</w:t>
            </w:r>
          </w:p>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擦角</w:t>
            </w:r>
          </w:p>
          <w:p>
            <w:pPr>
              <w:spacing w:line="20" w:lineRule="atLeast"/>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Φ</w:t>
            </w:r>
            <w:r>
              <w:rPr>
                <w:rFonts w:ascii="Times New Roman" w:hAnsi="宋体" w:eastAsia="宋体" w:cs="Times New Roman"/>
                <w:color w:val="000000" w:themeColor="text1"/>
                <w:sz w:val="21"/>
                <w:szCs w:val="21"/>
                <w14:textFill>
                  <w14:solidFill>
                    <w14:schemeClr w14:val="tx1"/>
                  </w14:solidFill>
                </w14:textFill>
              </w:rPr>
              <w:t>（</w:t>
            </w:r>
            <w:r>
              <w:rPr>
                <w:rFonts w:ascii="宋体" w:hAnsi="宋体" w:eastAsia="宋体" w:cs="Times New Roman"/>
                <w:color w:val="000000" w:themeColor="text1"/>
                <w:sz w:val="21"/>
                <w:szCs w:val="21"/>
                <w:vertAlign w:val="superscript"/>
                <w14:textFill>
                  <w14:solidFill>
                    <w14:schemeClr w14:val="tx1"/>
                  </w14:solidFill>
                </w14:textFill>
              </w:rPr>
              <w:t>o</w:t>
            </w:r>
            <w:r>
              <w:rPr>
                <w:rFonts w:ascii="Times New Roman" w:hAnsi="宋体" w:eastAsia="宋体" w:cs="Times New Roman"/>
                <w:color w:val="000000" w:themeColor="text1"/>
                <w:sz w:val="21"/>
                <w:szCs w:val="21"/>
                <w14:textFill>
                  <w14:solidFill>
                    <w14:schemeClr w14:val="tx1"/>
                  </w14:solidFill>
                </w14:textFill>
              </w:rPr>
              <w:t>）</w:t>
            </w:r>
          </w:p>
        </w:tc>
        <w:tc>
          <w:tcPr>
            <w:tcW w:w="1034" w:type="dxa"/>
            <w:noWrap w:val="0"/>
            <w:vAlign w:val="center"/>
          </w:tcPr>
          <w:p>
            <w:pPr>
              <w:spacing w:line="20" w:lineRule="atLeast"/>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凝聚力</w:t>
            </w:r>
          </w:p>
          <w:p>
            <w:pPr>
              <w:spacing w:line="20" w:lineRule="atLeast"/>
              <w:ind w:firstLine="0" w:firstLineChars="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w:t>
            </w:r>
            <w:r>
              <w:rPr>
                <w:rFonts w:ascii="Times New Roman" w:hAnsi="宋体"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306" w:type="dxa"/>
            <w:noWrap w:val="0"/>
            <w:vAlign w:val="center"/>
          </w:tcPr>
          <w:p>
            <w:pPr>
              <w:spacing w:line="20" w:lineRule="atLeast"/>
              <w:ind w:firstLine="105" w:firstLine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渗透系数</w:t>
            </w:r>
          </w:p>
          <w:p>
            <w:pPr>
              <w:spacing w:line="20" w:lineRule="atLeast"/>
              <w:ind w:firstLine="105" w:firstLine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K</w:t>
            </w:r>
            <w:r>
              <w:rPr>
                <w:rFonts w:ascii="Times New Roman" w:hAnsi="宋体"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cm/s</w:t>
            </w:r>
            <w:r>
              <w:rPr>
                <w:rFonts w:ascii="Times New Roman" w:hAnsi="宋体"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5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坝体</w:t>
            </w:r>
          </w:p>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干砌石</w:t>
            </w:r>
          </w:p>
        </w:tc>
        <w:tc>
          <w:tcPr>
            <w:tcW w:w="1252"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18.8</w:t>
            </w:r>
          </w:p>
        </w:tc>
        <w:tc>
          <w:tcPr>
            <w:tcW w:w="1203"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c>
          <w:tcPr>
            <w:tcW w:w="74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2.52</w:t>
            </w:r>
          </w:p>
        </w:tc>
        <w:tc>
          <w:tcPr>
            <w:tcW w:w="837"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0.36</w:t>
            </w:r>
          </w:p>
        </w:tc>
        <w:tc>
          <w:tcPr>
            <w:tcW w:w="750"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24.5</w:t>
            </w:r>
          </w:p>
        </w:tc>
        <w:tc>
          <w:tcPr>
            <w:tcW w:w="1067"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30</w:t>
            </w:r>
          </w:p>
        </w:tc>
        <w:tc>
          <w:tcPr>
            <w:tcW w:w="103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c>
          <w:tcPr>
            <w:tcW w:w="1306"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5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强风化</w:t>
            </w:r>
          </w:p>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砂岩</w:t>
            </w:r>
          </w:p>
        </w:tc>
        <w:tc>
          <w:tcPr>
            <w:tcW w:w="1252"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22.5</w:t>
            </w:r>
          </w:p>
        </w:tc>
        <w:tc>
          <w:tcPr>
            <w:tcW w:w="1203"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c>
          <w:tcPr>
            <w:tcW w:w="74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2.47</w:t>
            </w:r>
          </w:p>
        </w:tc>
        <w:tc>
          <w:tcPr>
            <w:tcW w:w="837"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0.37</w:t>
            </w:r>
          </w:p>
        </w:tc>
        <w:tc>
          <w:tcPr>
            <w:tcW w:w="750"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21.62</w:t>
            </w:r>
          </w:p>
        </w:tc>
        <w:tc>
          <w:tcPr>
            <w:tcW w:w="1067"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33</w:t>
            </w:r>
            <w:r>
              <w:rPr>
                <w:rFonts w:ascii="Times New Roman" w:hAnsi="Times New Roman" w:eastAsia="宋体" w:cs="Times New Roman"/>
                <w:color w:val="000000" w:themeColor="text1"/>
                <w:sz w:val="21"/>
                <w:szCs w:val="21"/>
                <w:vertAlign w:val="superscript"/>
                <w14:textFill>
                  <w14:solidFill>
                    <w14:schemeClr w14:val="tx1"/>
                  </w14:solidFill>
                </w14:textFill>
              </w:rPr>
              <w:t>*</w:t>
            </w:r>
          </w:p>
        </w:tc>
        <w:tc>
          <w:tcPr>
            <w:tcW w:w="103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0.08</w:t>
            </w:r>
          </w:p>
        </w:tc>
        <w:tc>
          <w:tcPr>
            <w:tcW w:w="1306"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6.5×10</w:t>
            </w:r>
            <w:r>
              <w:rPr>
                <w:rFonts w:ascii="Times New Roman" w:hAnsi="Times New Roman" w:eastAsia="宋体" w:cs="Times New Roman"/>
                <w:color w:val="000000" w:themeColor="text1"/>
                <w:sz w:val="21"/>
                <w:szCs w:val="21"/>
                <w:vertAlign w:val="super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5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弱风化</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ascii="Times New Roman" w:hAnsi="宋体" w:eastAsia="宋体" w:cs="Times New Roman"/>
                <w:color w:val="000000" w:themeColor="text1"/>
                <w:sz w:val="21"/>
                <w:szCs w:val="21"/>
                <w14:textFill>
                  <w14:solidFill>
                    <w14:schemeClr w14:val="tx1"/>
                  </w14:solidFill>
                </w14:textFill>
              </w:rPr>
              <w:t>砂岩</w:t>
            </w:r>
          </w:p>
        </w:tc>
        <w:tc>
          <w:tcPr>
            <w:tcW w:w="1252"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25.63</w:t>
            </w:r>
          </w:p>
        </w:tc>
        <w:tc>
          <w:tcPr>
            <w:tcW w:w="1203"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30</w:t>
            </w:r>
          </w:p>
        </w:tc>
        <w:tc>
          <w:tcPr>
            <w:tcW w:w="74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2.58</w:t>
            </w:r>
          </w:p>
        </w:tc>
        <w:tc>
          <w:tcPr>
            <w:tcW w:w="837"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0.30</w:t>
            </w:r>
          </w:p>
        </w:tc>
        <w:tc>
          <w:tcPr>
            <w:tcW w:w="750"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15.5</w:t>
            </w:r>
          </w:p>
        </w:tc>
        <w:tc>
          <w:tcPr>
            <w:tcW w:w="1067"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r>
              <w:rPr>
                <w:rFonts w:ascii="Times New Roman" w:hAnsi="Times New Roman" w:eastAsia="宋体" w:cs="Times New Roman"/>
                <w:color w:val="000000" w:themeColor="text1"/>
                <w:sz w:val="21"/>
                <w:szCs w:val="21"/>
                <w:vertAlign w:val="superscript"/>
                <w14:textFill>
                  <w14:solidFill>
                    <w14:schemeClr w14:val="tx1"/>
                  </w14:solidFill>
                </w14:textFill>
              </w:rPr>
              <w:t>*</w:t>
            </w:r>
          </w:p>
        </w:tc>
        <w:tc>
          <w:tcPr>
            <w:tcW w:w="1034"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0.25</w:t>
            </w:r>
          </w:p>
        </w:tc>
        <w:tc>
          <w:tcPr>
            <w:tcW w:w="1306" w:type="dxa"/>
            <w:shd w:val="clear" w:color="auto" w:fill="auto"/>
            <w:noWrap w:val="0"/>
            <w:vAlign w:val="center"/>
          </w:tcPr>
          <w:p>
            <w:pPr>
              <w:spacing w:line="20" w:lineRule="atLeas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表5-6</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各尾砂层物理力学指标值表</w:t>
      </w:r>
    </w:p>
    <w:tbl>
      <w:tblPr>
        <w:tblStyle w:val="15"/>
        <w:tblW w:w="52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58"/>
        <w:gridCol w:w="1092"/>
        <w:gridCol w:w="1090"/>
        <w:gridCol w:w="923"/>
        <w:gridCol w:w="900"/>
        <w:gridCol w:w="1176"/>
        <w:gridCol w:w="1110"/>
        <w:gridCol w:w="731"/>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58"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岩土</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名称</w:t>
            </w:r>
          </w:p>
        </w:tc>
        <w:tc>
          <w:tcPr>
            <w:tcW w:w="390"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含水量</w:t>
            </w:r>
          </w:p>
          <w:p>
            <w:pPr>
              <w:spacing w:line="24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562"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干密度</w:t>
            </w:r>
          </w:p>
          <w:p>
            <w:pPr>
              <w:spacing w:line="24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（k</w:t>
            </w:r>
            <w:r>
              <w:rPr>
                <w:rFonts w:ascii="Times New Roman" w:hAnsi="Times New Roman" w:eastAsia="宋体" w:cs="Times New Roman"/>
                <w:color w:val="000000" w:themeColor="text1"/>
                <w:sz w:val="21"/>
                <w:szCs w:val="21"/>
                <w14:textFill>
                  <w14:solidFill>
                    <w14:schemeClr w14:val="tx1"/>
                  </w14:solidFill>
                </w14:textFill>
              </w:rPr>
              <w:t>N/m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561"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湿密度</w:t>
            </w:r>
          </w:p>
          <w:p>
            <w:pPr>
              <w:spacing w:line="24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（k</w:t>
            </w:r>
            <w:r>
              <w:rPr>
                <w:rFonts w:ascii="Times New Roman" w:hAnsi="Times New Roman" w:eastAsia="宋体" w:cs="Times New Roman"/>
                <w:color w:val="000000" w:themeColor="text1"/>
                <w:sz w:val="21"/>
                <w:szCs w:val="21"/>
                <w14:textFill>
                  <w14:solidFill>
                    <w14:schemeClr w14:val="tx1"/>
                  </w14:solidFill>
                </w14:textFill>
              </w:rPr>
              <w:t>N/m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938" w:type="pct"/>
            <w:gridSpan w:val="2"/>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直接快剪</w:t>
            </w:r>
          </w:p>
        </w:tc>
        <w:tc>
          <w:tcPr>
            <w:tcW w:w="605"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渗透</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系数</w:t>
            </w:r>
          </w:p>
          <w:p>
            <w:pPr>
              <w:spacing w:line="24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cm/s</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571"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压缩</w:t>
            </w:r>
          </w:p>
          <w:p>
            <w:pPr>
              <w:spacing w:line="24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系数</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14:textFill>
                  <w14:solidFill>
                    <w14:schemeClr w14:val="tx1"/>
                  </w14:solidFill>
                </w14:textFill>
              </w:rPr>
              <w:t>P</w:t>
            </w:r>
            <w:r>
              <w:rPr>
                <w:rFonts w:ascii="Times New Roman" w:hAnsi="Times New Roman" w:eastAsia="宋体" w:cs="Times New Roman"/>
                <w:color w:val="000000" w:themeColor="text1"/>
                <w:sz w:val="21"/>
                <w:szCs w:val="21"/>
                <w14:textFill>
                  <w14:solidFill>
                    <w14:schemeClr w14:val="tx1"/>
                  </w14:solidFill>
                </w14:textFill>
              </w:rPr>
              <w:t>a</w:t>
            </w:r>
            <w:r>
              <w:rPr>
                <w:rFonts w:ascii="Times New Roman" w:hAnsi="Times New Roman" w:eastAsia="宋体" w:cs="Times New Roman"/>
                <w:color w:val="000000" w:themeColor="text1"/>
                <w:sz w:val="21"/>
                <w:szCs w:val="21"/>
                <w:vertAlign w:val="superscript"/>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376" w:type="pct"/>
            <w:vMerge w:val="restart"/>
            <w:noWrap w:val="0"/>
            <w:vAlign w:val="center"/>
          </w:tcPr>
          <w:p>
            <w:pPr>
              <w:spacing w:line="240" w:lineRule="exact"/>
              <w:ind w:firstLine="0" w:firstLineChars="0"/>
              <w:jc w:val="center"/>
              <w:rPr>
                <w:rFonts w:hint="eastAsia" w:ascii="Times New Roman" w:hAnsi="宋体"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允许</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渗透</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坡降</w:t>
            </w:r>
          </w:p>
        </w:tc>
        <w:tc>
          <w:tcPr>
            <w:tcW w:w="439" w:type="pct"/>
            <w:vMerge w:val="restart"/>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承载</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力特</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征值</w:t>
            </w:r>
          </w:p>
          <w:p>
            <w:pPr>
              <w:spacing w:line="24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（k</w:t>
            </w:r>
            <w:r>
              <w:rPr>
                <w:rFonts w:ascii="Times New Roman" w:hAnsi="Times New Roman" w:eastAsia="宋体" w:cs="Times New Roman"/>
                <w:color w:val="000000" w:themeColor="text1"/>
                <w:sz w:val="21"/>
                <w:szCs w:val="21"/>
                <w14:textFill>
                  <w14:solidFill>
                    <w14:schemeClr w14:val="tx1"/>
                  </w14:solidFill>
                </w14:textFill>
              </w:rPr>
              <w:t>Pa</w:t>
            </w:r>
            <w:r>
              <w:rPr>
                <w:rFonts w:hint="eastAsia"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58"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90"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562"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561"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475" w:type="pct"/>
            <w:noWrap w:val="0"/>
            <w:vAlign w:val="center"/>
          </w:tcPr>
          <w:p>
            <w:pPr>
              <w:spacing w:line="28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凝聚力</w:t>
            </w:r>
          </w:p>
          <w:p>
            <w:pPr>
              <w:spacing w:line="28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（k</w:t>
            </w:r>
            <w:r>
              <w:rPr>
                <w:rFonts w:ascii="Times New Roman" w:hAnsi="Times New Roman" w:eastAsia="宋体" w:cs="Times New Roman"/>
                <w:color w:val="000000" w:themeColor="text1"/>
                <w:sz w:val="21"/>
                <w:szCs w:val="21"/>
                <w14:textFill>
                  <w14:solidFill>
                    <w14:schemeClr w14:val="tx1"/>
                  </w14:solidFill>
                </w14:textFill>
              </w:rPr>
              <w:t>Pa</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62" w:type="pct"/>
            <w:noWrap w:val="0"/>
            <w:vAlign w:val="center"/>
          </w:tcPr>
          <w:p>
            <w:pPr>
              <w:spacing w:line="280" w:lineRule="exact"/>
              <w:ind w:firstLine="0" w:firstLineChars="0"/>
              <w:rPr>
                <w:rFonts w:hint="eastAsia" w:ascii="Times New Roman" w:hAnsi="宋体"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内摩擦角</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05"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571"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76"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439" w:type="pct"/>
            <w:vMerge w:val="continue"/>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58"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尾砾砂、粗砂</w:t>
            </w:r>
          </w:p>
        </w:tc>
        <w:tc>
          <w:tcPr>
            <w:tcW w:w="390"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25.23</w:t>
            </w:r>
          </w:p>
        </w:tc>
        <w:tc>
          <w:tcPr>
            <w:tcW w:w="562"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c>
          <w:tcPr>
            <w:tcW w:w="56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18.8</w:t>
            </w:r>
          </w:p>
        </w:tc>
        <w:tc>
          <w:tcPr>
            <w:tcW w:w="47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2.22</w:t>
            </w:r>
          </w:p>
        </w:tc>
        <w:tc>
          <w:tcPr>
            <w:tcW w:w="462" w:type="pct"/>
            <w:shd w:val="clear" w:color="auto" w:fill="auto"/>
            <w:noWrap w:val="0"/>
            <w:vAlign w:val="center"/>
          </w:tcPr>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27.8</w:t>
            </w:r>
          </w:p>
        </w:tc>
        <w:tc>
          <w:tcPr>
            <w:tcW w:w="60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6.45×10</w:t>
            </w:r>
            <w:r>
              <w:rPr>
                <w:rFonts w:ascii="Times New Roman" w:hAnsi="Times New Roman" w:eastAsia="宋体" w:cs="Times New Roman"/>
                <w:color w:val="000000" w:themeColor="text1"/>
                <w:sz w:val="21"/>
                <w:szCs w:val="21"/>
                <w:vertAlign w:val="superscript"/>
                <w14:textFill>
                  <w14:solidFill>
                    <w14:schemeClr w14:val="tx1"/>
                  </w14:solidFill>
                </w14:textFill>
              </w:rPr>
              <w:t>-3</w:t>
            </w:r>
          </w:p>
        </w:tc>
        <w:tc>
          <w:tcPr>
            <w:tcW w:w="57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0.18</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76"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0.22</w:t>
            </w:r>
          </w:p>
        </w:tc>
        <w:tc>
          <w:tcPr>
            <w:tcW w:w="439"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58"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尾中砂</w:t>
            </w:r>
          </w:p>
        </w:tc>
        <w:tc>
          <w:tcPr>
            <w:tcW w:w="390"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25.11</w:t>
            </w:r>
          </w:p>
        </w:tc>
        <w:tc>
          <w:tcPr>
            <w:tcW w:w="562"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14.8</w:t>
            </w:r>
          </w:p>
        </w:tc>
        <w:tc>
          <w:tcPr>
            <w:tcW w:w="56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18.5</w:t>
            </w:r>
          </w:p>
        </w:tc>
        <w:tc>
          <w:tcPr>
            <w:tcW w:w="47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5.4</w:t>
            </w:r>
          </w:p>
        </w:tc>
        <w:tc>
          <w:tcPr>
            <w:tcW w:w="462" w:type="pct"/>
            <w:shd w:val="clear" w:color="auto" w:fill="auto"/>
            <w:noWrap w:val="0"/>
            <w:vAlign w:val="center"/>
          </w:tcPr>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23.3</w:t>
            </w:r>
          </w:p>
        </w:tc>
        <w:tc>
          <w:tcPr>
            <w:tcW w:w="60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4.46×10</w:t>
            </w:r>
            <w:r>
              <w:rPr>
                <w:rFonts w:ascii="Times New Roman" w:hAnsi="Times New Roman" w:eastAsia="宋体" w:cs="Times New Roman"/>
                <w:color w:val="000000" w:themeColor="text1"/>
                <w:sz w:val="21"/>
                <w:szCs w:val="21"/>
                <w:vertAlign w:val="superscript"/>
                <w14:textFill>
                  <w14:solidFill>
                    <w14:schemeClr w14:val="tx1"/>
                  </w14:solidFill>
                </w14:textFill>
              </w:rPr>
              <w:t>-3</w:t>
            </w:r>
          </w:p>
        </w:tc>
        <w:tc>
          <w:tcPr>
            <w:tcW w:w="57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0.243</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76"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0.18</w:t>
            </w:r>
          </w:p>
        </w:tc>
        <w:tc>
          <w:tcPr>
            <w:tcW w:w="439"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58"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尾细砂、粉砂</w:t>
            </w:r>
          </w:p>
        </w:tc>
        <w:tc>
          <w:tcPr>
            <w:tcW w:w="390"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25.6</w:t>
            </w:r>
          </w:p>
        </w:tc>
        <w:tc>
          <w:tcPr>
            <w:tcW w:w="562"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c>
          <w:tcPr>
            <w:tcW w:w="56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18.9</w:t>
            </w:r>
          </w:p>
        </w:tc>
        <w:tc>
          <w:tcPr>
            <w:tcW w:w="47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7.4</w:t>
            </w:r>
          </w:p>
        </w:tc>
        <w:tc>
          <w:tcPr>
            <w:tcW w:w="462" w:type="pct"/>
            <w:shd w:val="clear" w:color="auto" w:fill="auto"/>
            <w:noWrap w:val="0"/>
            <w:vAlign w:val="center"/>
          </w:tcPr>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21.05</w:t>
            </w:r>
          </w:p>
        </w:tc>
        <w:tc>
          <w:tcPr>
            <w:tcW w:w="60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3.78×10</w:t>
            </w:r>
            <w:r>
              <w:rPr>
                <w:rFonts w:ascii="Times New Roman" w:hAnsi="Times New Roman" w:eastAsia="宋体" w:cs="Times New Roman"/>
                <w:color w:val="000000" w:themeColor="text1"/>
                <w:sz w:val="21"/>
                <w:szCs w:val="21"/>
                <w:vertAlign w:val="superscript"/>
                <w14:textFill>
                  <w14:solidFill>
                    <w14:schemeClr w14:val="tx1"/>
                  </w14:solidFill>
                </w14:textFill>
              </w:rPr>
              <w:t>-3</w:t>
            </w:r>
          </w:p>
        </w:tc>
        <w:tc>
          <w:tcPr>
            <w:tcW w:w="57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0.289</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76"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0.15</w:t>
            </w:r>
          </w:p>
        </w:tc>
        <w:tc>
          <w:tcPr>
            <w:tcW w:w="439"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58"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宋体" w:eastAsia="宋体" w:cs="Times New Roman"/>
                <w:color w:val="000000" w:themeColor="text1"/>
                <w:sz w:val="21"/>
                <w:szCs w:val="21"/>
                <w14:textFill>
                  <w14:solidFill>
                    <w14:schemeClr w14:val="tx1"/>
                  </w14:solidFill>
                </w14:textFill>
              </w:rPr>
              <w:t>尾粉土、粘土</w:t>
            </w:r>
          </w:p>
        </w:tc>
        <w:tc>
          <w:tcPr>
            <w:tcW w:w="390"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27.6</w:t>
            </w:r>
          </w:p>
        </w:tc>
        <w:tc>
          <w:tcPr>
            <w:tcW w:w="562"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14.92</w:t>
            </w:r>
          </w:p>
        </w:tc>
        <w:tc>
          <w:tcPr>
            <w:tcW w:w="56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19.04</w:t>
            </w:r>
          </w:p>
        </w:tc>
        <w:tc>
          <w:tcPr>
            <w:tcW w:w="47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16.36</w:t>
            </w:r>
          </w:p>
        </w:tc>
        <w:tc>
          <w:tcPr>
            <w:tcW w:w="462" w:type="pct"/>
            <w:shd w:val="clear" w:color="auto" w:fill="auto"/>
            <w:noWrap w:val="0"/>
            <w:vAlign w:val="center"/>
          </w:tcPr>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17.32</w:t>
            </w:r>
          </w:p>
        </w:tc>
        <w:tc>
          <w:tcPr>
            <w:tcW w:w="605"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5.38×10</w:t>
            </w:r>
            <w:r>
              <w:rPr>
                <w:rFonts w:ascii="Times New Roman" w:hAnsi="Times New Roman" w:eastAsia="宋体" w:cs="Times New Roman"/>
                <w:color w:val="000000" w:themeColor="text1"/>
                <w:sz w:val="21"/>
                <w:szCs w:val="21"/>
                <w:vertAlign w:val="superscript"/>
                <w14:textFill>
                  <w14:solidFill>
                    <w14:schemeClr w14:val="tx1"/>
                  </w14:solidFill>
                </w14:textFill>
              </w:rPr>
              <w:t>-4</w:t>
            </w:r>
          </w:p>
        </w:tc>
        <w:tc>
          <w:tcPr>
            <w:tcW w:w="571"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0.322</w:t>
            </w:r>
          </w:p>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376"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0.12</w:t>
            </w:r>
          </w:p>
        </w:tc>
        <w:tc>
          <w:tcPr>
            <w:tcW w:w="439" w:type="pct"/>
            <w:shd w:val="clear" w:color="auto" w:fill="auto"/>
            <w:noWrap w:val="0"/>
            <w:vAlign w:val="center"/>
          </w:tcPr>
          <w:p>
            <w:pPr>
              <w:spacing w:line="24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w:t>
            </w:r>
          </w:p>
        </w:tc>
      </w:tr>
    </w:tbl>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稳定计算</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坝体稳定计算采用地矿赣州工程地质勘察院提供的相关剖面图，对尾矿进行概化分层，现状浸润线参考勘察实测浸润线埋深，后期坝体稳定根据渗流分析结果确定浸润线埋深。</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本库为傍山型尾矿库，三面堆坝，坝轴线较长，东、南、西三面各选一个代表性剖面进行稳定计算。稳定计算坝体抗滑稳定计算结果见表5-7。</w:t>
      </w:r>
    </w:p>
    <w:p>
      <w:pPr>
        <w:bidi w:val="0"/>
        <w:ind w:left="0" w:leftChars="0" w:firstLine="0" w:firstLineChars="0"/>
        <w:jc w:val="center"/>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object>
          <v:shape id="_x0000_i1025" o:spt="75" type="#_x0000_t75" style="height:218.6pt;width:438.15pt;" o:ole="t" filled="f" o:preferrelative="t" stroked="f" coordsize="21600,21600">
            <v:path/>
            <v:fill on="f" alignshape="1" focussize="0,0"/>
            <v:stroke on="f"/>
            <v:imagedata r:id="rId11" croptop="7801f" cropbottom="5851f" grayscale="f" bilevel="f" o:title=""/>
            <o:lock v:ext="edit" aspectratio="t"/>
            <w10:wrap type="none"/>
            <w10:anchorlock/>
          </v:shape>
          <o:OLEObject Type="Embed" ProgID="AutoCAD.Drawing.16"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图5-1   1-1剖面现状稳定分析示意图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object>
          <v:shape id="_x0000_i1026" o:spt="75" type="#_x0000_t75" style="height:211.95pt;width:451.7pt;" o:ole="t" filled="f" o:preferrelative="t" stroked="f" coordsize="21600,21600">
            <v:path/>
            <v:fill on="f" alignshape="1" focussize="0,0"/>
            <v:stroke on="f"/>
            <v:imagedata r:id="rId13" croptop="13653f" cropbottom="12677f" grayscale="f" bilevel="f" o:title=""/>
            <o:lock v:ext="edit" aspectratio="t"/>
            <w10:wrap type="none"/>
            <w10:anchorlock/>
          </v:shape>
          <o:OLEObject Type="Embed" ProgID="AutoCAD.Drawing.16"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图5-2   1-1剖面终期+315m稳定分析示意图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object>
          <v:shape id="_x0000_i1027" o:spt="75" type="#_x0000_t75" style="height:198.1pt;width:440.85pt;" o:ole="t" filled="f" o:preferrelative="t" stroked="f" coordsize="21600,21600">
            <v:path/>
            <v:fill on="f" alignshape="1" focussize="0,0"/>
            <v:stroke on="f"/>
            <v:imagedata r:id="rId15" croptop="9752f" cropbottom="3901f" grayscale="f" bilevel="f" o:title=""/>
            <o:lock v:ext="edit" aspectratio="t"/>
            <w10:wrap type="none"/>
            <w10:anchorlock/>
          </v:shape>
          <o:OLEObject Type="Embed" ProgID="AutoCAD.Drawing.16" ShapeID="_x0000_i1027" DrawAspect="Content" ObjectID="_1468075727"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图5-3   3-3剖面现状稳定分析示意图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object>
          <v:shape id="_x0000_i1028" o:spt="75" type="#_x0000_t75" style="height:181.45pt;width:424.55pt;" o:ole="t" filled="f" o:preferrelative="t" stroked="f" coordsize="21600,21600">
            <v:path/>
            <v:fill on="f" alignshape="1" focussize="0,0"/>
            <v:stroke on="f"/>
            <v:imagedata r:id="rId17" croptop="8777f" cropbottom="10727f" grayscale="f" bilevel="f" o:title=""/>
            <o:lock v:ext="edit" aspectratio="t"/>
            <w10:wrap type="none"/>
            <w10:anchorlock/>
          </v:shape>
          <o:OLEObject Type="Embed" ProgID="AutoCAD.Drawing.16" ShapeID="_x0000_i1028" DrawAspect="Content" ObjectID="_1468075728"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图5-4   3-3剖面终期+315m稳定分析示意图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object>
          <v:shape id="_x0000_i1029" o:spt="75" type="#_x0000_t75" style="height:194.5pt;width:413.35pt;" o:ole="t" filled="f" o:preferrelative="t" stroked="f" coordsize="21600,21600">
            <v:path/>
            <v:fill on="f" focussize="0,0"/>
            <v:stroke on="f"/>
            <v:imagedata r:id="rId19" croptop="14610f" cropright="12395f" cropbottom="12675f" o:title=""/>
            <o:lock v:ext="edit" aspectratio="t"/>
            <w10:wrap type="none"/>
            <w10:anchorlock/>
          </v:shape>
          <o:OLEObject Type="Embed" ProgID="" ShapeID="_x0000_i1029" DrawAspect="Content" ObjectID="_1468075729"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图</w:t>
      </w:r>
      <w:r>
        <w:rPr>
          <w:rFonts w:hint="default" w:ascii="Times New Roman" w:hAnsi="Times New Roman" w:eastAsia="宋体" w:cs="Times New Roman"/>
          <w:color w:val="000000" w:themeColor="text1"/>
          <w:lang w:val="en-US" w:eastAsia="zh-CN"/>
          <w14:textFill>
            <w14:solidFill>
              <w14:schemeClr w14:val="tx1"/>
            </w14:solidFill>
          </w14:textFill>
        </w:rPr>
        <w:t>5-5   5-5剖</w:t>
      </w:r>
      <w:r>
        <w:rPr>
          <w:rFonts w:hint="eastAsia" w:ascii="Times New Roman" w:hAnsi="Times New Roman" w:eastAsia="宋体" w:cs="Times New Roman"/>
          <w:color w:val="000000" w:themeColor="text1"/>
          <w:lang w:val="en-US" w:eastAsia="zh-CN"/>
          <w14:textFill>
            <w14:solidFill>
              <w14:schemeClr w14:val="tx1"/>
            </w14:solidFill>
          </w14:textFill>
        </w:rPr>
        <w:t>面现状稳定分析示意图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仿宋_GB2312" w:eastAsia="仿宋_GB2312"/>
          <w:color w:val="000000" w:themeColor="text1"/>
          <w14:textFill>
            <w14:solidFill>
              <w14:schemeClr w14:val="tx1"/>
            </w14:solidFill>
          </w14:textFill>
        </w:rPr>
        <w:object>
          <v:shape id="_x0000_i1030" o:spt="75" type="#_x0000_t75" style="height:229.1pt;width:431.8pt;" o:ole="t" filled="f" o:preferrelative="t" stroked="f" coordsize="21600,21600">
            <v:path/>
            <v:fill on="f" alignshape="1" focussize="0,0"/>
            <v:stroke on="f"/>
            <v:imagedata r:id="rId21" croptop="15603f" cropbottom="14628f" grayscale="f" bilevel="f" o:title=""/>
            <o:lock v:ext="edit" aspectratio="t"/>
            <w10:wrap type="none"/>
            <w10:anchorlock/>
          </v:shape>
          <o:OLEObject Type="Embed" ProgID="AutoCAD.Drawing.16" ShapeID="_x0000_i1030" DrawAspect="Content" ObjectID="_1468075730"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图5-6</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 xml:space="preserve">  5-5剖面终期+315m稳定分析示意图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表5-7</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坝体稳定性安全系数计算结果表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548"/>
        <w:gridCol w:w="1359"/>
        <w:gridCol w:w="1823"/>
        <w:gridCol w:w="1462"/>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剖面位置</w:t>
            </w:r>
          </w:p>
        </w:tc>
        <w:tc>
          <w:tcPr>
            <w:tcW w:w="2907"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工况</w:t>
            </w:r>
          </w:p>
        </w:tc>
        <w:tc>
          <w:tcPr>
            <w:tcW w:w="18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平均浸润线埋深（m）</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计算值</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规范值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907"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89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瑞典圆弧法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1-1剖面</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现状</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7.2</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1.80</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洪水运行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1.68</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特殊运行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6.9</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1.53</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终期+315m</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14.4</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1.62</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洪水运行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14.0</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1.58</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特殊运行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14.0</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1.39</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剖面</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现状</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9.8</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1.75</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洪水运行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9.6</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1.69</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特殊运行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9.6</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1.52</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终期+315m</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18.2</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洪水运行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17.8</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1.43</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特殊运行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17.8</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1.29</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剖面</w:t>
            </w: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现状</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15.6</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1.66</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洪水运行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15.3</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1.61</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特殊运行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15.3</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1.46</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终期+315m</w:t>
            </w: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23.5</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1.49</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洪水运行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23.2</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1.40</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特殊运行</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23.2</w:t>
            </w:r>
          </w:p>
        </w:tc>
        <w:tc>
          <w:tcPr>
            <w:tcW w:w="14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1.24</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1.05</w:t>
            </w:r>
          </w:p>
        </w:tc>
      </w:tr>
    </w:tbl>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从计算结果可知：盘古山钨业尾矿库尾矿坝抗滑稳定性能满足《规范》最小值要求，坝体是稳定可靠的。</w:t>
      </w:r>
    </w:p>
    <w:p>
      <w:pPr>
        <w:pStyle w:val="4"/>
        <w:bidi w:val="0"/>
        <w:rPr>
          <w:rFonts w:hint="eastAsia"/>
          <w:color w:val="000000" w:themeColor="text1"/>
          <w:lang w:eastAsia="zh-CN"/>
          <w14:textFill>
            <w14:solidFill>
              <w14:schemeClr w14:val="tx1"/>
            </w14:solidFill>
          </w14:textFill>
        </w:rPr>
      </w:pPr>
      <w:bookmarkStart w:id="79" w:name="_Toc481"/>
      <w:r>
        <w:rPr>
          <w:rFonts w:hint="eastAsia"/>
          <w:color w:val="000000" w:themeColor="text1"/>
          <w:lang w:eastAsia="zh-CN"/>
          <w14:textFill>
            <w14:solidFill>
              <w14:schemeClr w14:val="tx1"/>
            </w14:solidFill>
          </w14:textFill>
        </w:rPr>
        <w:t>5.2.3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评价单元小结</w:t>
      </w:r>
      <w:bookmarkEnd w:id="79"/>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（1）从尾矿坝稳定分析计算结果来看，盘古山钨业尾矿库尾矿坝体处在稳定状态。</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）经现场检查，盘古山钨业尾矿库尾矿坝坝坡面平整，植被良好，未发生坝体位移、沉陷、裂缝、坍滑、渗透水、坝坡冲刷、沼泽化等现象，尾矿坝体单元应得分</w:t>
      </w:r>
      <w:r>
        <w:rPr>
          <w:rFonts w:hint="eastAsia"/>
          <w:color w:val="000000" w:themeColor="text1"/>
          <w:lang w:val="en-US" w:eastAsia="zh-CN"/>
          <w14:textFill>
            <w14:solidFill>
              <w14:schemeClr w14:val="tx1"/>
            </w14:solidFill>
          </w14:textFill>
        </w:rPr>
        <w:t>77</w:t>
      </w:r>
      <w:r>
        <w:rPr>
          <w:rFonts w:hint="eastAsia"/>
          <w:color w:val="000000" w:themeColor="text1"/>
          <w:lang w:eastAsia="zh-CN"/>
          <w14:textFill>
            <w14:solidFill>
              <w14:schemeClr w14:val="tx1"/>
            </w14:solidFill>
          </w14:textFill>
        </w:rPr>
        <w:t>分，实际得分</w:t>
      </w:r>
      <w:r>
        <w:rPr>
          <w:rFonts w:hint="eastAsia"/>
          <w:color w:val="000000" w:themeColor="text1"/>
          <w:lang w:val="en-US" w:eastAsia="zh-CN"/>
          <w14:textFill>
            <w14:solidFill>
              <w14:schemeClr w14:val="tx1"/>
            </w14:solidFill>
          </w14:textFill>
        </w:rPr>
        <w:t>63</w:t>
      </w:r>
      <w:r>
        <w:rPr>
          <w:rFonts w:hint="eastAsia"/>
          <w:color w:val="000000" w:themeColor="text1"/>
          <w:lang w:eastAsia="zh-CN"/>
          <w14:textFill>
            <w14:solidFill>
              <w14:schemeClr w14:val="tx1"/>
            </w14:solidFill>
          </w14:textFill>
        </w:rPr>
        <w:t>分，得分率为</w:t>
      </w:r>
      <w:r>
        <w:rPr>
          <w:rFonts w:hint="eastAsia"/>
          <w:color w:val="000000" w:themeColor="text1"/>
          <w:lang w:val="en-US" w:eastAsia="zh-CN"/>
          <w14:textFill>
            <w14:solidFill>
              <w14:schemeClr w14:val="tx1"/>
            </w14:solidFill>
          </w14:textFill>
        </w:rPr>
        <w:t>81.82</w:t>
      </w:r>
      <w:r>
        <w:rPr>
          <w:rFonts w:hint="eastAsia"/>
          <w:color w:val="000000" w:themeColor="text1"/>
          <w:lang w:eastAsia="zh-CN"/>
          <w14:textFill>
            <w14:solidFill>
              <w14:schemeClr w14:val="tx1"/>
            </w14:solidFill>
          </w14:textFill>
        </w:rPr>
        <w:t>%，尾矿坝体符合安全要求。</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 xml:space="preserve">）盘古山钨业尾矿粒径较粗，尾矿排放需一定坡度，加之尾矿库东西两头距离达1050m，所以导致堆积坝坝顶标高不均匀。盘古山钨业宜在秋冬干旱季节，在确保澄清距离和废水水质达标排放的前提下，加大尾矿库西端的尾矿排放量，以保证堆积坝坝顶标高基本一致。 </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在堆筑堆积坝之前，盘古山钨业应实施岸坡清理、落实隐蔽工程验收和记录。堆积坝堆完后，工程技术人员应进行质量检查，形成记录、存档备查。堆积坝运行过程中，盘古山钨业应及时对堆积坝外坡冲沟处进行覆土回填。</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盘古山钨业为防止横穿堆积坝马道的坝坡排水沟（明沟）被破坏，故施工时将浆砌块石明沟调整为预埋水泥涵管，并及时告知了设计单位，长沙有色冶金设计研究院有限公司派员现场检查予以认可。因此堆积坝预埋涵管符合设计要求。但盘古山钨业要加强涵管出口检查力度，防止涵管堵塞、塌陷而失去排水功效，及时查明失效原因和故障处理。依据盘古山钨业提供的《盘古山钨矿尾矿库隐患综合治理工程变更说明》，由于盘古山钨业尾矿库浸润线埋深实测记录表明，各观测孔浸润线埋深低于设计高程7.2～10.2m不等，满足设计和规范的要求，同意排渗管分期实施。因此，堆积坝排渗设施设置方式、位置、数量符合设计要求，排渗管采用PE管材较好于设计的UPVC管材。</w:t>
      </w:r>
    </w:p>
    <w:p>
      <w:pPr>
        <w:bidi w:val="0"/>
        <w:rPr>
          <w:rFonts w:hint="eastAsia"/>
          <w:color w:val="000000" w:themeColor="text1"/>
          <w:sz w:val="28"/>
          <w:szCs w:val="28"/>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）根据隐患综合治理工程初步设计要求，进行堆积坝坝坡面覆土、植被、筑沟，而且堆积坝最终高程应控制在+315.0m、外坡比1∶4.0</w:t>
      </w:r>
      <w:r>
        <w:rPr>
          <w:rFonts w:hint="eastAsia"/>
          <w:color w:val="000000" w:themeColor="text1"/>
          <w:sz w:val="28"/>
          <w:szCs w:val="28"/>
          <w14:textFill>
            <w14:solidFill>
              <w14:schemeClr w14:val="tx1"/>
            </w14:solidFill>
          </w14:textFill>
        </w:rPr>
        <w:t>。</w:t>
      </w:r>
    </w:p>
    <w:p>
      <w:pPr>
        <w:pStyle w:val="3"/>
        <w:bidi w:val="0"/>
        <w:rPr>
          <w:rFonts w:hint="eastAsia"/>
          <w:color w:val="000000" w:themeColor="text1"/>
          <w:lang w:eastAsia="zh-CN"/>
          <w14:textFill>
            <w14:solidFill>
              <w14:schemeClr w14:val="tx1"/>
            </w14:solidFill>
          </w14:textFill>
        </w:rPr>
      </w:pPr>
      <w:bookmarkStart w:id="80" w:name="_Toc16819"/>
      <w:r>
        <w:rPr>
          <w:rFonts w:hint="eastAsia"/>
          <w:color w:val="000000" w:themeColor="text1"/>
          <w:lang w:eastAsia="zh-CN"/>
          <w14:textFill>
            <w14:solidFill>
              <w14:schemeClr w14:val="tx1"/>
            </w14:solidFill>
          </w14:textFill>
        </w:rPr>
        <w:t>5.3</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防排洪系统单元</w:t>
      </w:r>
      <w:bookmarkEnd w:id="80"/>
    </w:p>
    <w:p>
      <w:pPr>
        <w:pStyle w:val="4"/>
        <w:bidi w:val="0"/>
        <w:rPr>
          <w:rFonts w:hint="eastAsia"/>
          <w:color w:val="000000" w:themeColor="text1"/>
          <w:lang w:eastAsia="zh-CN"/>
          <w14:textFill>
            <w14:solidFill>
              <w14:schemeClr w14:val="tx1"/>
            </w14:solidFill>
          </w14:textFill>
        </w:rPr>
      </w:pPr>
      <w:bookmarkStart w:id="81" w:name="_Toc22121"/>
      <w:r>
        <w:rPr>
          <w:rFonts w:hint="eastAsia"/>
          <w:color w:val="000000" w:themeColor="text1"/>
          <w:lang w:eastAsia="zh-CN"/>
          <w14:textFill>
            <w14:solidFill>
              <w14:schemeClr w14:val="tx1"/>
            </w14:solidFill>
          </w14:textFill>
        </w:rPr>
        <w:t>5.3.1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安全检查表评价</w:t>
      </w:r>
      <w:bookmarkEnd w:id="81"/>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运用《江西省尾矿库安全检查表》，对</w:t>
      </w:r>
      <w:r>
        <w:rPr>
          <w:rFonts w:hint="eastAsia"/>
          <w:color w:val="000000" w:themeColor="text1"/>
          <w:szCs w:val="28"/>
          <w14:textFill>
            <w14:solidFill>
              <w14:schemeClr w14:val="tx1"/>
            </w14:solidFill>
          </w14:textFill>
        </w:rPr>
        <w:t>盘古山钨业尾矿库</w:t>
      </w:r>
      <w:r>
        <w:rPr>
          <w:rFonts w:hint="eastAsia"/>
          <w:color w:val="000000" w:themeColor="text1"/>
          <w:lang w:eastAsia="zh-CN"/>
          <w14:textFill>
            <w14:solidFill>
              <w14:schemeClr w14:val="tx1"/>
            </w14:solidFill>
          </w14:textFill>
        </w:rPr>
        <w:t>防排洪系统单元进行评判，具体见表5-</w:t>
      </w:r>
      <w:r>
        <w:rPr>
          <w:rFonts w:hint="eastAsia"/>
          <w:color w:val="000000" w:themeColor="text1"/>
          <w:lang w:val="en-US" w:eastAsia="zh-CN"/>
          <w14:textFill>
            <w14:solidFill>
              <w14:schemeClr w14:val="tx1"/>
            </w14:solidFill>
          </w14:textFill>
        </w:rPr>
        <w:t>8</w:t>
      </w:r>
      <w:r>
        <w:rPr>
          <w:rFonts w:hint="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表5-</w:t>
      </w:r>
      <w:r>
        <w:rPr>
          <w:rFonts w:hint="eastAsia"/>
          <w:color w:val="000000" w:themeColor="text1"/>
          <w:lang w:val="en-US" w:eastAsia="zh-CN"/>
          <w14:textFill>
            <w14:solidFill>
              <w14:schemeClr w14:val="tx1"/>
            </w14:solidFill>
          </w14:textFill>
        </w:rPr>
        <w:t xml:space="preserve">8 </w:t>
      </w:r>
      <w:r>
        <w:rPr>
          <w:rFonts w:hint="eastAsia"/>
          <w:color w:val="000000" w:themeColor="text1"/>
          <w:lang w:eastAsia="zh-CN"/>
          <w14:textFill>
            <w14:solidFill>
              <w14:schemeClr w14:val="tx1"/>
            </w14:solidFill>
          </w14:textFill>
        </w:rPr>
        <w:t>防排洪系统单元安全检查表</w:t>
      </w:r>
    </w:p>
    <w:tbl>
      <w:tblPr>
        <w:tblStyle w:val="15"/>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80"/>
        <w:gridCol w:w="3282"/>
        <w:gridCol w:w="1685"/>
        <w:gridCol w:w="899"/>
        <w:gridCol w:w="658"/>
        <w:gridCol w:w="649"/>
        <w:gridCol w:w="824"/>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项目</w:t>
            </w: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检查内容</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检查依据</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检查方法</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及地点</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记录</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kern w:val="0"/>
                <w:sz w:val="21"/>
                <w:szCs w:val="21"/>
                <w:lang w:val="zh-CN"/>
                <w14:textFill>
                  <w14:solidFill>
                    <w14:schemeClr w14:val="tx1"/>
                  </w14:solidFill>
                </w14:textFill>
              </w:rPr>
              <w:t>标准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kern w:val="0"/>
                <w:sz w:val="21"/>
                <w:szCs w:val="21"/>
                <w:lang w:val="zh-CN"/>
                <w14:textFill>
                  <w14:solidFill>
                    <w14:schemeClr w14:val="tx1"/>
                  </w14:solidFill>
                </w14:textFill>
              </w:rPr>
              <w:t>分值</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kern w:val="0"/>
                <w:sz w:val="21"/>
                <w:szCs w:val="21"/>
                <w:lang w:val="zh-CN"/>
                <w14:textFill>
                  <w14:solidFill>
                    <w14:schemeClr w14:val="tx1"/>
                  </w14:solidFill>
                </w14:textFill>
              </w:rPr>
              <w:t>评分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kern w:val="0"/>
                <w:sz w:val="21"/>
                <w:szCs w:val="21"/>
                <w:lang w:val="zh-CN"/>
                <w14:textFill>
                  <w14:solidFill>
                    <w14:schemeClr w14:val="tx1"/>
                  </w14:solidFill>
                </w14:textFill>
              </w:rPr>
              <w:t>标准</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000000" w:themeColor="text1"/>
                <w:kern w:val="0"/>
                <w:sz w:val="21"/>
                <w:szCs w:val="21"/>
                <w:lang w:val="zh-CN"/>
                <w14:textFill>
                  <w14:solidFill>
                    <w14:schemeClr w14:val="tx1"/>
                  </w14:solidFill>
                </w14:textFill>
              </w:rPr>
            </w:pPr>
            <w:r>
              <w:rPr>
                <w:rFonts w:hint="default" w:ascii="Times New Roman" w:hAnsi="Times New Roman" w:cs="Times New Roman"/>
                <w:bCs/>
                <w:color w:val="000000" w:themeColor="text1"/>
                <w:kern w:val="0"/>
                <w:sz w:val="21"/>
                <w:szCs w:val="21"/>
                <w:lang w:val="zh-CN"/>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防洪</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排水</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1.调洪库容与安全超高、最小干滩长度</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1.1当尾矿库调洪库库容严重不足，在设计洪水位时，安全超高和最小干滩长度都不满足设计要求，将可能出现洪水漫顶。</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《尾矿库安全规程》第6.9.3条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对照设计查现场、</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图纸</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满足设计要求</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重大</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险情</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1.2当尾矿库调洪库库容不足，在设计洪水位时安全超高和最小干滩长度均不满足设计要求。</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《尾矿库安全规程》第6.9.2条</w:t>
            </w:r>
          </w:p>
        </w:tc>
        <w:tc>
          <w:tcPr>
            <w:tcW w:w="49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对照设计</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查现场</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满足设计要求</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重大</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隐患</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1.3当尾矿库调洪库库容不足，在设计洪水位时不能同时满足设计规定的安全超高和最小干滩长度要求。</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《尾矿库安全规程》第6.9.1条</w:t>
            </w:r>
          </w:p>
        </w:tc>
        <w:tc>
          <w:tcPr>
            <w:tcW w:w="49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满足设计要求</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一般</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隐患</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2.排洪系统</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2.1尾矿库防洪能力低于设计能力（排洪、排水构筑物结构尺寸低于设计要求）</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2.2排洪系统严重堵塞或坍塌，不能排水或排水能力急剧下降。</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2.3排水井显著倾斜，有倒塌的迹象。</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《尾矿库安全规程》第6.9.3条</w:t>
            </w:r>
          </w:p>
        </w:tc>
        <w:tc>
          <w:tcPr>
            <w:tcW w:w="49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排洪系统符合设计，运行良好</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重大</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险情</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有1项符合，就为重大险情</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2.4排洪系统部分堵塞或坍塌，排水能力有所降低，达不到设计要求。</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2.5排水井有所倾斜。</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《尾矿库安全规程》第6.9.2条</w:t>
            </w:r>
          </w:p>
        </w:tc>
        <w:tc>
          <w:tcPr>
            <w:tcW w:w="49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排洪</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系统</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完好</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重大</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隐患</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有1项符合，就为重大隐患</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2.6排水系统出现不影响安全使用的裂缝、腐蚀或磨损。</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《尾矿库安全规程》第6.9.1条</w:t>
            </w:r>
          </w:p>
        </w:tc>
        <w:tc>
          <w:tcPr>
            <w:tcW w:w="49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排洪</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系统</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完好</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一般</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隐患</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07"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3.1库内应在适当地点设置清晰醒目的水位观测标尺，并标明正常运行水位和警戒水位。</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bookmarkStart w:id="82" w:name="_Toc254857127"/>
            <w:bookmarkStart w:id="83" w:name="_Toc217992854"/>
            <w:bookmarkStart w:id="84" w:name="_Toc242431498"/>
            <w:bookmarkStart w:id="85" w:name="_Toc241681168"/>
            <w:bookmarkStart w:id="86" w:name="_Toc254855236"/>
            <w:bookmarkStart w:id="87" w:name="_Toc243102931"/>
            <w:bookmarkStart w:id="88" w:name="_Toc217808842"/>
            <w:bookmarkStart w:id="89" w:name="_Toc234632459"/>
            <w:bookmarkStart w:id="90" w:name="_Toc215331725"/>
            <w:bookmarkStart w:id="91" w:name="_Toc217919923"/>
            <w:bookmarkStart w:id="92" w:name="_Toc234211588"/>
            <w:bookmarkStart w:id="93" w:name="_Toc217808581"/>
            <w:bookmarkStart w:id="94" w:name="_Toc216088241"/>
            <w:r>
              <w:rPr>
                <w:rFonts w:hint="default" w:ascii="Times New Roman" w:hAnsi="Times New Roman" w:cs="Times New Roman"/>
                <w:color w:val="000000" w:themeColor="text1"/>
                <w:kern w:val="0"/>
                <w:sz w:val="21"/>
                <w:szCs w:val="21"/>
                <w:lang w:val="zh-CN"/>
                <w14:textFill>
                  <w14:solidFill>
                    <w14:schemeClr w14:val="tx1"/>
                  </w14:solidFill>
                </w14:textFill>
              </w:rPr>
              <w:t>尾矿库安全监测技术规范</w:t>
            </w:r>
            <w:bookmarkEnd w:id="82"/>
            <w:bookmarkEnd w:id="83"/>
            <w:bookmarkEnd w:id="84"/>
            <w:bookmarkEnd w:id="85"/>
            <w:bookmarkEnd w:id="86"/>
            <w:bookmarkEnd w:id="87"/>
            <w:bookmarkEnd w:id="88"/>
            <w:bookmarkEnd w:id="89"/>
            <w:bookmarkEnd w:id="90"/>
            <w:bookmarkEnd w:id="91"/>
            <w:bookmarkEnd w:id="92"/>
            <w:bookmarkEnd w:id="93"/>
            <w:bookmarkEnd w:id="94"/>
            <w:r>
              <w:rPr>
                <w:rFonts w:hint="default" w:ascii="Times New Roman" w:hAnsi="Times New Roman" w:cs="Times New Roman"/>
                <w:color w:val="000000" w:themeColor="text1"/>
                <w:kern w:val="0"/>
                <w:sz w:val="21"/>
                <w:szCs w:val="21"/>
                <w:lang w:val="zh-CN"/>
                <w14:textFill>
                  <w14:solidFill>
                    <w14:schemeClr w14:val="tx1"/>
                  </w14:solidFill>
                </w14:textFill>
              </w:rPr>
              <w:t>》第8.2.1条，《尾矿库安全规程》第5.5.4、6.4.5条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查现场</w:t>
            </w:r>
          </w:p>
        </w:tc>
        <w:tc>
          <w:tcPr>
            <w:tcW w:w="361" w:type="pct"/>
            <w:noWrap w:val="0"/>
            <w:vAlign w:val="center"/>
          </w:tcPr>
          <w:p>
            <w:pPr>
              <w:autoSpaceDE w:val="0"/>
              <w:autoSpaceDN w:val="0"/>
              <w:adjustRightInd w:val="0"/>
              <w:spacing w:line="280" w:lineRule="exact"/>
              <w:ind w:left="0" w:leftChars="0" w:firstLine="0" w:firstLineChars="0"/>
              <w:jc w:val="center"/>
              <w:rPr>
                <w:rFonts w:hint="eastAsia"/>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无警戒</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eastAsia"/>
                <w:color w:val="000000" w:themeColor="text1"/>
                <w:kern w:val="0"/>
                <w:sz w:val="21"/>
                <w:szCs w:val="21"/>
                <w:lang w:val="zh-CN"/>
                <w14:textFill>
                  <w14:solidFill>
                    <w14:schemeClr w14:val="tx1"/>
                  </w14:solidFill>
                </w14:textFill>
              </w:rPr>
              <w:t>水位</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2</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缺1项</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扣1分</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3.2尾矿库水边线应与坝轴线基本保持平行。</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《尾矿库安全生产标准化评分办法》</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符合</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不得分</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3.3应疏浚库区内截洪沟、坝面排水沟及下游排洪（渠）道；</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3.4按设计确定的排洪底坎高程，将排洪底坎以上1.5倍调洪高度内的档板全部打开；</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3.5清除排洪口前水面漂浮物；</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《尾矿库安全规程》第6.4.3条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查现场</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符合</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6</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1项不符合扣2分</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3.6应备足抗洪抢险所需物资，落实应急救援措施；</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3.7应确保上坝道路、通讯、供电及照明线路可靠和畅通；</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3.8及时了解和掌握汛期水情和气象预报情况。</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《尾矿库安全规程》第6.1.10、9.7.2、9.7.4、10.8条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查现场</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和记录</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color w:val="000000" w:themeColor="text1"/>
                <w:kern w:val="0"/>
                <w:sz w:val="21"/>
                <w:szCs w:val="21"/>
                <w:lang w:val="zh-CN"/>
                <w14:textFill>
                  <w14:solidFill>
                    <w14:schemeClr w14:val="tx1"/>
                  </w14:solidFill>
                </w14:textFill>
              </w:rPr>
              <w:t>3.8</w:t>
            </w:r>
            <w:r>
              <w:rPr>
                <w:rFonts w:hint="eastAsia"/>
                <w:color w:val="000000" w:themeColor="text1"/>
                <w:kern w:val="0"/>
                <w:sz w:val="21"/>
                <w:szCs w:val="21"/>
                <w:lang w:val="zh-CN"/>
                <w14:textFill>
                  <w14:solidFill>
                    <w14:schemeClr w14:val="tx1"/>
                  </w14:solidFill>
                </w14:textFill>
              </w:rPr>
              <w:t>执行差</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7</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不达要求前2项有1项扣3分，后1项扣1分</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3.9不得在尾矿滩面设置泄洪口。</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《冶金矿山尾矿设施管理规程》第4.3.5条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查现场</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无此</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现象</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7</w:t>
            </w:r>
          </w:p>
        </w:tc>
        <w:tc>
          <w:tcPr>
            <w:tcW w:w="45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不符合</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不得分</w:t>
            </w: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3.10尾矿库排水构筑物停止使用后，是否按照设计要求进行封堵。</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《尾矿库安全规程》第6.4.8条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查设尾矿库工程档案和现场</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无此项</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5</w:t>
            </w:r>
          </w:p>
        </w:tc>
        <w:tc>
          <w:tcPr>
            <w:tcW w:w="45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3.12排水系统是否有变形、位移、损坏现象。</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《尾矿库安全规程》第9.2.5条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查现场</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完好</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7</w:t>
            </w:r>
          </w:p>
        </w:tc>
        <w:tc>
          <w:tcPr>
            <w:tcW w:w="45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454" w:hRule="atLeast"/>
          <w:jc w:val="center"/>
        </w:trPr>
        <w:tc>
          <w:tcPr>
            <w:tcW w:w="31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180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spacing w:val="4"/>
                <w:kern w:val="0"/>
                <w:sz w:val="21"/>
                <w:szCs w:val="21"/>
                <w14:textFill>
                  <w14:solidFill>
                    <w14:schemeClr w14:val="tx1"/>
                  </w14:solidFill>
                </w14:textFill>
              </w:rPr>
              <w:t>3.13未经技术论证，不得用常规子坝拦洪。</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《尾矿库安全规程》第6.4.3条</w:t>
            </w: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对照设计、</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现场检查</w:t>
            </w: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无此</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现象</w:t>
            </w: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4</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90" w:hRule="atLeast"/>
          <w:jc w:val="center"/>
        </w:trPr>
        <w:tc>
          <w:tcPr>
            <w:tcW w:w="2118"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小计</w:t>
            </w:r>
          </w:p>
        </w:tc>
        <w:tc>
          <w:tcPr>
            <w:tcW w:w="9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9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6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35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41</w:t>
            </w:r>
          </w:p>
        </w:tc>
        <w:tc>
          <w:tcPr>
            <w:tcW w:w="45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000000" w:themeColor="text1"/>
                <w:kern w:val="0"/>
                <w:sz w:val="21"/>
                <w:szCs w:val="21"/>
                <w:lang w:val="zh-CN"/>
                <w14:textFill>
                  <w14:solidFill>
                    <w14:schemeClr w14:val="tx1"/>
                  </w14:solidFill>
                </w14:textFill>
              </w:rPr>
            </w:pPr>
          </w:p>
        </w:tc>
        <w:tc>
          <w:tcPr>
            <w:tcW w:w="29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eastAsia" w:cs="Times New Roman"/>
                <w:color w:val="000000" w:themeColor="text1"/>
                <w:kern w:val="0"/>
                <w:sz w:val="21"/>
                <w:szCs w:val="21"/>
                <w:lang w:val="en-US" w:eastAsia="zh-CN"/>
                <w14:textFill>
                  <w14:solidFill>
                    <w14:schemeClr w14:val="tx1"/>
                  </w14:solidFill>
                </w14:textFill>
              </w:rPr>
              <w:t>9</w:t>
            </w:r>
          </w:p>
        </w:tc>
      </w:tr>
    </w:tbl>
    <w:p>
      <w:pPr>
        <w:pStyle w:val="4"/>
        <w:bidi w:val="0"/>
        <w:rPr>
          <w:rFonts w:hint="eastAsia"/>
          <w:color w:val="000000" w:themeColor="text1"/>
          <w:lang w:eastAsia="zh-CN"/>
          <w14:textFill>
            <w14:solidFill>
              <w14:schemeClr w14:val="tx1"/>
            </w14:solidFill>
          </w14:textFill>
        </w:rPr>
      </w:pPr>
      <w:bookmarkStart w:id="95" w:name="_Toc15353"/>
      <w:r>
        <w:rPr>
          <w:rFonts w:hint="eastAsia"/>
          <w:color w:val="000000" w:themeColor="text1"/>
          <w:lang w:eastAsia="zh-CN"/>
          <w14:textFill>
            <w14:solidFill>
              <w14:schemeClr w14:val="tx1"/>
            </w14:solidFill>
          </w14:textFill>
        </w:rPr>
        <w:t>5.3.2</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尾矿库调洪演算</w:t>
      </w:r>
      <w:bookmarkEnd w:id="95"/>
    </w:p>
    <w:p>
      <w:pP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本节内容主要摘自</w:t>
      </w:r>
      <w:r>
        <w:rPr>
          <w:rFonts w:hint="eastAsia"/>
          <w:strike w:val="0"/>
          <w:dstrike w:val="0"/>
          <w:color w:val="000000" w:themeColor="text1"/>
          <w14:textFill>
            <w14:solidFill>
              <w14:schemeClr w14:val="tx1"/>
            </w14:solidFill>
          </w14:textFill>
        </w:rPr>
        <w:t>《江西盘古山钨业有限公司尾矿库调洪演算报告（202</w:t>
      </w:r>
      <w:r>
        <w:rPr>
          <w:rFonts w:hint="eastAsia"/>
          <w:strike w:val="0"/>
          <w:dstrike w:val="0"/>
          <w:color w:val="000000" w:themeColor="text1"/>
          <w:lang w:val="en-US" w:eastAsia="zh-CN"/>
          <w14:textFill>
            <w14:solidFill>
              <w14:schemeClr w14:val="tx1"/>
            </w14:solidFill>
          </w14:textFill>
        </w:rPr>
        <w:t>3</w:t>
      </w:r>
      <w:r>
        <w:rPr>
          <w:rFonts w:hint="eastAsia"/>
          <w:strike w:val="0"/>
          <w:dstrike w:val="0"/>
          <w:color w:val="000000" w:themeColor="text1"/>
          <w14:textFill>
            <w14:solidFill>
              <w14:schemeClr w14:val="tx1"/>
            </w14:solidFill>
          </w14:textFill>
        </w:rPr>
        <w:t>年）》（金建工程设计有限公司，202</w:t>
      </w:r>
      <w:r>
        <w:rPr>
          <w:rFonts w:hint="eastAsia"/>
          <w:strike w:val="0"/>
          <w:dstrike w:val="0"/>
          <w:color w:val="000000" w:themeColor="text1"/>
          <w:lang w:val="en-US" w:eastAsia="zh-CN"/>
          <w14:textFill>
            <w14:solidFill>
              <w14:schemeClr w14:val="tx1"/>
            </w14:solidFill>
          </w14:textFill>
        </w:rPr>
        <w:t>3</w:t>
      </w:r>
      <w:r>
        <w:rPr>
          <w:rFonts w:hint="eastAsia"/>
          <w:strike w:val="0"/>
          <w:dstrike w:val="0"/>
          <w:color w:val="000000" w:themeColor="text1"/>
          <w14:textFill>
            <w14:solidFill>
              <w14:schemeClr w14:val="tx1"/>
            </w14:solidFill>
          </w14:textFill>
        </w:rPr>
        <w:t>年</w:t>
      </w:r>
      <w:r>
        <w:rPr>
          <w:rFonts w:hint="eastAsia"/>
          <w:strike w:val="0"/>
          <w:dstrike w:val="0"/>
          <w:color w:val="000000" w:themeColor="text1"/>
          <w:lang w:val="en-US" w:eastAsia="zh-CN"/>
          <w14:textFill>
            <w14:solidFill>
              <w14:schemeClr w14:val="tx1"/>
            </w14:solidFill>
          </w14:textFill>
        </w:rPr>
        <w:t>2</w:t>
      </w:r>
      <w:r>
        <w:rPr>
          <w:rFonts w:hint="eastAsia"/>
          <w:strike w:val="0"/>
          <w:dstrike w:val="0"/>
          <w:color w:val="000000" w:themeColor="text1"/>
          <w14:textFill>
            <w14:solidFill>
              <w14:schemeClr w14:val="tx1"/>
            </w14:solidFill>
          </w14:textFill>
        </w:rPr>
        <w:t>月）</w:t>
      </w:r>
      <w:r>
        <w:rPr>
          <w:rFonts w:hint="eastAsia"/>
          <w:color w:val="000000" w:themeColor="text1"/>
          <w:lang w:eastAsia="zh-CN"/>
          <w14:textFill>
            <w14:solidFill>
              <w14:schemeClr w14:val="tx1"/>
            </w14:solidFill>
          </w14:textFill>
        </w:rPr>
        <w:t>。</w:t>
      </w:r>
    </w:p>
    <w:p>
      <w:pPr>
        <w:numPr>
          <w:ilvl w:val="0"/>
          <w:numId w:val="16"/>
        </w:num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防洪标准</w:t>
      </w:r>
    </w:p>
    <w:p>
      <w:pPr>
        <w:numPr>
          <w:ilvl w:val="0"/>
          <w:numId w:val="17"/>
        </w:numPr>
        <w:bidi w:val="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现行规范标准</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根据《尾矿设施设计规范》</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GB50863-2013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规定，尾矿库各使用期的防洪标准应根据各使用期库的等别，库容、坝高、使用年限及对下游造成的危害等因素，分别按表</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确</w:t>
      </w:r>
      <w:r>
        <w:rPr>
          <w:rFonts w:hint="eastAsia"/>
          <w:color w:val="000000" w:themeColor="text1"/>
          <w:lang w:val="en-US" w:eastAsia="zh-CN"/>
          <w14:textFill>
            <w14:solidFill>
              <w14:schemeClr w14:val="tx1"/>
            </w14:solidFill>
          </w14:textFill>
        </w:rPr>
        <w:t>定</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 xml:space="preserve">9 </w:t>
      </w:r>
      <w:r>
        <w:rPr>
          <w:rFonts w:hint="eastAsia" w:ascii="Times New Roman" w:hAnsi="Times New Roman" w:eastAsia="宋体" w:cs="Times New Roman"/>
          <w:color w:val="000000" w:themeColor="text1"/>
          <w:lang w:eastAsia="zh-CN"/>
          <w14:textFill>
            <w14:solidFill>
              <w14:schemeClr w14:val="tx1"/>
            </w14:solidFill>
          </w14:textFill>
        </w:rPr>
        <w:t>尾矿库防洪标准</w:t>
      </w:r>
    </w:p>
    <w:tbl>
      <w:tblPr>
        <w:tblStyle w:val="30"/>
        <w:tblW w:w="876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7"/>
        <w:gridCol w:w="1587"/>
        <w:gridCol w:w="1255"/>
        <w:gridCol w:w="1233"/>
        <w:gridCol w:w="1159"/>
        <w:gridCol w:w="1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jc w:val="center"/>
        </w:trPr>
        <w:tc>
          <w:tcPr>
            <w:tcW w:w="24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尾矿库各使用期等别</w:t>
            </w:r>
          </w:p>
        </w:tc>
        <w:tc>
          <w:tcPr>
            <w:tcW w:w="158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position w:val="-4"/>
                <w:sz w:val="21"/>
                <w:szCs w:val="21"/>
                <w:lang w:val="en-US" w:eastAsia="en-US" w:bidi="ar-SA"/>
                <w14:textFill>
                  <w14:solidFill>
                    <w14:schemeClr w14:val="tx1"/>
                  </w14:solidFill>
                </w14:textFill>
              </w:rPr>
              <w:t>一</w:t>
            </w:r>
          </w:p>
        </w:tc>
        <w:tc>
          <w:tcPr>
            <w:tcW w:w="125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1"/>
                <w:w w:val="151"/>
                <w:kern w:val="0"/>
                <w:sz w:val="21"/>
                <w:szCs w:val="21"/>
                <w:lang w:val="en-US" w:eastAsia="en-US" w:bidi="ar-SA"/>
                <w14:textFill>
                  <w14:solidFill>
                    <w14:schemeClr w14:val="tx1"/>
                  </w14:solidFill>
                </w14:textFill>
              </w:rPr>
              <w:t>二</w:t>
            </w:r>
          </w:p>
        </w:tc>
        <w:tc>
          <w:tcPr>
            <w:tcW w:w="12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三</w:t>
            </w:r>
          </w:p>
        </w:tc>
        <w:tc>
          <w:tcPr>
            <w:tcW w:w="115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四</w:t>
            </w:r>
          </w:p>
        </w:tc>
        <w:tc>
          <w:tcPr>
            <w:tcW w:w="103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position w:val="-1"/>
                <w:sz w:val="21"/>
                <w:szCs w:val="21"/>
                <w:lang w:val="en-US" w:eastAsia="en-US" w:bidi="ar-SA"/>
                <w14:textFill>
                  <w14:solidFill>
                    <w14:schemeClr w14:val="tx1"/>
                  </w14:solidFill>
                </w14:textFill>
              </w:rPr>
              <w:t>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jc w:val="center"/>
        </w:trPr>
        <w:tc>
          <w:tcPr>
            <w:tcW w:w="24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lang w:val="en-US" w:eastAsia="en-US" w:bidi="ar-SA"/>
                <w14:textFill>
                  <w14:solidFill>
                    <w14:schemeClr w14:val="tx1"/>
                  </w14:solidFill>
                </w14:textFill>
              </w:rPr>
              <w:t>洪水重现期（年）</w:t>
            </w:r>
          </w:p>
        </w:tc>
        <w:tc>
          <w:tcPr>
            <w:tcW w:w="158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5"/>
                <w:kern w:val="0"/>
                <w:sz w:val="21"/>
                <w:szCs w:val="21"/>
                <w:lang w:val="en-US" w:eastAsia="en-US" w:bidi="ar-SA"/>
                <w14:textFill>
                  <w14:solidFill>
                    <w14:schemeClr w14:val="tx1"/>
                  </w14:solidFill>
                </w14:textFill>
              </w:rPr>
              <w:t>1000～5000</w:t>
            </w:r>
            <w:r>
              <w:rPr>
                <w:rFonts w:hint="default" w:ascii="Times New Roman" w:hAnsi="Times New Roman" w:eastAsia="宋体" w:cs="Times New Roman"/>
                <w:snapToGrid w:val="0"/>
                <w:color w:val="000000" w:themeColor="text1"/>
                <w:spacing w:val="-26"/>
                <w:w w:val="95"/>
                <w:kern w:val="0"/>
                <w:sz w:val="21"/>
                <w:szCs w:val="21"/>
                <w:lang w:val="en-US" w:eastAsia="en-US" w:bidi="ar-SA"/>
                <w14:textFill>
                  <w14:solidFill>
                    <w14:schemeClr w14:val="tx1"/>
                  </w14:solidFill>
                </w14:textFill>
              </w:rPr>
              <w:t>或PMF</w:t>
            </w:r>
          </w:p>
        </w:tc>
        <w:tc>
          <w:tcPr>
            <w:tcW w:w="125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3"/>
                <w:kern w:val="0"/>
                <w:sz w:val="21"/>
                <w:szCs w:val="21"/>
                <w:lang w:val="en-US" w:eastAsia="en-US" w:bidi="ar-SA"/>
                <w14:textFill>
                  <w14:solidFill>
                    <w14:schemeClr w14:val="tx1"/>
                  </w14:solidFill>
                </w14:textFill>
              </w:rPr>
              <w:t>500～1000</w:t>
            </w:r>
          </w:p>
        </w:tc>
        <w:tc>
          <w:tcPr>
            <w:tcW w:w="1233"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2"/>
                <w:kern w:val="0"/>
                <w:sz w:val="21"/>
                <w:szCs w:val="21"/>
                <w:lang w:val="en-US" w:eastAsia="en-US" w:bidi="ar-SA"/>
                <w14:textFill>
                  <w14:solidFill>
                    <w14:schemeClr w14:val="tx1"/>
                  </w14:solidFill>
                </w14:textFill>
              </w:rPr>
              <w:t>200～500</w:t>
            </w:r>
          </w:p>
        </w:tc>
        <w:tc>
          <w:tcPr>
            <w:tcW w:w="115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3"/>
                <w:kern w:val="0"/>
                <w:sz w:val="21"/>
                <w:szCs w:val="21"/>
                <w:lang w:val="en-US" w:eastAsia="en-US" w:bidi="ar-SA"/>
                <w14:textFill>
                  <w14:solidFill>
                    <w14:schemeClr w14:val="tx1"/>
                  </w14:solidFill>
                </w14:textFill>
              </w:rPr>
              <w:t>100～200</w:t>
            </w:r>
          </w:p>
        </w:tc>
        <w:tc>
          <w:tcPr>
            <w:tcW w:w="103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9"/>
                <w:kern w:val="0"/>
                <w:sz w:val="21"/>
                <w:szCs w:val="21"/>
                <w:lang w:val="en-US" w:eastAsia="en-US" w:bidi="ar-SA"/>
                <w14:textFill>
                  <w14:solidFill>
                    <w14:schemeClr w14:val="tx1"/>
                  </w14:solidFill>
                </w14:textFill>
              </w:rPr>
              <w:t>100</w:t>
            </w:r>
          </w:p>
        </w:tc>
      </w:tr>
    </w:tbl>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尾矿库堆积坝坝体东高西低，现状坝顶高程</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274.0m～</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310.45m，最低处坝高20.7m，最大坝高57.15m，已堆存尾砂约67</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×10</w:t>
      </w:r>
      <w:r>
        <w:rPr>
          <w:rFonts w:hint="eastAsia"/>
          <w:color w:val="000000" w:themeColor="text1"/>
          <w:vertAlign w:val="superscript"/>
          <w:lang w:eastAsia="zh-CN"/>
          <w14:textFill>
            <w14:solidFill>
              <w14:schemeClr w14:val="tx1"/>
            </w14:solidFill>
          </w14:textFill>
        </w:rPr>
        <w:t>4</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，全库容未超过1000×10</w:t>
      </w:r>
      <w:r>
        <w:rPr>
          <w:rFonts w:hint="eastAsia"/>
          <w:color w:val="000000" w:themeColor="text1"/>
          <w:vertAlign w:val="superscript"/>
          <w:lang w:eastAsia="zh-CN"/>
          <w14:textFill>
            <w14:solidFill>
              <w14:schemeClr w14:val="tx1"/>
            </w14:solidFill>
          </w14:textFill>
        </w:rPr>
        <w:t>4</w:t>
      </w:r>
      <w:r>
        <w:rPr>
          <w:rFonts w:hint="eastAsia"/>
          <w:color w:val="000000" w:themeColor="text1"/>
          <w:lang w:eastAsia="zh-CN"/>
          <w14:textFill>
            <w14:solidFill>
              <w14:schemeClr w14:val="tx1"/>
            </w14:solidFill>
          </w14:textFill>
        </w:rPr>
        <w:t>m</w:t>
      </w:r>
      <w:r>
        <w:rPr>
          <w:rFonts w:hint="eastAsia"/>
          <w:color w:val="000000" w:themeColor="text1"/>
          <w:vertAlign w:val="superscript"/>
          <w:lang w:eastAsia="zh-CN"/>
          <w14:textFill>
            <w14:solidFill>
              <w14:schemeClr w14:val="tx1"/>
            </w14:solidFill>
          </w14:textFill>
        </w:rPr>
        <w:t>3</w:t>
      </w:r>
      <w:r>
        <w:rPr>
          <w:rFonts w:hint="eastAsia"/>
          <w:color w:val="000000" w:themeColor="text1"/>
          <w:lang w:eastAsia="zh-CN"/>
          <w14:textFill>
            <w14:solidFill>
              <w14:schemeClr w14:val="tx1"/>
            </w14:solidFill>
          </w14:textFill>
        </w:rPr>
        <w:t>，现状尾矿库为四等库，原设计因尾矿库下游有盘古山镇，将设计等别提高一等，因此现状尾矿库为三等库，防洪标准按照500年一遇。</w:t>
      </w:r>
    </w:p>
    <w:p>
      <w:pPr>
        <w:numPr>
          <w:ilvl w:val="0"/>
          <w:numId w:val="17"/>
        </w:numPr>
        <w:bidi w:val="0"/>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原设计防洪标准</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查阅尾矿库《隐患综合治理安全专篇》，尾矿库为三等库时，防洪标准按500年一遇。</w:t>
      </w:r>
    </w:p>
    <w:p>
      <w:pPr>
        <w:numPr>
          <w:ilvl w:val="0"/>
          <w:numId w:val="17"/>
        </w:numPr>
        <w:bidi w:val="0"/>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本次调洪演算使用标准</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针对该尾矿库现状等别，原设计防洪标准与现行《尾矿设施设计规范》</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GB50863-2013</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标准一致，满足规范要求。本次调洪演算洪水重现期取500年一遇。</w:t>
      </w:r>
    </w:p>
    <w:p>
      <w:pPr>
        <w:numPr>
          <w:ilvl w:val="0"/>
          <w:numId w:val="16"/>
        </w:numPr>
        <w:bidi w:val="0"/>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洪水计算</w:t>
      </w:r>
    </w:p>
    <w:p>
      <w:pPr>
        <w:numPr>
          <w:ilvl w:val="0"/>
          <w:numId w:val="0"/>
        </w:numPr>
        <w:bidi w:val="0"/>
        <w:ind w:left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 尾矿库防洪分区及基础参数</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查阅尾矿库《隐患综合治理安全专篇》，</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273m高程以上尾矿库汇水面积为0.452km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，现尾矿库坝顶最低处高程为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274.0m，本次洪水计算采用此汇水面积，尾矿库汇水区地形参数见表</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default"/>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eastAsia" w:ascii="Times New Roman" w:hAnsi="Times New Roman" w:eastAsia="宋体" w:cs="Times New Roman"/>
          <w:color w:val="000000" w:themeColor="text1"/>
          <w:lang w:eastAsia="zh-CN"/>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 xml:space="preserve">0 </w:t>
      </w:r>
      <w:r>
        <w:rPr>
          <w:rFonts w:hint="eastAsia" w:ascii="Times New Roman" w:hAnsi="Times New Roman" w:eastAsia="宋体" w:cs="Times New Roman"/>
          <w:color w:val="000000" w:themeColor="text1"/>
          <w:lang w:eastAsia="zh-CN"/>
          <w14:textFill>
            <w14:solidFill>
              <w14:schemeClr w14:val="tx1"/>
            </w14:solidFill>
          </w14:textFill>
        </w:rPr>
        <w:t>尾矿库</w:t>
      </w:r>
      <w:r>
        <w:rPr>
          <w:rFonts w:hint="eastAsia" w:ascii="Times New Roman" w:hAnsi="Times New Roman" w:eastAsia="宋体" w:cs="Times New Roman"/>
          <w:color w:val="000000" w:themeColor="text1"/>
          <w:lang w:val="en-US" w:eastAsia="zh-CN"/>
          <w14:textFill>
            <w14:solidFill>
              <w14:schemeClr w14:val="tx1"/>
            </w14:solidFill>
          </w14:textFill>
        </w:rPr>
        <w:t>洪水计算</w:t>
      </w:r>
      <w:r>
        <w:rPr>
          <w:rFonts w:hint="eastAsia" w:ascii="Times New Roman" w:hAnsi="Times New Roman" w:eastAsia="宋体" w:cs="Times New Roman"/>
          <w:color w:val="000000" w:themeColor="text1"/>
          <w:lang w:eastAsia="zh-CN"/>
          <w14:textFill>
            <w14:solidFill>
              <w14:schemeClr w14:val="tx1"/>
            </w14:solidFill>
          </w14:textFill>
        </w:rPr>
        <w:t>地形参数</w:t>
      </w:r>
      <w:r>
        <w:rPr>
          <w:rFonts w:hint="eastAsia" w:ascii="Times New Roman" w:hAnsi="Times New Roman" w:eastAsia="宋体" w:cs="Times New Roman"/>
          <w:color w:val="000000" w:themeColor="text1"/>
          <w:lang w:val="en-US" w:eastAsia="zh-CN"/>
          <w14:textFill>
            <w14:solidFill>
              <w14:schemeClr w14:val="tx1"/>
            </w14:solidFill>
          </w14:textFill>
        </w:rPr>
        <w:t>表</w:t>
      </w:r>
    </w:p>
    <w:tbl>
      <w:tblPr>
        <w:tblStyle w:val="1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1927"/>
        <w:gridCol w:w="1927"/>
        <w:gridCol w:w="1927"/>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设计频率</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汇水面积</w:t>
            </w:r>
            <w:r>
              <w:rPr>
                <w:rFonts w:hint="eastAsia"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km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eastAsia="zh-CN"/>
                <w14:textFill>
                  <w14:solidFill>
                    <w14:schemeClr w14:val="tx1"/>
                  </w14:solidFill>
                </w14:textFill>
              </w:rPr>
              <w:t>）</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主河槽长</w:t>
            </w:r>
            <w:r>
              <w:rPr>
                <w:rFonts w:hint="eastAsia"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km</w:t>
            </w:r>
            <w:r>
              <w:rPr>
                <w:rFonts w:hint="eastAsia" w:ascii="Times New Roman" w:hAnsi="Times New Roman" w:eastAsia="宋体" w:cs="Times New Roman"/>
                <w:color w:val="000000" w:themeColor="text1"/>
                <w:sz w:val="24"/>
                <w:szCs w:val="24"/>
                <w:vertAlign w:val="baseline"/>
                <w:lang w:eastAsia="zh-CN"/>
                <w14:textFill>
                  <w14:solidFill>
                    <w14:schemeClr w14:val="tx1"/>
                  </w14:solidFill>
                </w14:textFill>
              </w:rPr>
              <w:t>）</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河槽加权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平均坡降</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汇流参数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5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500年</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0.452</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0.919</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0.311</w:t>
            </w:r>
          </w:p>
        </w:tc>
        <w:tc>
          <w:tcPr>
            <w:tcW w:w="1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0.405</w:t>
            </w:r>
          </w:p>
        </w:tc>
      </w:tr>
    </w:tbl>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根据《江西省暴雨洪水查算手册》（江西省水文局，2010年10月）及1：1000地形图，查算求得洪水计算主要参数：</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年最大24小时点暴雨均值：H</w:t>
      </w:r>
      <w:r>
        <w:rPr>
          <w:rFonts w:hint="default"/>
          <w:color w:val="000000" w:themeColor="text1"/>
          <w:vertAlign w:val="subscript"/>
          <w:lang w:val="en-US" w:eastAsia="zh-CN"/>
          <w14:textFill>
            <w14:solidFill>
              <w14:schemeClr w14:val="tx1"/>
            </w14:solidFill>
          </w14:textFill>
        </w:rPr>
        <w:t>24</w:t>
      </w:r>
      <w:r>
        <w:rPr>
          <w:rFonts w:hint="default"/>
          <w:color w:val="000000" w:themeColor="text1"/>
          <w:lang w:val="en-US" w:eastAsia="zh-CN"/>
          <w14:textFill>
            <w14:solidFill>
              <w14:schemeClr w14:val="tx1"/>
            </w14:solidFill>
          </w14:textFill>
        </w:rPr>
        <w:t>＝100mm；</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年最大24小时点暴雨变差系数：C</w:t>
      </w:r>
      <w:r>
        <w:rPr>
          <w:rFonts w:hint="default"/>
          <w:color w:val="000000" w:themeColor="text1"/>
          <w:vertAlign w:val="subscript"/>
          <w:lang w:val="en-US" w:eastAsia="zh-CN"/>
          <w14:textFill>
            <w14:solidFill>
              <w14:schemeClr w14:val="tx1"/>
            </w14:solidFill>
          </w14:textFill>
        </w:rPr>
        <w:t>V</w:t>
      </w:r>
      <w:r>
        <w:rPr>
          <w:rFonts w:hint="default"/>
          <w:color w:val="000000" w:themeColor="text1"/>
          <w:lang w:val="en-US" w:eastAsia="zh-CN"/>
          <w14:textFill>
            <w14:solidFill>
              <w14:schemeClr w14:val="tx1"/>
            </w14:solidFill>
          </w14:textFill>
        </w:rPr>
        <w:t>＝0.35；</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偏差系数：C</w:t>
      </w:r>
      <w:r>
        <w:rPr>
          <w:rFonts w:hint="default"/>
          <w:color w:val="000000" w:themeColor="text1"/>
          <w:vertAlign w:val="subscript"/>
          <w:lang w:val="en-US" w:eastAsia="zh-CN"/>
          <w14:textFill>
            <w14:solidFill>
              <w14:schemeClr w14:val="tx1"/>
            </w14:solidFill>
          </w14:textFill>
        </w:rPr>
        <w:t>S</w:t>
      </w:r>
      <w:r>
        <w:rPr>
          <w:rFonts w:hint="default"/>
          <w:color w:val="000000" w:themeColor="text1"/>
          <w:lang w:val="en-US" w:eastAsia="zh-CN"/>
          <w14:textFill>
            <w14:solidFill>
              <w14:schemeClr w14:val="tx1"/>
            </w14:solidFill>
          </w14:textFill>
        </w:rPr>
        <w:t>＝3.5C</w:t>
      </w:r>
      <w:r>
        <w:rPr>
          <w:rFonts w:hint="default"/>
          <w:color w:val="000000" w:themeColor="text1"/>
          <w:vertAlign w:val="subscript"/>
          <w:lang w:val="en-US" w:eastAsia="zh-CN"/>
          <w14:textFill>
            <w14:solidFill>
              <w14:schemeClr w14:val="tx1"/>
            </w14:solidFill>
          </w14:textFill>
        </w:rPr>
        <w:t>V</w:t>
      </w:r>
      <w:r>
        <w:rPr>
          <w:rFonts w:hint="default"/>
          <w:color w:val="000000" w:themeColor="text1"/>
          <w:lang w:val="en-US" w:eastAsia="zh-CN"/>
          <w14:textFill>
            <w14:solidFill>
              <w14:schemeClr w14:val="tx1"/>
            </w14:solidFill>
          </w14:textFill>
        </w:rPr>
        <w:t>；</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前期雨量Pa=70.0mm</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下渗强度：μ=1.81mm/h；</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汇流参数m=0.405；</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暴雨递减指数：n</w:t>
      </w:r>
      <w:r>
        <w:rPr>
          <w:rFonts w:hint="default"/>
          <w:color w:val="000000" w:themeColor="text1"/>
          <w:vertAlign w:val="subscript"/>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＝0.360，n</w:t>
      </w:r>
      <w:r>
        <w:rPr>
          <w:rFonts w:hint="default"/>
          <w:color w:val="000000" w:themeColor="text1"/>
          <w:vertAlign w:val="sub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＝0.753；</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尾矿库位于第</w:t>
      </w:r>
      <w:r>
        <w:rPr>
          <w:rFonts w:hint="eastAsia" w:ascii="宋体" w:hAnsi="宋体" w:eastAsia="宋体" w:cs="宋体"/>
          <w:color w:val="000000" w:themeColor="text1"/>
          <w:lang w:val="en-US" w:eastAsia="zh-CN"/>
          <w14:textFill>
            <w14:solidFill>
              <w14:schemeClr w14:val="tx1"/>
            </w14:solidFill>
          </w14:textFill>
        </w:rPr>
        <w:t>I</w:t>
      </w:r>
      <w:r>
        <w:rPr>
          <w:rFonts w:hint="default"/>
          <w:color w:val="000000" w:themeColor="text1"/>
          <w:lang w:val="en-US" w:eastAsia="zh-CN"/>
          <w14:textFill>
            <w14:solidFill>
              <w14:schemeClr w14:val="tx1"/>
            </w14:solidFill>
          </w14:textFill>
        </w:rPr>
        <w:t>产流区，第</w:t>
      </w:r>
      <w:r>
        <w:rPr>
          <w:rFonts w:hint="eastAsia" w:ascii="宋体" w:hAnsi="宋体" w:eastAsia="宋体" w:cs="宋体"/>
          <w:color w:val="000000" w:themeColor="text1"/>
          <w:lang w:val="en-US" w:eastAsia="zh-CN"/>
          <w14:textFill>
            <w14:solidFill>
              <w14:schemeClr w14:val="tx1"/>
            </w14:solidFill>
          </w14:textFill>
        </w:rPr>
        <w:t>I</w:t>
      </w:r>
      <w:r>
        <w:rPr>
          <w:rFonts w:hint="default"/>
          <w:color w:val="000000" w:themeColor="text1"/>
          <w:lang w:val="en-US" w:eastAsia="zh-CN"/>
          <w14:textFill>
            <w14:solidFill>
              <w14:schemeClr w14:val="tx1"/>
            </w14:solidFill>
          </w14:textFill>
        </w:rPr>
        <w:t>汇流区。尾矿库汇水面积较小，因此不作点、面暴雨修正，直接以点暴雨代替面暴雨。</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 洪峰流量与洪水总量</w:t>
      </w:r>
    </w:p>
    <w:p>
      <w:pPr>
        <w:bidi w:val="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利用《江西省暴雨洪水查算手册》中推理公式及相关参数对其进行洪水计算</w:t>
      </w:r>
      <w:r>
        <w:rPr>
          <w:rFonts w:hint="eastAsia"/>
          <w:color w:val="000000" w:themeColor="text1"/>
          <w:lang w:val="en-US" w:eastAsia="zh-CN"/>
          <w14:textFill>
            <w14:solidFill>
              <w14:schemeClr w14:val="tx1"/>
            </w14:solidFill>
          </w14:textFill>
        </w:rPr>
        <w:t>：</w:t>
      </w:r>
    </w:p>
    <w:p>
      <w:pPr>
        <w:bidi w:val="0"/>
        <w:ind w:left="0" w:leftChars="0" w:firstLine="0" w:firstLineChars="0"/>
        <w:jc w:val="center"/>
        <w:rPr>
          <w:rFonts w:hint="default" w:hAnsi="Cambria Math" w:cs="Times New Roman"/>
          <w:i w:val="0"/>
          <w:color w:val="000000" w:themeColor="text1"/>
          <w:kern w:val="2"/>
          <w:sz w:val="28"/>
          <w:szCs w:val="24"/>
          <w:lang w:val="en-US" w:eastAsia="zh-CN" w:bidi="ar-SA"/>
          <w14:textFill>
            <w14:solidFill>
              <w14:schemeClr w14:val="tx1"/>
            </w14:solidFill>
          </w14:textFill>
        </w:rPr>
      </w:pPr>
      <m:oMathPara>
        <m:oMath>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Q=0.278h/</m:t>
          </m:r>
          <m:r>
            <m:rPr>
              <m:sty m:val="p"/>
            </m:rPr>
            <w:rPr>
              <w:rFonts w:ascii="Cambria Math" w:hAnsi="Cambria Math" w:cs="Times New Roman"/>
              <w:color w:val="000000" w:themeColor="text1"/>
              <w:kern w:val="2"/>
              <w:sz w:val="28"/>
              <w:szCs w:val="24"/>
              <w:lang w:val="en-US" w:bidi="ar-SA"/>
              <w14:textFill>
                <w14:solidFill>
                  <w14:schemeClr w14:val="tx1"/>
                </w14:solidFill>
              </w14:textFill>
            </w:rPr>
            <m:t>τ</m:t>
          </m:r>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F</m:t>
          </m:r>
        </m:oMath>
      </m:oMathPara>
    </w:p>
    <w:p>
      <w:pPr>
        <w:bidi w:val="0"/>
        <w:ind w:left="0" w:leftChars="0" w:firstLine="0" w:firstLineChars="0"/>
        <w:jc w:val="center"/>
        <w:rPr>
          <w:rFonts w:hint="default" w:hAnsi="Cambria Math" w:cs="Times New Roman"/>
          <w:i w:val="0"/>
          <w:color w:val="000000" w:themeColor="text1"/>
          <w:kern w:val="2"/>
          <w:sz w:val="28"/>
          <w:szCs w:val="24"/>
          <w:lang w:val="en-US" w:eastAsia="zh-CN" w:bidi="ar-SA"/>
          <w14:textFill>
            <w14:solidFill>
              <w14:schemeClr w14:val="tx1"/>
            </w14:solidFill>
          </w14:textFill>
        </w:rPr>
      </w:pPr>
      <m:oMathPara>
        <m:oMath>
          <m:r>
            <m:rPr>
              <m:sty m:val="p"/>
            </m:rPr>
            <w:rPr>
              <w:rFonts w:ascii="Cambria Math" w:hAnsi="Cambria Math" w:cs="Times New Roman"/>
              <w:color w:val="000000" w:themeColor="text1"/>
              <w:kern w:val="2"/>
              <w:sz w:val="28"/>
              <w:szCs w:val="24"/>
              <w:lang w:val="en-US" w:bidi="ar-SA"/>
              <w14:textFill>
                <w14:solidFill>
                  <w14:schemeClr w14:val="tx1"/>
                </w14:solidFill>
              </w14:textFill>
            </w:rPr>
            <m:t>τ</m:t>
          </m:r>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=0.278L/m/</m:t>
          </m:r>
          <m:sSup>
            <m:sSupPr>
              <m:ctrlPr>
                <w:rPr>
                  <w:rFonts w:hint="default" w:ascii="Cambria Math" w:hAnsi="Cambria Math" w:cs="Times New Roman"/>
                  <w:color w:val="000000" w:themeColor="text1"/>
                  <w:kern w:val="2"/>
                  <w:sz w:val="28"/>
                  <w:szCs w:val="24"/>
                  <w:lang w:val="en-US" w:eastAsia="zh-CN" w:bidi="ar-SA"/>
                  <w14:textFill>
                    <w14:solidFill>
                      <w14:schemeClr w14:val="tx1"/>
                    </w14:solidFill>
                  </w14:textFill>
                </w:rPr>
              </m:ctrlPr>
            </m:sSupPr>
            <m:e>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J</m:t>
              </m:r>
              <m:ctrlPr>
                <w:rPr>
                  <w:rFonts w:hint="default" w:ascii="Cambria Math" w:hAnsi="Cambria Math" w:cs="Times New Roman"/>
                  <w:color w:val="000000" w:themeColor="text1"/>
                  <w:kern w:val="2"/>
                  <w:sz w:val="28"/>
                  <w:szCs w:val="24"/>
                  <w:lang w:val="en-US" w:eastAsia="zh-CN" w:bidi="ar-SA"/>
                  <w14:textFill>
                    <w14:solidFill>
                      <w14:schemeClr w14:val="tx1"/>
                    </w14:solidFill>
                  </w14:textFill>
                </w:rPr>
              </m:ctrlPr>
            </m:e>
            <m:sup>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1/3</m:t>
              </m:r>
              <m:ctrlPr>
                <w:rPr>
                  <w:rFonts w:hint="default" w:ascii="Cambria Math" w:hAnsi="Cambria Math" w:cs="Times New Roman"/>
                  <w:color w:val="000000" w:themeColor="text1"/>
                  <w:kern w:val="2"/>
                  <w:sz w:val="28"/>
                  <w:szCs w:val="24"/>
                  <w:lang w:val="en-US" w:eastAsia="zh-CN" w:bidi="ar-SA"/>
                  <w14:textFill>
                    <w14:solidFill>
                      <w14:schemeClr w14:val="tx1"/>
                    </w14:solidFill>
                  </w14:textFill>
                </w:rPr>
              </m:ctrlPr>
            </m:sup>
          </m:sSup>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m:t>
          </m:r>
          <m:sSup>
            <m:sSupPr>
              <m:ctrlPr>
                <w:rPr>
                  <w:rFonts w:hint="default" w:ascii="Cambria Math" w:hAnsi="Cambria Math" w:cs="Times New Roman"/>
                  <w:color w:val="000000" w:themeColor="text1"/>
                  <w:kern w:val="2"/>
                  <w:sz w:val="28"/>
                  <w:szCs w:val="24"/>
                  <w:lang w:val="en-US" w:eastAsia="zh-CN" w:bidi="ar-SA"/>
                  <w14:textFill>
                    <w14:solidFill>
                      <w14:schemeClr w14:val="tx1"/>
                    </w14:solidFill>
                  </w14:textFill>
                </w:rPr>
              </m:ctrlPr>
            </m:sSupPr>
            <m:e>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m:t>
              </m:r>
              <m:ctrlPr>
                <w:rPr>
                  <w:rFonts w:hint="default" w:ascii="Cambria Math" w:hAnsi="Cambria Math" w:cs="Times New Roman"/>
                  <w:color w:val="000000" w:themeColor="text1"/>
                  <w:kern w:val="2"/>
                  <w:sz w:val="28"/>
                  <w:szCs w:val="24"/>
                  <w:lang w:val="en-US" w:eastAsia="zh-CN" w:bidi="ar-SA"/>
                  <w14:textFill>
                    <w14:solidFill>
                      <w14:schemeClr w14:val="tx1"/>
                    </w14:solidFill>
                  </w14:textFill>
                </w:rPr>
              </m:ctrlPr>
            </m:e>
            <m:sup>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1/4</m:t>
              </m:r>
              <m:ctrlPr>
                <w:rPr>
                  <w:rFonts w:hint="default" w:ascii="Cambria Math" w:hAnsi="Cambria Math" w:cs="Times New Roman"/>
                  <w:color w:val="000000" w:themeColor="text1"/>
                  <w:kern w:val="2"/>
                  <w:sz w:val="28"/>
                  <w:szCs w:val="24"/>
                  <w:lang w:val="en-US" w:eastAsia="zh-CN" w:bidi="ar-SA"/>
                  <w14:textFill>
                    <w14:solidFill>
                      <w14:schemeClr w14:val="tx1"/>
                    </w14:solidFill>
                  </w14:textFill>
                </w:rPr>
              </m:ctrlPr>
            </m:sup>
          </m:sSup>
        </m:oMath>
      </m:oMathPara>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上式中，Q－洪峰流量（m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/s）；</w:t>
      </w:r>
    </w:p>
    <w:p>
      <w:pPr>
        <w:bidi w:val="0"/>
        <w:ind w:firstLine="1680" w:firstLineChars="6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h－净雨量（mm）；</w:t>
      </w:r>
    </w:p>
    <w:p>
      <w:pPr>
        <w:bidi w:val="0"/>
        <w:ind w:firstLine="1680" w:firstLineChars="6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F－汇流面积（km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p>
    <w:p>
      <w:pPr>
        <w:bidi w:val="0"/>
        <w:ind w:firstLine="1680" w:firstLineChars="600"/>
        <w:rPr>
          <w:rFonts w:hint="eastAsia"/>
          <w:color w:val="000000" w:themeColor="text1"/>
          <w:lang w:val="en-US" w:eastAsia="zh-CN"/>
          <w14:textFill>
            <w14:solidFill>
              <w14:schemeClr w14:val="tx1"/>
            </w14:solidFill>
          </w14:textFill>
        </w:rPr>
      </w:pPr>
      <m:oMath>
        <m:r>
          <m:rPr>
            <m:sty m:val="p"/>
          </m:rPr>
          <w:rPr>
            <w:rFonts w:ascii="Cambria Math" w:hAnsi="Cambria Math" w:cs="Times New Roman"/>
            <w:color w:val="000000" w:themeColor="text1"/>
            <w:kern w:val="2"/>
            <w:sz w:val="28"/>
            <w:szCs w:val="24"/>
            <w:lang w:val="en-US" w:bidi="ar-SA"/>
            <w14:textFill>
              <w14:solidFill>
                <w14:schemeClr w14:val="tx1"/>
              </w14:solidFill>
            </w14:textFill>
          </w:rPr>
          <m:t>τ</m:t>
        </m:r>
      </m:oMath>
      <w:r>
        <w:rPr>
          <w:rFonts w:hint="eastAsia"/>
          <w:color w:val="000000" w:themeColor="text1"/>
          <w:lang w:val="en-US" w:eastAsia="zh-CN"/>
          <w14:textFill>
            <w14:solidFill>
              <w14:schemeClr w14:val="tx1"/>
            </w14:solidFill>
          </w14:textFill>
        </w:rPr>
        <w:t>－汇流历时（h）；</w:t>
      </w:r>
    </w:p>
    <w:p>
      <w:pPr>
        <w:bidi w:val="0"/>
        <w:ind w:firstLine="1680" w:firstLineChars="6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L－主河长（km）；</w:t>
      </w:r>
    </w:p>
    <w:p>
      <w:pPr>
        <w:bidi w:val="0"/>
        <w:ind w:firstLine="1680" w:firstLineChars="6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m－汇流参数；</w:t>
      </w:r>
    </w:p>
    <w:p>
      <w:pPr>
        <w:bidi w:val="0"/>
        <w:ind w:firstLine="1680" w:firstLineChars="6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J－加权平均比降；</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尾矿库洪水计算成果见表</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11</w:t>
      </w:r>
      <w:r>
        <w:rPr>
          <w:rFonts w:hint="default"/>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11 尾矿库洪水计算成果表</w:t>
      </w:r>
    </w:p>
    <w:tbl>
      <w:tblPr>
        <w:tblStyle w:val="16"/>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5"/>
        <w:gridCol w:w="309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dxa"/>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8"/>
                <w:szCs w:val="28"/>
                <w14:textFill>
                  <w14:solidFill>
                    <w14:schemeClr w14:val="tx1"/>
                  </w14:solidFill>
                </w14:textFill>
              </w:rPr>
              <w:t>设计频率</w:t>
            </w:r>
          </w:p>
        </w:tc>
        <w:tc>
          <w:tcPr>
            <w:tcW w:w="3096" w:type="dxa"/>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8"/>
                <w:szCs w:val="28"/>
                <w14:textFill>
                  <w14:solidFill>
                    <w14:schemeClr w14:val="tx1"/>
                  </w14:solidFill>
                </w14:textFill>
              </w:rPr>
              <w:t>洪峰流量（m</w:t>
            </w:r>
            <w:r>
              <w:rPr>
                <w:rFonts w:hint="eastAsia" w:ascii="Times New Roman" w:hAnsi="Times New Roman" w:eastAsia="宋体" w:cs="Times New Roman"/>
                <w:color w:val="000000" w:themeColor="text1"/>
                <w:spacing w:val="-6"/>
                <w:sz w:val="28"/>
                <w:szCs w:val="28"/>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6"/>
                <w:sz w:val="28"/>
                <w:szCs w:val="28"/>
                <w14:textFill>
                  <w14:solidFill>
                    <w14:schemeClr w14:val="tx1"/>
                  </w14:solidFill>
                </w14:textFill>
              </w:rPr>
              <w:t>/s）</w:t>
            </w:r>
          </w:p>
        </w:tc>
        <w:tc>
          <w:tcPr>
            <w:tcW w:w="2976" w:type="dxa"/>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8"/>
                <w:sz w:val="28"/>
                <w:szCs w:val="28"/>
                <w14:textFill>
                  <w14:solidFill>
                    <w14:schemeClr w14:val="tx1"/>
                  </w14:solidFill>
                </w14:textFill>
              </w:rPr>
              <w:t>洪水总量（万</w:t>
            </w:r>
            <w:r>
              <w:rPr>
                <w:rFonts w:hint="eastAsia" w:ascii="Times New Roman" w:hAnsi="Times New Roman" w:eastAsia="宋体" w:cs="Times New Roman"/>
                <w:color w:val="000000" w:themeColor="text1"/>
                <w:spacing w:val="-8"/>
                <w:sz w:val="28"/>
                <w:szCs w:val="28"/>
                <w:lang w:val="en-US" w:eastAsia="zh-CN"/>
                <w14:textFill>
                  <w14:solidFill>
                    <w14:schemeClr w14:val="tx1"/>
                  </w14:solidFill>
                </w14:textFill>
              </w:rPr>
              <w:t>m</w:t>
            </w:r>
            <w:r>
              <w:rPr>
                <w:rFonts w:hint="eastAsia" w:ascii="Times New Roman" w:hAnsi="Times New Roman" w:eastAsia="宋体" w:cs="Times New Roman"/>
                <w:color w:val="000000" w:themeColor="text1"/>
                <w:spacing w:val="-8"/>
                <w:sz w:val="28"/>
                <w:szCs w:val="28"/>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8"/>
                <w:sz w:val="28"/>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5" w:type="dxa"/>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7"/>
                <w:sz w:val="28"/>
                <w:szCs w:val="28"/>
                <w14:textFill>
                  <w14:solidFill>
                    <w14:schemeClr w14:val="tx1"/>
                  </w14:solidFill>
                </w14:textFill>
              </w:rPr>
              <w:t>500</w:t>
            </w:r>
            <w:r>
              <w:rPr>
                <w:rFonts w:hint="default" w:ascii="Times New Roman" w:hAnsi="Times New Roman" w:eastAsia="宋体" w:cs="Times New Roman"/>
                <w:color w:val="000000" w:themeColor="text1"/>
                <w:spacing w:val="4"/>
                <w:sz w:val="28"/>
                <w:szCs w:val="28"/>
                <w14:textFill>
                  <w14:solidFill>
                    <w14:schemeClr w14:val="tx1"/>
                  </w14:solidFill>
                </w14:textFill>
              </w:rPr>
              <w:t xml:space="preserve"> </w:t>
            </w:r>
            <w:r>
              <w:rPr>
                <w:rFonts w:hint="default" w:ascii="Times New Roman" w:hAnsi="Times New Roman" w:eastAsia="宋体" w:cs="Times New Roman"/>
                <w:color w:val="000000" w:themeColor="text1"/>
                <w:spacing w:val="-17"/>
                <w:sz w:val="28"/>
                <w:szCs w:val="28"/>
                <w14:textFill>
                  <w14:solidFill>
                    <w14:schemeClr w14:val="tx1"/>
                  </w14:solidFill>
                </w14:textFill>
              </w:rPr>
              <w:t>年</w:t>
            </w:r>
          </w:p>
        </w:tc>
        <w:tc>
          <w:tcPr>
            <w:tcW w:w="3096" w:type="dxa"/>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position w:val="-2"/>
                <w:sz w:val="28"/>
                <w:szCs w:val="28"/>
                <w14:textFill>
                  <w14:solidFill>
                    <w14:schemeClr w14:val="tx1"/>
                  </w14:solidFill>
                </w14:textFill>
              </w:rPr>
              <w:t>20.32</w:t>
            </w:r>
          </w:p>
        </w:tc>
        <w:tc>
          <w:tcPr>
            <w:tcW w:w="2976" w:type="dxa"/>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8"/>
                <w:szCs w:val="2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position w:val="-2"/>
                <w:sz w:val="28"/>
                <w:szCs w:val="28"/>
                <w14:textFill>
                  <w14:solidFill>
                    <w14:schemeClr w14:val="tx1"/>
                  </w14:solidFill>
                </w14:textFill>
              </w:rPr>
              <w:t>11.39</w:t>
            </w:r>
          </w:p>
        </w:tc>
      </w:tr>
    </w:tbl>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 洪水过程线</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根据表</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11</w:t>
      </w:r>
      <w:r>
        <w:rPr>
          <w:rFonts w:hint="default"/>
          <w:color w:val="000000" w:themeColor="text1"/>
          <w:lang w:val="en-US" w:eastAsia="zh-CN"/>
          <w14:textFill>
            <w14:solidFill>
              <w14:schemeClr w14:val="tx1"/>
            </w14:solidFill>
          </w14:textFill>
        </w:rPr>
        <w:t>尾矿库500年一遇洪水计算成果绘制洪水过程线，洪水过程线采用《江西省暴雨洪水查算手册》（2010年10月）中推荐的五点概化法进行绘制，见图</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w:t>
      </w:r>
    </w:p>
    <w:p>
      <w:pPr>
        <w:bidi w:val="0"/>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57545" cy="3754120"/>
            <wp:effectExtent l="0" t="0" r="14605" b="1778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2"/>
                    <a:stretch>
                      <a:fillRect/>
                    </a:stretch>
                  </pic:blipFill>
                  <pic:spPr>
                    <a:xfrm>
                      <a:off x="0" y="0"/>
                      <a:ext cx="5757545" cy="3754120"/>
                    </a:xfrm>
                    <a:prstGeom prst="rect">
                      <a:avLst/>
                    </a:prstGeom>
                    <a:noFill/>
                    <a:ln>
                      <a:noFill/>
                    </a:ln>
                  </pic:spPr>
                </pic:pic>
              </a:graphicData>
            </a:graphic>
          </wp:inline>
        </w:drawing>
      </w:r>
    </w:p>
    <w:p>
      <w:pPr>
        <w:bidi w:val="0"/>
        <w:ind w:left="0" w:lef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图</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7 </w:t>
      </w:r>
      <w:r>
        <w:rPr>
          <w:rFonts w:hint="default"/>
          <w:color w:val="000000" w:themeColor="text1"/>
          <w:lang w:val="en-US" w:eastAsia="zh-CN"/>
          <w14:textFill>
            <w14:solidFill>
              <w14:schemeClr w14:val="tx1"/>
            </w14:solidFill>
          </w14:textFill>
        </w:rPr>
        <w:t>尾矿库500年一遇洪水过程线</w:t>
      </w:r>
    </w:p>
    <w:p>
      <w:pPr>
        <w:numPr>
          <w:ilvl w:val="0"/>
          <w:numId w:val="16"/>
        </w:numPr>
        <w:bidi w:val="0"/>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排洪系统</w:t>
      </w:r>
    </w:p>
    <w:p>
      <w:pPr>
        <w:numPr>
          <w:ilvl w:val="0"/>
          <w:numId w:val="18"/>
        </w:num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在用排洪系统</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根据提供的现状测量图纸，现状最低堆积坝顶高程为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274.0m，滩顶高程为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274.0m，库内水位高程为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270.6m，干滩长度218m，干滩坡度约1.6%。尾矿库库内采用2#框架式方形排水井+涵洞和新建的排水井+排水管两套系统排洪排水，以及库外截洪沟+涵管的清污分流排水系统排山水。</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现状库内水位为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270.6m，即将达到原排水涵洞封堵条件，因此本次调洪演算时，未考虑原排洪排水系统（2#框架式方形排水井+涵洞）的泄流能力，只考虑新建排水系统（排水井+排水管）的泄流能力。</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排水井为六柱框架式，C25现浇钢筋混凝土结构，井径D=3.0m，最低进水口高程为高程</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270m，井高H=15m，已在井座上盖封了3圈预制拱板，进水口高程为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270.6m；排水管断面为圆形，D=1.5m，C25现浇钢筋混凝土结构。</w:t>
      </w:r>
    </w:p>
    <w:p>
      <w:pPr>
        <w:numPr>
          <w:ilvl w:val="0"/>
          <w:numId w:val="18"/>
        </w:numPr>
        <w:bidi w:val="0"/>
        <w:ind w:left="0" w:leftChars="0" w:firstLine="56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泄流能力计算</w:t>
      </w:r>
    </w:p>
    <w:p>
      <w:pPr>
        <w:numPr>
          <w:ilvl w:val="0"/>
          <w:numId w:val="0"/>
        </w:numPr>
        <w:bidi w:val="0"/>
        <w:ind w:left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框架式排水井计算公式</w:t>
      </w:r>
    </w:p>
    <w:p>
      <w:pPr>
        <w:numPr>
          <w:ilvl w:val="0"/>
          <w:numId w:val="0"/>
        </w:numPr>
        <w:bidi w:val="0"/>
        <w:ind w:firstLine="56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
          <w:sz w:val="28"/>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自由泄流</w:t>
      </w:r>
    </w:p>
    <w:p>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a）水位未淹没框架式圈梁时：</w:t>
      </w:r>
    </w:p>
    <w:p>
      <w:pPr>
        <w:bidi w:val="0"/>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m:oMathPara>
        <m:oMath>
          <m:sSub>
            <m:sSubPr>
              <m:ctrlPr>
                <w:rPr>
                  <w:rFonts w:hint="default" w:ascii="Cambria Math" w:hAnsi="Cambria Math" w:cs="Times New Roman"/>
                  <w:b w:val="0"/>
                  <w:i w:val="0"/>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m:t>
              </m:r>
              <m:ctrlPr>
                <w:rPr>
                  <w:rFonts w:hint="default" w:ascii="Cambria Math" w:hAnsi="Cambria Math" w:cs="Times New Roman"/>
                  <w:b w:val="0"/>
                  <w:i w:val="0"/>
                  <w:color w:val="000000" w:themeColor="text1"/>
                  <w:kern w:val="2"/>
                  <w:sz w:val="28"/>
                  <w:szCs w:val="24"/>
                  <w:lang w:val="en-US" w:eastAsia="zh-CN" w:bidi="ar-SA"/>
                  <w14:textFill>
                    <w14:solidFill>
                      <w14:schemeClr w14:val="tx1"/>
                    </w14:solidFill>
                  </w14:textFill>
                </w:rPr>
              </m:ctrlPr>
            </m:e>
            <m:sub>
              <m:r>
                <m:rPr>
                  <m:sty m:val="p"/>
                </m:rPr>
                <w:rPr>
                  <w:rFonts w:hint="eastAsia" w:ascii="Cambria Math" w:hAnsi="Cambria Math" w:cs="Times New Roman"/>
                  <w:color w:val="000000" w:themeColor="text1"/>
                  <w:kern w:val="2"/>
                  <w:sz w:val="28"/>
                  <w:szCs w:val="24"/>
                  <w:lang w:val="en-US" w:eastAsia="zh-CN" w:bidi="ar-SA"/>
                  <w14:textFill>
                    <w14:solidFill>
                      <w14:schemeClr w14:val="tx1"/>
                    </w14:solidFill>
                  </w14:textFill>
                </w:rPr>
                <m:t>c</m:t>
              </m:r>
              <m:ctrlPr>
                <w:rPr>
                  <w:rFonts w:hint="default" w:ascii="Cambria Math" w:hAnsi="Cambria Math" w:cs="Times New Roman"/>
                  <w:b w:val="0"/>
                  <w:i w:val="0"/>
                  <w:color w:val="000000" w:themeColor="text1"/>
                  <w:kern w:val="2"/>
                  <w:sz w:val="28"/>
                  <w:szCs w:val="24"/>
                  <w:lang w:val="en-US" w:eastAsia="zh-CN" w:bidi="ar-SA"/>
                  <w14:textFill>
                    <w14:solidFill>
                      <w14:schemeClr w14:val="tx1"/>
                    </w14:solidFill>
                  </w14:textFill>
                </w:rPr>
              </m:ctrlPr>
            </m:sub>
          </m:sSub>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m:t>
          </m:r>
          <m:sSub>
            <m:sSubPr>
              <m:ctrlPr>
                <w:rPr>
                  <w:rFonts w:hint="eastAsia" w:ascii="Cambria Math" w:hAnsi="Cambria Math" w:cs="Times New Roman"/>
                  <w:color w:val="000000" w:themeColor="text1"/>
                  <w:kern w:val="2"/>
                  <w:sz w:val="28"/>
                  <w:szCs w:val="24"/>
                  <w:lang w:val="en-US" w:eastAsia="zh-CN" w:bidi="ar-SA"/>
                  <w14:textFill>
                    <w14:solidFill>
                      <w14:schemeClr w14:val="tx1"/>
                    </w14:solidFill>
                  </w14:textFill>
                </w:rPr>
              </m:ctrlPr>
            </m:sSubPr>
            <m:e>
              <m:r>
                <m:rPr>
                  <m:sty m:val="p"/>
                </m:rPr>
                <w:rPr>
                  <w:rFonts w:hint="eastAsia" w:ascii="Cambria Math" w:hAnsi="Cambria Math" w:cs="Times New Roman"/>
                  <w:color w:val="000000" w:themeColor="text1"/>
                  <w:kern w:val="2"/>
                  <w:sz w:val="28"/>
                  <w:szCs w:val="24"/>
                  <w:lang w:val="en-US" w:eastAsia="zh-CN" w:bidi="ar-SA"/>
                  <w14:textFill>
                    <w14:solidFill>
                      <w14:schemeClr w14:val="tx1"/>
                    </w14:solidFill>
                  </w14:textFill>
                </w:rPr>
                <m:t>n</m:t>
              </m:r>
              <m:ctrlPr>
                <w:rPr>
                  <w:rFonts w:hint="eastAsia" w:ascii="Cambria Math" w:hAnsi="Cambria Math" w:cs="Times New Roman"/>
                  <w:color w:val="000000" w:themeColor="text1"/>
                  <w:kern w:val="2"/>
                  <w:sz w:val="28"/>
                  <w:szCs w:val="24"/>
                  <w:lang w:val="en-US" w:eastAsia="zh-CN" w:bidi="ar-SA"/>
                  <w14:textFill>
                    <w14:solidFill>
                      <w14:schemeClr w14:val="tx1"/>
                    </w14:solidFill>
                  </w14:textFill>
                </w:rPr>
              </m:ctrlPr>
            </m:e>
            <m:sub>
              <m:r>
                <m:rPr>
                  <m:sty m:val="p"/>
                </m:rPr>
                <w:rPr>
                  <w:rFonts w:hint="eastAsia" w:ascii="Cambria Math" w:hAnsi="Cambria Math" w:cs="Times New Roman"/>
                  <w:color w:val="000000" w:themeColor="text1"/>
                  <w:kern w:val="2"/>
                  <w:sz w:val="28"/>
                  <w:szCs w:val="24"/>
                  <w:lang w:val="en-US" w:eastAsia="zh-CN" w:bidi="ar-SA"/>
                  <w14:textFill>
                    <w14:solidFill>
                      <w14:schemeClr w14:val="tx1"/>
                    </w14:solidFill>
                  </w14:textFill>
                </w:rPr>
                <m:t>c</m:t>
              </m:r>
              <m:ctrlPr>
                <w:rPr>
                  <w:rFonts w:hint="eastAsia" w:ascii="Cambria Math" w:hAnsi="Cambria Math" w:cs="Times New Roman"/>
                  <w:color w:val="000000" w:themeColor="text1"/>
                  <w:kern w:val="2"/>
                  <w:sz w:val="28"/>
                  <w:szCs w:val="24"/>
                  <w:lang w:val="en-US" w:eastAsia="zh-CN" w:bidi="ar-SA"/>
                  <w14:textFill>
                    <w14:solidFill>
                      <w14:schemeClr w14:val="tx1"/>
                    </w14:solidFill>
                  </w14:textFill>
                </w:rPr>
              </m:ctrlPr>
            </m:sub>
          </m:sSub>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m</m:t>
          </m:r>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ε</m:t>
          </m:r>
          <m:sSub>
            <m:sSubP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b</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sub>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c</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ub>
          </m:sSub>
          <m:rad>
            <m:radPr>
              <m:degHide m:val="1"/>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radPr>
            <m:deg>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deg>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2g</m:t>
              </m:r>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e>
          </m:rad>
          <m:sSubSup>
            <m:sSubSupPr>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sSubSup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H</m:t>
              </m:r>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e>
            <m:sub>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y</m:t>
              </m:r>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sub>
            <m:sup>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1.5</m:t>
              </m:r>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sup>
          </m:sSubSup>
        </m:oMath>
      </m:oMathPara>
    </w:p>
    <w:p>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b）水位淹没圈梁时：</w:t>
      </w:r>
    </w:p>
    <w:p>
      <w:pPr>
        <w:bidi w:val="0"/>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m:oMathPara>
        <m:oMath>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d</m:t>
              </m:r>
              <m:ctrlPr>
                <w:rPr>
                  <w:rFonts w:ascii="Cambria Math" w:hAnsi="Cambria Math"/>
                  <w:i/>
                  <w:color w:val="000000" w:themeColor="text1"/>
                  <w:lang w:val="en-US"/>
                  <w14:textFill>
                    <w14:solidFill>
                      <w14:schemeClr w14:val="tx1"/>
                    </w14:solidFill>
                  </w14:textFill>
                </w:rPr>
              </m:ctrlPr>
            </m:sub>
          </m:sSub>
          <m:r>
            <m:rPr/>
            <w:rPr>
              <w:rFonts w:hint="default" w:ascii="Cambria Math" w:hAnsi="Cambria Math"/>
              <w:color w:val="000000" w:themeColor="text1"/>
              <w:lang w:val="en-US" w:eastAsia="zh-CN"/>
              <w14:textFill>
                <w14:solidFill>
                  <w14:schemeClr w14:val="tx1"/>
                </w14:solidFill>
              </w14:textFill>
            </w:rPr>
            <m:t>=</m:t>
          </m:r>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b</m:t>
              </m:r>
              <m:ctrlPr>
                <w:rPr>
                  <w:rFonts w:ascii="Cambria Math" w:hAnsi="Cambria Math"/>
                  <w:i/>
                  <w:color w:val="000000" w:themeColor="text1"/>
                  <w:lang w:val="en-US"/>
                  <w14:textFill>
                    <w14:solidFill>
                      <w14:schemeClr w14:val="tx1"/>
                    </w14:solidFill>
                  </w14:textFill>
                </w:rPr>
              </m:ctrlPr>
            </m:sub>
          </m:sSub>
          <m:r>
            <m:rPr/>
            <w:rPr>
              <w:rFonts w:hint="default" w:ascii="Cambria Math" w:hAnsi="Cambria Math"/>
              <w:color w:val="000000" w:themeColor="text1"/>
              <w:lang w:val="en-US" w:eastAsia="zh-CN"/>
              <w14:textFill>
                <w14:solidFill>
                  <w14:schemeClr w14:val="tx1"/>
                </w14:solidFill>
              </w14:textFill>
            </w:rPr>
            <m:t>=</m:t>
          </m:r>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1</m:t>
              </m:r>
              <m:ctrlPr>
                <w:rPr>
                  <w:rFonts w:ascii="Cambria Math" w:hAnsi="Cambria Math"/>
                  <w:i/>
                  <w:color w:val="000000" w:themeColor="text1"/>
                  <w:lang w:val="en-US"/>
                  <w14:textFill>
                    <w14:solidFill>
                      <w14:schemeClr w14:val="tx1"/>
                    </w14:solidFill>
                  </w14:textFill>
                </w:rPr>
              </m:ctrlPr>
            </m:sub>
          </m:sSub>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2</m:t>
              </m:r>
              <m:ctrlPr>
                <w:rPr>
                  <w:rFonts w:ascii="Cambria Math" w:hAnsi="Cambria Math"/>
                  <w:i/>
                  <w:color w:val="000000" w:themeColor="text1"/>
                  <w:lang w:val="en-US"/>
                  <w14:textFill>
                    <w14:solidFill>
                      <w14:schemeClr w14:val="tx1"/>
                    </w14:solidFill>
                  </w14:textFill>
                </w:rPr>
              </m:ctrlPr>
            </m:sub>
          </m:sSub>
        </m:oMath>
      </m:oMathPara>
    </w:p>
    <w:p>
      <w:pPr>
        <w:bidi w:val="0"/>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w:r>
        <w:rPr>
          <w:rFonts w:hint="eastAsia" w:ascii="Times New Roman" w:hAnsi="Cambria Math" w:eastAsia="宋体" w:cs="Cambria Math"/>
          <w:i w:val="0"/>
          <w:color w:val="000000" w:themeColor="text1"/>
          <w:kern w:val="2"/>
          <w:sz w:val="28"/>
          <w:szCs w:val="24"/>
          <w:lang w:val="en-US" w:eastAsia="zh-CN" w:bidi="ar-SA"/>
          <w14:textFill>
            <w14:solidFill>
              <w14:schemeClr w14:val="tx1"/>
            </w14:solidFill>
          </w14:textFill>
        </w:rPr>
        <w:t>本项目按方孔计算：</w:t>
      </w:r>
    </w:p>
    <w:p>
      <w:pPr>
        <w:bidi w:val="0"/>
        <w:jc w:val="center"/>
        <w:rPr>
          <w:rFonts w:hint="default" w:hAnsi="Cambria Math" w:cs="Cambria Math"/>
          <w:i w:val="0"/>
          <w:color w:val="000000" w:themeColor="text1"/>
          <w:kern w:val="2"/>
          <w:sz w:val="28"/>
          <w:szCs w:val="24"/>
          <w:lang w:val="en-US" w:eastAsia="zh-CN" w:bidi="ar-SA"/>
          <w14:textFill>
            <w14:solidFill>
              <w14:schemeClr w14:val="tx1"/>
            </w14:solidFill>
          </w14:textFill>
        </w:rPr>
      </w:pPr>
      <m:oMathPara>
        <m:oMath>
          <m:sSub>
            <m:sSubPr>
              <m:ctrlPr>
                <w:rPr>
                  <w:rFonts w:hint="default" w:ascii="Cambria Math" w:hAnsi="Cambria Math" w:cs="Times New Roman"/>
                  <w:b w:val="0"/>
                  <w:i w:val="0"/>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m:t>
              </m:r>
              <m:ctrlPr>
                <w:rPr>
                  <w:rFonts w:hint="default" w:ascii="Cambria Math" w:hAnsi="Cambria Math" w:cs="Times New Roman"/>
                  <w:b w:val="0"/>
                  <w:i w:val="0"/>
                  <w:color w:val="000000" w:themeColor="text1"/>
                  <w:kern w:val="2"/>
                  <w:sz w:val="28"/>
                  <w:szCs w:val="24"/>
                  <w:lang w:val="en-US" w:eastAsia="zh-CN" w:bidi="ar-SA"/>
                  <w14:textFill>
                    <w14:solidFill>
                      <w14:schemeClr w14:val="tx1"/>
                    </w14:solidFill>
                  </w14:textFill>
                </w:rPr>
              </m:ctrlPr>
            </m:e>
            <m:sub>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1</m:t>
              </m:r>
              <m:ctrlPr>
                <w:rPr>
                  <w:rFonts w:hint="default" w:ascii="Cambria Math" w:hAnsi="Cambria Math" w:cs="Times New Roman"/>
                  <w:b w:val="0"/>
                  <w:i w:val="0"/>
                  <w:color w:val="000000" w:themeColor="text1"/>
                  <w:kern w:val="2"/>
                  <w:sz w:val="28"/>
                  <w:szCs w:val="24"/>
                  <w:lang w:val="en-US" w:eastAsia="zh-CN" w:bidi="ar-SA"/>
                  <w14:textFill>
                    <w14:solidFill>
                      <w14:schemeClr w14:val="tx1"/>
                    </w14:solidFill>
                  </w14:textFill>
                </w:rPr>
              </m:ctrlPr>
            </m:sub>
          </m:sSub>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=1.8</m:t>
          </m:r>
          <m:sSub>
            <m:sSubPr>
              <m:ctrlPr>
                <w:rPr>
                  <w:rFonts w:hint="eastAsia" w:ascii="Cambria Math" w:hAnsi="Cambria Math" w:cs="Times New Roman"/>
                  <w:color w:val="000000" w:themeColor="text1"/>
                  <w:kern w:val="2"/>
                  <w:sz w:val="28"/>
                  <w:szCs w:val="24"/>
                  <w:lang w:val="en-US" w:eastAsia="zh-CN" w:bidi="ar-SA"/>
                  <w14:textFill>
                    <w14:solidFill>
                      <w14:schemeClr w14:val="tx1"/>
                    </w14:solidFill>
                  </w14:textFill>
                </w:rPr>
              </m:ctrlPr>
            </m:sSubPr>
            <m:e>
              <m:r>
                <m:rPr>
                  <m:sty m:val="p"/>
                </m:rPr>
                <w:rPr>
                  <w:rFonts w:hint="eastAsia" w:ascii="Cambria Math" w:hAnsi="Cambria Math" w:cs="Times New Roman"/>
                  <w:color w:val="000000" w:themeColor="text1"/>
                  <w:kern w:val="2"/>
                  <w:sz w:val="28"/>
                  <w:szCs w:val="24"/>
                  <w:lang w:val="en-US" w:eastAsia="zh-CN" w:bidi="ar-SA"/>
                  <w14:textFill>
                    <w14:solidFill>
                      <w14:schemeClr w14:val="tx1"/>
                    </w14:solidFill>
                  </w14:textFill>
                </w:rPr>
                <m:t>n</m:t>
              </m:r>
              <m:ctrlPr>
                <w:rPr>
                  <w:rFonts w:hint="eastAsia" w:ascii="Cambria Math" w:hAnsi="Cambria Math" w:cs="Times New Roman"/>
                  <w:color w:val="000000" w:themeColor="text1"/>
                  <w:kern w:val="2"/>
                  <w:sz w:val="28"/>
                  <w:szCs w:val="24"/>
                  <w:lang w:val="en-US" w:eastAsia="zh-CN" w:bidi="ar-SA"/>
                  <w14:textFill>
                    <w14:solidFill>
                      <w14:schemeClr w14:val="tx1"/>
                    </w14:solidFill>
                  </w14:textFill>
                </w:rPr>
              </m:ctrlPr>
            </m:e>
            <m:sub>
              <m:r>
                <m:rPr>
                  <m:sty m:val="p"/>
                </m:rPr>
                <w:rPr>
                  <w:rFonts w:hint="eastAsia" w:ascii="Cambria Math" w:hAnsi="Cambria Math" w:cs="Times New Roman"/>
                  <w:color w:val="000000" w:themeColor="text1"/>
                  <w:kern w:val="2"/>
                  <w:sz w:val="28"/>
                  <w:szCs w:val="24"/>
                  <w:lang w:val="en-US" w:eastAsia="zh-CN" w:bidi="ar-SA"/>
                  <w14:textFill>
                    <w14:solidFill>
                      <w14:schemeClr w14:val="tx1"/>
                    </w14:solidFill>
                  </w14:textFill>
                </w:rPr>
                <m:t>c</m:t>
              </m:r>
              <m:ctrlPr>
                <w:rPr>
                  <w:rFonts w:hint="eastAsia" w:ascii="Cambria Math" w:hAnsi="Cambria Math" w:cs="Times New Roman"/>
                  <w:color w:val="000000" w:themeColor="text1"/>
                  <w:kern w:val="2"/>
                  <w:sz w:val="28"/>
                  <w:szCs w:val="24"/>
                  <w:lang w:val="en-US" w:eastAsia="zh-CN" w:bidi="ar-SA"/>
                  <w14:textFill>
                    <w14:solidFill>
                      <w14:schemeClr w14:val="tx1"/>
                    </w14:solidFill>
                  </w14:textFill>
                </w:rPr>
              </m:ctrlPr>
            </m:sub>
          </m:sSub>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ε</m:t>
          </m:r>
          <m:sSub>
            <m:sSubP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b</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sub>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c</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ub>
          </m:sSub>
          <m:sSubSup>
            <m:sSubSupP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SubSup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H</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sub>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0</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ub>
            <m:sup>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1.5</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up>
          </m:sSubSup>
        </m:oMath>
      </m:oMathPara>
    </w:p>
    <w:p>
      <w:pPr>
        <w:numPr>
          <w:ilvl w:val="0"/>
          <w:numId w:val="19"/>
        </w:numPr>
        <w:bidi w:val="0"/>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水位淹没井口时：</w:t>
      </w:r>
    </w:p>
    <w:p>
      <w:pPr>
        <w:bidi w:val="0"/>
        <w:jc w:val="center"/>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m:oMath>
        <m:sSub>
          <m:sSubPr>
            <m:ctrlPr>
              <w:rPr>
                <w:rFonts w:ascii="Cambria Math" w:hAnsi="Cambria Math" w:cs="Times New Roman"/>
                <w:i/>
                <w:color w:val="000000" w:themeColor="text1"/>
                <w:kern w:val="2"/>
                <w:sz w:val="28"/>
                <w:szCs w:val="24"/>
                <w:lang w:val="en-US" w:bidi="ar-SA"/>
                <w14:textFill>
                  <w14:solidFill>
                    <w14:schemeClr w14:val="tx1"/>
                  </w14:solidFill>
                </w14:textFill>
              </w:rPr>
            </m:ctrlPr>
          </m:sSubPr>
          <m:e>
            <m:r>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m:t>
            </m:r>
            <m:ctrlPr>
              <w:rPr>
                <w:rFonts w:ascii="Cambria Math" w:hAnsi="Cambria Math" w:cs="Times New Roman"/>
                <w:i/>
                <w:color w:val="000000" w:themeColor="text1"/>
                <w:kern w:val="2"/>
                <w:sz w:val="28"/>
                <w:szCs w:val="24"/>
                <w:lang w:val="en-US" w:bidi="ar-SA"/>
                <w14:textFill>
                  <w14:solidFill>
                    <w14:schemeClr w14:val="tx1"/>
                  </w14:solidFill>
                </w14:textFill>
              </w:rPr>
            </m:ctrlPr>
          </m:e>
          <m:sub>
            <m:r>
              <m:rPr/>
              <w:rPr>
                <w:rFonts w:hint="default" w:ascii="Cambria Math" w:hAnsi="Cambria Math" w:cs="Times New Roman"/>
                <w:color w:val="000000" w:themeColor="text1"/>
                <w:kern w:val="2"/>
                <w:sz w:val="28"/>
                <w:szCs w:val="24"/>
                <w:lang w:val="en-US" w:eastAsia="zh-CN" w:bidi="ar-SA"/>
                <w14:textFill>
                  <w14:solidFill>
                    <w14:schemeClr w14:val="tx1"/>
                  </w14:solidFill>
                </w14:textFill>
              </w:rPr>
              <m:t>e</m:t>
            </m:r>
            <m:ctrlPr>
              <w:rPr>
                <w:rFonts w:ascii="Cambria Math" w:hAnsi="Cambria Math" w:cs="Times New Roman"/>
                <w:i/>
                <w:color w:val="000000" w:themeColor="text1"/>
                <w:kern w:val="2"/>
                <w:sz w:val="28"/>
                <w:szCs w:val="24"/>
                <w:lang w:val="en-US" w:bidi="ar-SA"/>
                <w14:textFill>
                  <w14:solidFill>
                    <w14:schemeClr w14:val="tx1"/>
                  </w14:solidFill>
                </w14:textFill>
              </w:rPr>
            </m:ctrlPr>
          </m:sub>
        </m:sSub>
      </m:oMath>
      <w:r>
        <w:rPr>
          <w:rFonts w:hint="default" w:ascii="Cambria Math" w:hAnsi="Cambria Math" w:eastAsia="宋体" w:cs="Times New Roman"/>
          <w:color w:val="000000" w:themeColor="text1"/>
          <w:kern w:val="2"/>
          <w:sz w:val="28"/>
          <w:szCs w:val="24"/>
          <w:lang w:val="en-US" w:eastAsia="zh-CN" w:bidi="ar-SA"/>
          <w14:textFill>
            <w14:solidFill>
              <w14:schemeClr w14:val="tx1"/>
            </w14:solidFill>
          </w14:textFill>
        </w:rPr>
        <w:t>=</w:t>
      </w:r>
      <m:oMath>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φ</m:t>
        </m:r>
        <m:sSub>
          <m:sSubPr>
            <m:ctrlPr>
              <w:rPr>
                <w:rFonts w:hint="default" w:ascii="Cambria Math" w:hAnsi="Cambria Math"/>
                <w:i/>
                <w:color w:val="000000" w:themeColor="text1"/>
                <w:lang w:val="en-US" w:eastAsia="zh-CN"/>
                <w14:textFill>
                  <w14:solidFill>
                    <w14:schemeClr w14:val="tx1"/>
                  </w14:solidFill>
                </w14:textFill>
              </w:rPr>
            </m:ctrlPr>
          </m:sSubPr>
          <m:e>
            <m:r>
              <m:rPr/>
              <w:rPr>
                <w:rFonts w:ascii="Cambria Math" w:hAnsi="Cambria Math"/>
                <w:color w:val="000000" w:themeColor="text1"/>
                <w:lang w:val="en-US"/>
                <w14:textFill>
                  <w14:solidFill>
                    <w14:schemeClr w14:val="tx1"/>
                  </w14:solidFill>
                </w14:textFill>
              </w:rPr>
              <m:t>ω</m:t>
            </m:r>
            <m:ctrlPr>
              <w:rPr>
                <w:rFonts w:hint="default" w:ascii="Cambria Math" w:hAnsi="Cambria Math"/>
                <w:i/>
                <w:color w:val="000000" w:themeColor="text1"/>
                <w:lang w:val="en-US" w:eastAsia="zh-CN"/>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s</m:t>
            </m:r>
            <m:ctrlPr>
              <w:rPr>
                <w:rFonts w:hint="default" w:ascii="Cambria Math" w:hAnsi="Cambria Math"/>
                <w:i/>
                <w:color w:val="000000" w:themeColor="text1"/>
                <w:lang w:val="en-US" w:eastAsia="zh-CN"/>
                <w14:textFill>
                  <w14:solidFill>
                    <w14:schemeClr w14:val="tx1"/>
                  </w14:solidFill>
                </w14:textFill>
              </w:rPr>
            </m:ctrlPr>
          </m:sub>
        </m:sSub>
        <m:rad>
          <m:radPr>
            <m:degHide m:val="1"/>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radPr>
          <m:deg>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deg>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2g</m:t>
            </m:r>
            <m:sSub>
              <m:sSubPr>
                <m:ctrlPr>
                  <w:rPr>
                    <w:rFonts w:hint="default" w:ascii="Cambria Math" w:hAnsi="Cambria Math"/>
                    <w:i/>
                    <w:color w:val="000000" w:themeColor="text1"/>
                    <w:lang w:val="en-US" w:eastAsia="zh-CN"/>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H</m:t>
                </m:r>
                <m:ctrlPr>
                  <w:rPr>
                    <w:rFonts w:hint="default" w:ascii="Cambria Math" w:hAnsi="Cambria Math"/>
                    <w:i/>
                    <w:color w:val="000000" w:themeColor="text1"/>
                    <w:lang w:val="en-US" w:eastAsia="zh-CN"/>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j</m:t>
                </m:r>
                <m:ctrlPr>
                  <w:rPr>
                    <w:rFonts w:hint="default" w:ascii="Cambria Math" w:hAnsi="Cambria Math"/>
                    <w:i/>
                    <w:color w:val="000000" w:themeColor="text1"/>
                    <w:lang w:val="en-US" w:eastAsia="zh-CN"/>
                    <w14:textFill>
                      <w14:solidFill>
                        <w14:schemeClr w14:val="tx1"/>
                      </w14:solidFill>
                    </w14:textFill>
                  </w:rPr>
                </m:ctrlPr>
              </m:sub>
            </m:sSub>
            <m:ctrlPr>
              <w:rPr>
                <w:rFonts w:hint="default" w:ascii="Cambria Math" w:hAnsi="Cambria Math" w:cs="Cambria Math"/>
                <w:i w:val="0"/>
                <w:color w:val="000000" w:themeColor="text1"/>
                <w:kern w:val="2"/>
                <w:sz w:val="28"/>
                <w:szCs w:val="24"/>
                <w:lang w:val="en-US" w:eastAsia="zh-CN" w:bidi="ar-SA"/>
                <w14:textFill>
                  <w14:solidFill>
                    <w14:schemeClr w14:val="tx1"/>
                  </w14:solidFill>
                </w14:textFill>
              </w:rPr>
            </m:ctrlPr>
          </m:e>
        </m:rad>
      </m:oMath>
    </w:p>
    <w:p>
      <w:pPr>
        <w:bidi w:val="0"/>
        <w:rPr>
          <w:rFonts w:hint="eastAsia"/>
          <w:color w:val="000000" w:themeColor="text1"/>
          <w:lang w:val="en-US" w:eastAsia="zh-CN"/>
          <w14:textFill>
            <w14:solidFill>
              <w14:schemeClr w14:val="tx1"/>
            </w14:solidFill>
          </w14:textFill>
        </w:rPr>
      </w:pPr>
      <m:oMathPara>
        <m:oMath>
          <m:r>
            <m:rPr>
              <m:sty m:val="p"/>
            </m:rPr>
            <w:rPr>
              <w:rFonts w:ascii="Cambria Math" w:hAnsi="Cambria Math"/>
              <w:color w:val="000000" w:themeColor="text1"/>
              <w:lang w:val="en-US"/>
              <w14:textFill>
                <w14:solidFill>
                  <w14:schemeClr w14:val="tx1"/>
                </w14:solidFill>
              </w14:textFill>
            </w:rPr>
            <m:t>φ</m:t>
          </m:r>
          <m:r>
            <m:rPr>
              <m:sty m:val="p"/>
            </m:rPr>
            <w:rPr>
              <w:rFonts w:hint="default" w:ascii="Cambria Math" w:hAnsi="Cambria Math"/>
              <w:color w:val="000000" w:themeColor="text1"/>
              <w:lang w:val="en-US" w:eastAsia="zh-CN"/>
              <w14:textFill>
                <w14:solidFill>
                  <w14:schemeClr w14:val="tx1"/>
                </w14:solidFill>
              </w14:textFill>
            </w:rPr>
            <m:t>=</m:t>
          </m:r>
          <m:f>
            <m:fPr>
              <m:ctrlPr>
                <w:rPr>
                  <w:rFonts w:hint="default" w:ascii="Cambria Math" w:hAnsi="Cambria Math"/>
                  <w:color w:val="000000" w:themeColor="text1"/>
                  <w:lang w:val="en-US" w:eastAsia="zh-CN"/>
                  <w14:textFill>
                    <w14:solidFill>
                      <w14:schemeClr w14:val="tx1"/>
                    </w14:solidFill>
                  </w14:textFill>
                </w:rPr>
              </m:ctrlPr>
            </m:fPr>
            <m:num>
              <m:r>
                <m:rPr>
                  <m:sty m:val="p"/>
                </m:rPr>
                <w:rPr>
                  <w:rFonts w:hint="default" w:ascii="Cambria Math" w:hAnsi="Cambria Math"/>
                  <w:color w:val="000000" w:themeColor="text1"/>
                  <w:lang w:val="en-US" w:eastAsia="zh-CN"/>
                  <w14:textFill>
                    <w14:solidFill>
                      <w14:schemeClr w14:val="tx1"/>
                    </w14:solidFill>
                  </w14:textFill>
                </w:rPr>
                <m:t>1</m:t>
              </m:r>
              <m:ctrlPr>
                <w:rPr>
                  <w:rFonts w:hint="default" w:ascii="Cambria Math" w:hAnsi="Cambria Math"/>
                  <w:color w:val="000000" w:themeColor="text1"/>
                  <w:lang w:val="en-US" w:eastAsia="zh-CN"/>
                  <w14:textFill>
                    <w14:solidFill>
                      <w14:schemeClr w14:val="tx1"/>
                    </w14:solidFill>
                  </w14:textFill>
                </w:rPr>
              </m:ctrlPr>
            </m:num>
            <m:den>
              <m:rad>
                <m:radPr>
                  <m:degHide m:val="1"/>
                  <m:ctrlPr>
                    <w:rPr>
                      <w:rFonts w:hint="default" w:ascii="Cambria Math" w:hAnsi="Cambria Math"/>
                      <w:color w:val="000000" w:themeColor="text1"/>
                      <w:lang w:val="en-US" w:eastAsia="zh-CN"/>
                      <w14:textFill>
                        <w14:solidFill>
                          <w14:schemeClr w14:val="tx1"/>
                        </w14:solidFill>
                      </w14:textFill>
                    </w:rPr>
                  </m:ctrlPr>
                </m:radPr>
                <m:deg>
                  <m:ctrlPr>
                    <w:rPr>
                      <w:rFonts w:hint="default" w:ascii="Cambria Math" w:hAnsi="Cambria Math"/>
                      <w:color w:val="000000" w:themeColor="text1"/>
                      <w:lang w:val="en-US" w:eastAsia="zh-CN"/>
                      <w14:textFill>
                        <w14:solidFill>
                          <w14:schemeClr w14:val="tx1"/>
                        </w14:solidFill>
                      </w14:textFill>
                    </w:rPr>
                  </m:ctrlPr>
                </m:deg>
                <m:e>
                  <m:r>
                    <m:rPr>
                      <m:sty m:val="p"/>
                    </m:rPr>
                    <w:rPr>
                      <w:rFonts w:hint="default" w:ascii="Cambria Math" w:hAnsi="Cambria Math"/>
                      <w:color w:val="000000" w:themeColor="text1"/>
                      <w:lang w:val="en-US" w:eastAsia="zh-CN"/>
                      <w14:textFill>
                        <w14:solidFill>
                          <w14:schemeClr w14:val="tx1"/>
                        </w14:solidFill>
                      </w14:textFill>
                    </w:rPr>
                    <m:t>1+</m:t>
                  </m:r>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4</m:t>
                      </m:r>
                      <m:ctrlPr>
                        <w:rPr>
                          <w:rFonts w:hint="default" w:ascii="Cambria Math" w:hAnsi="Cambria Math"/>
                          <w:color w:val="000000" w:themeColor="text1"/>
                          <w:lang w:val="en-US" w:eastAsia="zh-CN"/>
                          <w14:textFill>
                            <w14:solidFill>
                              <w14:schemeClr w14:val="tx1"/>
                            </w14:solidFill>
                          </w14:textFill>
                        </w:rPr>
                      </m:ctrlPr>
                    </m:sub>
                  </m:sSub>
                  <m:r>
                    <m:rPr>
                      <m:sty m:val="p"/>
                    </m:rPr>
                    <w:rPr>
                      <w:rFonts w:hint="default" w:ascii="Cambria Math" w:hAnsi="Cambria Math"/>
                      <w:color w:val="000000" w:themeColor="text1"/>
                      <w:lang w:val="en-US" w:eastAsia="zh-CN"/>
                      <w14:textFill>
                        <w14:solidFill>
                          <w14:schemeClr w14:val="tx1"/>
                        </w14:solidFill>
                      </w14:textFill>
                    </w:rPr>
                    <m:t>+</m:t>
                  </m:r>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5</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6</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ctrlPr>
                    <w:rPr>
                      <w:rFonts w:hint="default" w:ascii="Cambria Math" w:hAnsi="Cambria Math"/>
                      <w:color w:val="000000" w:themeColor="text1"/>
                      <w:lang w:val="en-US" w:eastAsia="zh-CN"/>
                      <w14:textFill>
                        <w14:solidFill>
                          <w14:schemeClr w14:val="tx1"/>
                        </w14:solidFill>
                      </w14:textFill>
                    </w:rPr>
                  </m:ctrlPr>
                </m:e>
              </m:rad>
              <m:ctrlPr>
                <w:rPr>
                  <w:rFonts w:hint="default" w:ascii="Cambria Math" w:hAnsi="Cambria Math"/>
                  <w:color w:val="000000" w:themeColor="text1"/>
                  <w:lang w:val="en-US" w:eastAsia="zh-CN"/>
                  <w14:textFill>
                    <w14:solidFill>
                      <w14:schemeClr w14:val="tx1"/>
                    </w14:solidFill>
                  </w14:textFill>
                </w:rPr>
              </m:ctrlPr>
            </m:den>
          </m:f>
        </m:oMath>
      </m:oMathPara>
    </w:p>
    <w:p>
      <w:pPr>
        <w:bidi w:val="0"/>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3）半压力流：</w:t>
      </w:r>
    </w:p>
    <w:p>
      <w:pPr>
        <w:bidi w:val="0"/>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m:oMathPara>
        <m:oMath>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m:t>
          </m:r>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φ</m:t>
          </m:r>
          <m:sSub>
            <m:sSubP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F</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sub>
              <m:r>
                <m:rPr>
                  <m:sty m:val="p"/>
                </m:rPr>
                <w:rPr>
                  <w:rFonts w:hint="eastAsia" w:ascii="Cambria Math" w:hAnsi="Cambria Math" w:cs="Cambria Math"/>
                  <w:color w:val="000000" w:themeColor="text1"/>
                  <w:kern w:val="2"/>
                  <w:sz w:val="28"/>
                  <w:szCs w:val="24"/>
                  <w:lang w:val="en-US" w:eastAsia="zh-CN" w:bidi="ar-SA"/>
                  <w14:textFill>
                    <w14:solidFill>
                      <w14:schemeClr w14:val="tx1"/>
                    </w14:solidFill>
                  </w14:textFill>
                </w:rPr>
                <m:t>s</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ub>
          </m:sSub>
          <m:rad>
            <m:radPr>
              <m:degHide m:val="1"/>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radPr>
            <m:deg>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deg>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2</m:t>
              </m:r>
              <m:r>
                <m:rPr>
                  <m:sty m:val="p"/>
                </m:rPr>
                <w:rPr>
                  <w:rFonts w:hint="eastAsia" w:ascii="Cambria Math" w:hAnsi="Cambria Math" w:cs="Cambria Math"/>
                  <w:color w:val="000000" w:themeColor="text1"/>
                  <w:kern w:val="2"/>
                  <w:sz w:val="28"/>
                  <w:szCs w:val="24"/>
                  <w:lang w:val="en-US" w:eastAsia="zh-CN" w:bidi="ar-SA"/>
                  <w14:textFill>
                    <w14:solidFill>
                      <w14:schemeClr w14:val="tx1"/>
                    </w14:solidFill>
                  </w14:textFill>
                </w:rPr>
                <m:t>g</m:t>
              </m:r>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H</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rad>
        </m:oMath>
      </m:oMathPara>
    </w:p>
    <w:p>
      <w:pPr>
        <w:bidi w:val="0"/>
        <w:rPr>
          <w:rFonts w:hint="default" w:ascii="Times New Roman" w:hAnsi="Cambria Math" w:eastAsia="宋体" w:cs="Cambria Math"/>
          <w:i w:val="0"/>
          <w:color w:val="000000" w:themeColor="text1"/>
          <w:lang w:val="en-US"/>
          <w14:textFill>
            <w14:solidFill>
              <w14:schemeClr w14:val="tx1"/>
            </w14:solidFill>
          </w14:textFill>
        </w:rPr>
      </w:pPr>
      <m:oMathPara>
        <m:oMath>
          <m:r>
            <m:rPr>
              <m:sty m:val="p"/>
            </m:rPr>
            <w:rPr>
              <w:rFonts w:ascii="Cambria Math" w:hAnsi="Cambria Math"/>
              <w:color w:val="000000" w:themeColor="text1"/>
              <w:lang w:val="en-US"/>
              <w14:textFill>
                <w14:solidFill>
                  <w14:schemeClr w14:val="tx1"/>
                </w14:solidFill>
              </w14:textFill>
            </w:rPr>
            <m:t>φ</m:t>
          </m:r>
          <m:r>
            <m:rPr>
              <m:sty m:val="p"/>
            </m:rPr>
            <w:rPr>
              <w:rFonts w:hint="default" w:ascii="Cambria Math" w:hAnsi="Cambria Math" w:cs="Cambria Math"/>
              <w:color w:val="000000" w:themeColor="text1"/>
              <w:lang w:val="en-US"/>
              <w14:textFill>
                <w14:solidFill>
                  <w14:schemeClr w14:val="tx1"/>
                </w14:solidFill>
              </w14:textFill>
            </w:rPr>
            <m:t>=</m:t>
          </m:r>
          <m:f>
            <m:fPr>
              <m:ctrlPr>
                <w:rPr>
                  <w:rFonts w:hint="default" w:ascii="Cambria Math" w:hAnsi="Cambria Math" w:cs="Cambria Math"/>
                  <w:color w:val="000000" w:themeColor="text1"/>
                  <w:lang w:val="en-US"/>
                  <w14:textFill>
                    <w14:solidFill>
                      <w14:schemeClr w14:val="tx1"/>
                    </w14:solidFill>
                  </w14:textFill>
                </w:rPr>
              </m:ctrlPr>
            </m:fPr>
            <m:num>
              <m:r>
                <m:rPr>
                  <m:sty m:val="p"/>
                </m:rPr>
                <w:rPr>
                  <w:rFonts w:hint="default" w:ascii="Cambria Math" w:hAnsi="Cambria Math" w:cs="Cambria Math"/>
                  <w:color w:val="000000" w:themeColor="text1"/>
                  <w:lang w:val="en-US" w:eastAsia="zh-CN"/>
                  <w14:textFill>
                    <w14:solidFill>
                      <w14:schemeClr w14:val="tx1"/>
                    </w14:solidFill>
                  </w14:textFill>
                </w:rPr>
                <m:t>1</m:t>
              </m:r>
              <m:ctrlPr>
                <w:rPr>
                  <w:rFonts w:hint="default" w:ascii="Cambria Math" w:hAnsi="Cambria Math" w:cs="Cambria Math"/>
                  <w:color w:val="000000" w:themeColor="text1"/>
                  <w:lang w:val="en-US"/>
                  <w14:textFill>
                    <w14:solidFill>
                      <w14:schemeClr w14:val="tx1"/>
                    </w14:solidFill>
                  </w14:textFill>
                </w:rPr>
              </m:ctrlPr>
            </m:num>
            <m:den>
              <m:rad>
                <m:radPr>
                  <m:degHide m:val="1"/>
                  <m:ctrlPr>
                    <w:rPr>
                      <w:rFonts w:hint="default" w:ascii="Cambria Math" w:hAnsi="Cambria Math" w:cs="Cambria Math"/>
                      <w:color w:val="000000" w:themeColor="text1"/>
                      <w:lang w:val="en-US"/>
                      <w14:textFill>
                        <w14:solidFill>
                          <w14:schemeClr w14:val="tx1"/>
                        </w14:solidFill>
                      </w14:textFill>
                    </w:rPr>
                  </m:ctrlPr>
                </m:radPr>
                <m:deg>
                  <m:ctrlPr>
                    <w:rPr>
                      <w:rFonts w:hint="default" w:ascii="Cambria Math" w:hAnsi="Cambria Math" w:cs="Cambria Math"/>
                      <w:color w:val="000000" w:themeColor="text1"/>
                      <w:lang w:val="en-US"/>
                      <w14:textFill>
                        <w14:solidFill>
                          <w14:schemeClr w14:val="tx1"/>
                        </w14:solidFill>
                      </w14:textFill>
                    </w:rPr>
                  </m:ctrlPr>
                </m:deg>
                <m:e>
                  <m:r>
                    <m:rPr>
                      <m:sty m:val="p"/>
                    </m:rPr>
                    <w:rPr>
                      <w:rFonts w:hint="default" w:ascii="Cambria Math" w:hAnsi="Cambria Math" w:cs="Cambria Math"/>
                      <w:color w:val="000000" w:themeColor="text1"/>
                      <w:lang w:val="en-US" w:eastAsia="zh-CN"/>
                      <w14:textFill>
                        <w14:solidFill>
                          <w14:schemeClr w14:val="tx1"/>
                        </w14:solidFill>
                      </w14:textFill>
                    </w:rPr>
                    <m:t>1+</m:t>
                  </m:r>
                  <m:sSub>
                    <m:sSubPr>
                      <m:ctrlPr>
                        <w:rPr>
                          <w:rFonts w:hint="default" w:ascii="Cambria Math" w:hAnsi="Cambria Math" w:cs="Cambria Math"/>
                          <w:color w:val="000000" w:themeColor="text1"/>
                          <w:lang w:val="en-US" w:eastAsia="zh-CN"/>
                          <w14:textFill>
                            <w14:solidFill>
                              <w14:schemeClr w14:val="tx1"/>
                            </w14:solidFill>
                          </w14:textFill>
                        </w:rPr>
                      </m:ctrlPr>
                    </m:sSubPr>
                    <m:e>
                      <m:r>
                        <m:rPr>
                          <m:sty m:val="p"/>
                        </m:rPr>
                        <w:rPr>
                          <w:rFonts w:ascii="Cambria Math" w:hAnsi="Cambria Math" w:cs="Cambria Math"/>
                          <w:color w:val="000000" w:themeColor="text1"/>
                          <w:lang w:val="en-US"/>
                          <w14:textFill>
                            <w14:solidFill>
                              <w14:schemeClr w14:val="tx1"/>
                            </w14:solidFill>
                          </w14:textFill>
                        </w:rPr>
                        <m:t>λ</m:t>
                      </m:r>
                      <m:ctrlPr>
                        <w:rPr>
                          <w:rFonts w:hint="default" w:ascii="Cambria Math" w:hAnsi="Cambria Math" w:cs="Cambria Math"/>
                          <w:color w:val="000000" w:themeColor="text1"/>
                          <w:lang w:val="en-US" w:eastAsia="zh-CN"/>
                          <w14:textFill>
                            <w14:solidFill>
                              <w14:schemeClr w14:val="tx1"/>
                            </w14:solidFill>
                          </w14:textFill>
                        </w:rPr>
                      </m:ctrlPr>
                    </m:e>
                    <m:sub>
                      <m:r>
                        <m:rPr>
                          <m:sty m:val="p"/>
                        </m:rPr>
                        <w:rPr>
                          <w:rFonts w:hint="eastAsia" w:ascii="Cambria Math" w:hAnsi="Cambria Math" w:cs="Cambria Math"/>
                          <w:color w:val="000000" w:themeColor="text1"/>
                          <w:lang w:val="en-US" w:eastAsia="zh-CN"/>
                          <w14:textFill>
                            <w14:solidFill>
                              <w14:schemeClr w14:val="tx1"/>
                            </w14:solidFill>
                          </w14:textFill>
                        </w:rPr>
                        <m:t>j</m:t>
                      </m:r>
                      <m:ctrlPr>
                        <w:rPr>
                          <w:rFonts w:hint="default" w:ascii="Cambria Math" w:hAnsi="Cambria Math" w:cs="Cambria Math"/>
                          <w:color w:val="000000" w:themeColor="text1"/>
                          <w:lang w:val="en-US" w:eastAsia="zh-CN"/>
                          <w14:textFill>
                            <w14:solidFill>
                              <w14:schemeClr w14:val="tx1"/>
                            </w14:solidFill>
                          </w14:textFill>
                        </w:rPr>
                      </m:ctrlPr>
                    </m:sub>
                  </m:sSub>
                  <m:f>
                    <m:fPr>
                      <m:ctrlPr>
                        <w:rPr>
                          <w:rFonts w:hint="default" w:ascii="Cambria Math" w:hAnsi="Cambria Math" w:cs="Cambria Math"/>
                          <w:color w:val="000000" w:themeColor="text1"/>
                          <w:lang w:val="en-US" w:eastAsia="zh-CN"/>
                          <w14:textFill>
                            <w14:solidFill>
                              <w14:schemeClr w14:val="tx1"/>
                            </w14:solidFill>
                          </w14:textFill>
                        </w:rPr>
                      </m:ctrlPr>
                    </m:fPr>
                    <m:num>
                      <m:r>
                        <m:rPr>
                          <m:sty m:val="p"/>
                        </m:rPr>
                        <w:rPr>
                          <w:rFonts w:hint="eastAsia" w:ascii="Cambria Math" w:hAnsi="Cambria Math" w:cs="Cambria Math"/>
                          <w:color w:val="000000" w:themeColor="text1"/>
                          <w:lang w:val="en-US" w:eastAsia="zh-CN"/>
                          <w14:textFill>
                            <w14:solidFill>
                              <w14:schemeClr w14:val="tx1"/>
                            </w14:solidFill>
                          </w14:textFill>
                        </w:rPr>
                        <m:t>l</m:t>
                      </m:r>
                      <m:ctrlPr>
                        <w:rPr>
                          <w:rFonts w:hint="default" w:ascii="Cambria Math" w:hAnsi="Cambria Math" w:cs="Cambria Math"/>
                          <w:color w:val="000000" w:themeColor="text1"/>
                          <w:lang w:val="en-US" w:eastAsia="zh-CN"/>
                          <w14:textFill>
                            <w14:solidFill>
                              <w14:schemeClr w14:val="tx1"/>
                            </w14:solidFill>
                          </w14:textFill>
                        </w:rPr>
                      </m:ctrlPr>
                    </m:num>
                    <m:den>
                      <m:r>
                        <m:rPr>
                          <m:sty m:val="p"/>
                        </m:rPr>
                        <w:rPr>
                          <w:rFonts w:hint="eastAsia" w:ascii="Cambria Math" w:hAnsi="Cambria Math" w:cs="Cambria Math"/>
                          <w:color w:val="000000" w:themeColor="text1"/>
                          <w:lang w:val="en-US" w:eastAsia="zh-CN"/>
                          <w14:textFill>
                            <w14:solidFill>
                              <w14:schemeClr w14:val="tx1"/>
                            </w14:solidFill>
                          </w14:textFill>
                        </w:rPr>
                        <m:t>d</m:t>
                      </m:r>
                      <m:ctrlPr>
                        <w:rPr>
                          <w:rFonts w:hint="default" w:ascii="Cambria Math" w:hAnsi="Cambria Math" w:cs="Cambria Math"/>
                          <w:color w:val="000000" w:themeColor="text1"/>
                          <w:lang w:val="en-US" w:eastAsia="zh-CN"/>
                          <w14:textFill>
                            <w14:solidFill>
                              <w14:schemeClr w14:val="tx1"/>
                            </w14:solidFill>
                          </w14:textFill>
                        </w:rPr>
                      </m:ctrlPr>
                    </m:den>
                  </m:f>
                  <m:sSubSup>
                    <m:sSubSupPr>
                      <m:ctrlPr>
                        <w:rPr>
                          <w:rFonts w:hint="default" w:ascii="Cambria Math" w:hAnsi="Cambria Math" w:cs="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s="Cambria Math"/>
                          <w:color w:val="000000" w:themeColor="text1"/>
                          <w:lang w:val="en-US" w:eastAsia="zh-CN"/>
                          <w14:textFill>
                            <w14:solidFill>
                              <w14:schemeClr w14:val="tx1"/>
                            </w14:solidFill>
                          </w14:textFill>
                        </w:rPr>
                      </m:ctrlPr>
                    </m:e>
                    <m:sub>
                      <m:r>
                        <m:rPr>
                          <m:sty m:val="p"/>
                        </m:rPr>
                        <w:rPr>
                          <w:rFonts w:hint="default" w:ascii="Cambria Math" w:hAnsi="Cambria Math" w:cs="Cambria Math"/>
                          <w:color w:val="000000" w:themeColor="text1"/>
                          <w:lang w:val="en-US" w:eastAsia="zh-CN"/>
                          <w14:textFill>
                            <w14:solidFill>
                              <w14:schemeClr w14:val="tx1"/>
                            </w14:solidFill>
                          </w14:textFill>
                        </w:rPr>
                        <m:t>2</m:t>
                      </m:r>
                      <m:ctrlPr>
                        <w:rPr>
                          <w:rFonts w:hint="default" w:ascii="Cambria Math" w:hAnsi="Cambria Math" w:cs="Cambria Math"/>
                          <w:color w:val="000000" w:themeColor="text1"/>
                          <w:lang w:val="en-US" w:eastAsia="zh-CN"/>
                          <w14:textFill>
                            <w14:solidFill>
                              <w14:schemeClr w14:val="tx1"/>
                            </w14:solidFill>
                          </w14:textFill>
                        </w:rPr>
                      </m:ctrlPr>
                    </m:sub>
                    <m:sup>
                      <m:r>
                        <m:rPr>
                          <m:sty m:val="p"/>
                        </m:rPr>
                        <w:rPr>
                          <w:rFonts w:hint="default" w:ascii="Cambria Math" w:hAnsi="Cambria Math" w:cs="Cambria Math"/>
                          <w:color w:val="000000" w:themeColor="text1"/>
                          <w:lang w:val="en-US" w:eastAsia="zh-CN"/>
                          <w14:textFill>
                            <w14:solidFill>
                              <w14:schemeClr w14:val="tx1"/>
                            </w14:solidFill>
                          </w14:textFill>
                        </w:rPr>
                        <m:t>2</m:t>
                      </m:r>
                      <m:ctrlPr>
                        <w:rPr>
                          <w:rFonts w:hint="default" w:ascii="Cambria Math" w:hAnsi="Cambria Math" w:cs="Cambria Math"/>
                          <w:color w:val="000000" w:themeColor="text1"/>
                          <w:lang w:val="en-US" w:eastAsia="zh-CN"/>
                          <w14:textFill>
                            <w14:solidFill>
                              <w14:schemeClr w14:val="tx1"/>
                            </w14:solidFill>
                          </w14:textFill>
                        </w:rPr>
                      </m:ctrlPr>
                    </m:sup>
                  </m:sSubSup>
                  <m:r>
                    <m:rPr>
                      <m:sty m:val="p"/>
                    </m:rPr>
                    <w:rPr>
                      <w:rFonts w:hint="default" w:ascii="Cambria Math" w:hAnsi="Cambria Math" w:cs="Cambria Math"/>
                      <w:color w:val="000000" w:themeColor="text1"/>
                      <w:lang w:val="en-US" w:eastAsia="zh-CN"/>
                      <w14:textFill>
                        <w14:solidFill>
                          <w14:schemeClr w14:val="tx1"/>
                        </w14:solidFill>
                      </w14:textFill>
                    </w:rPr>
                    <m:t>+</m:t>
                  </m:r>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b>
                  </m:sSub>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hint="default" w:ascii="Cambria Math" w:hAnsi="Cambria Math"/>
                          <w:color w:val="000000" w:themeColor="text1"/>
                          <w:lang w:val="en-US" w:eastAsia="zh-CN"/>
                          <w14:textFill>
                            <w14:solidFill>
                              <w14:schemeClr w14:val="tx1"/>
                            </w14:solidFill>
                          </w14:textFill>
                        </w:rPr>
                        <m:t>+</m:t>
                      </m:r>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3</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1</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r>
                    <m:rPr>
                      <m:sty m:val="p"/>
                    </m:rPr>
                    <w:rPr>
                      <w:rFonts w:hint="default" w:ascii="Cambria Math" w:hAnsi="Cambria Math"/>
                      <w:color w:val="000000" w:themeColor="text1"/>
                      <w:lang w:val="en-US" w:eastAsia="zh-CN"/>
                      <w14:textFill>
                        <w14:solidFill>
                          <w14:schemeClr w14:val="tx1"/>
                        </w14:solidFill>
                      </w14:textFill>
                    </w:rPr>
                    <m:t>+</m:t>
                  </m:r>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4</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1</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hint="default" w:ascii="Cambria Math" w:hAnsi="Cambria Math"/>
                          <w:color w:val="000000" w:themeColor="text1"/>
                          <w:lang w:val="en-US" w:eastAsia="zh-CN"/>
                          <w14:textFill>
                            <w14:solidFill>
                              <w14:schemeClr w14:val="tx1"/>
                            </w14:solidFill>
                          </w14:textFill>
                        </w:rPr>
                        <m:t>+</m:t>
                      </m:r>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5</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7</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ctrlPr>
                    <w:rPr>
                      <w:rFonts w:hint="default" w:ascii="Cambria Math" w:hAnsi="Cambria Math" w:cs="Cambria Math"/>
                      <w:color w:val="000000" w:themeColor="text1"/>
                      <w:lang w:val="en-US"/>
                      <w14:textFill>
                        <w14:solidFill>
                          <w14:schemeClr w14:val="tx1"/>
                        </w14:solidFill>
                      </w14:textFill>
                    </w:rPr>
                  </m:ctrlPr>
                </m:e>
              </m:rad>
              <m:ctrlPr>
                <w:rPr>
                  <w:rFonts w:hint="default" w:ascii="Cambria Math" w:hAnsi="Cambria Math" w:cs="Cambria Math"/>
                  <w:color w:val="000000" w:themeColor="text1"/>
                  <w:lang w:val="en-US"/>
                  <w14:textFill>
                    <w14:solidFill>
                      <w14:schemeClr w14:val="tx1"/>
                    </w14:solidFill>
                  </w14:textFill>
                </w:rPr>
              </m:ctrlPr>
            </m:den>
          </m:f>
        </m:oMath>
      </m:oMathPara>
    </w:p>
    <w:p>
      <w:pPr>
        <w:bidi w:val="0"/>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4）压力流：</w:t>
      </w:r>
    </w:p>
    <w:p>
      <w:pPr>
        <w:bidi w:val="0"/>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m:oMathPara>
        <m:oMath>
          <m:r>
            <m:rPr>
              <m:sty m:val="p"/>
            </m:rPr>
            <w:rPr>
              <w:rFonts w:hint="default" w:ascii="Cambria Math" w:hAnsi="Cambria Math" w:cs="Times New Roman"/>
              <w:color w:val="000000" w:themeColor="text1"/>
              <w:kern w:val="2"/>
              <w:sz w:val="28"/>
              <w:szCs w:val="24"/>
              <w:lang w:val="en-US" w:eastAsia="zh-CN" w:bidi="ar-SA"/>
              <w14:textFill>
                <w14:solidFill>
                  <w14:schemeClr w14:val="tx1"/>
                </w14:solidFill>
              </w14:textFill>
            </w:rPr>
            <m:t>Q</m:t>
          </m:r>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m:t>
          </m:r>
          <m:r>
            <m:rPr>
              <m:sty m:val="p"/>
            </m:rPr>
            <w:rPr>
              <w:rFonts w:ascii="Cambria Math" w:hAnsi="Cambria Math" w:cs="Cambria Math"/>
              <w:color w:val="000000" w:themeColor="text1"/>
              <w:kern w:val="2"/>
              <w:sz w:val="28"/>
              <w:szCs w:val="24"/>
              <w:lang w:val="en-US" w:bidi="ar-SA"/>
              <w14:textFill>
                <w14:solidFill>
                  <w14:schemeClr w14:val="tx1"/>
                </w14:solidFill>
              </w14:textFill>
            </w:rPr>
            <m:t>μ</m:t>
          </m:r>
          <m:sSub>
            <m:sSubP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F</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sub>
              <m:r>
                <m:rPr>
                  <m:sty m:val="p"/>
                </m:rPr>
                <w:rPr>
                  <w:rFonts w:hint="eastAsia" w:ascii="Cambria Math" w:hAnsi="Cambria Math" w:cs="Cambria Math"/>
                  <w:color w:val="000000" w:themeColor="text1"/>
                  <w:kern w:val="2"/>
                  <w:sz w:val="28"/>
                  <w:szCs w:val="24"/>
                  <w:lang w:val="en-US" w:eastAsia="zh-CN" w:bidi="ar-SA"/>
                  <w14:textFill>
                    <w14:solidFill>
                      <w14:schemeClr w14:val="tx1"/>
                    </w14:solidFill>
                  </w14:textFill>
                </w:rPr>
                <m:t>x</m:t>
              </m:r>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sub>
          </m:sSub>
          <m:rad>
            <m:radPr>
              <m:degHide m:val="1"/>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radPr>
            <m:deg>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deg>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2</m:t>
              </m:r>
              <m:r>
                <m:rPr>
                  <m:sty m:val="p"/>
                </m:rPr>
                <w:rPr>
                  <w:rFonts w:hint="eastAsia" w:ascii="Cambria Math" w:hAnsi="Cambria Math" w:cs="Cambria Math"/>
                  <w:color w:val="000000" w:themeColor="text1"/>
                  <w:kern w:val="2"/>
                  <w:sz w:val="28"/>
                  <w:szCs w:val="24"/>
                  <w:lang w:val="en-US" w:eastAsia="zh-CN" w:bidi="ar-SA"/>
                  <w14:textFill>
                    <w14:solidFill>
                      <w14:schemeClr w14:val="tx1"/>
                    </w14:solidFill>
                  </w14:textFill>
                </w:rPr>
                <m:t>g</m:t>
              </m:r>
              <m:sSub>
                <m:sSubPr>
                  <m:ctrlPr>
                    <w:rPr>
                      <w:rFonts w:hint="eastAsia" w:ascii="Cambria Math" w:hAnsi="Cambria Math" w:cs="Cambria Math"/>
                      <w:b w:val="0"/>
                      <w:i w:val="0"/>
                      <w:color w:val="000000" w:themeColor="text1"/>
                      <w:kern w:val="2"/>
                      <w:sz w:val="28"/>
                      <w:szCs w:val="24"/>
                      <w:lang w:val="en-US" w:eastAsia="zh-CN" w:bidi="ar-SA"/>
                      <w14:textFill>
                        <w14:solidFill>
                          <w14:schemeClr w14:val="tx1"/>
                        </w14:solidFill>
                      </w14:textFill>
                    </w:rPr>
                  </m:ctrlPr>
                </m:sSubPr>
                <m:e>
                  <m:r>
                    <m:rPr>
                      <m:sty m:val="p"/>
                    </m:rPr>
                    <w:rPr>
                      <w:rFonts w:hint="default" w:ascii="Cambria Math" w:hAnsi="Cambria Math" w:cs="Cambria Math"/>
                      <w:color w:val="000000" w:themeColor="text1"/>
                      <w:kern w:val="2"/>
                      <w:sz w:val="28"/>
                      <w:szCs w:val="24"/>
                      <w:lang w:val="en-US" w:eastAsia="zh-CN" w:bidi="ar-SA"/>
                      <w14:textFill>
                        <w14:solidFill>
                          <w14:schemeClr w14:val="tx1"/>
                        </w14:solidFill>
                      </w14:textFill>
                    </w:rPr>
                    <m:t>H</m:t>
                  </m:r>
                  <m:ctrlPr>
                    <w:rPr>
                      <w:rFonts w:hint="eastAsia" w:ascii="Cambria Math" w:hAnsi="Cambria Math" w:cs="Cambria Math"/>
                      <w:b w:val="0"/>
                      <w:i w:val="0"/>
                      <w:color w:val="000000" w:themeColor="text1"/>
                      <w:kern w:val="2"/>
                      <w:sz w:val="28"/>
                      <w:szCs w:val="24"/>
                      <w:lang w:val="en-US" w:eastAsia="zh-CN" w:bidi="ar-SA"/>
                      <w14:textFill>
                        <w14:solidFill>
                          <w14:schemeClr w14:val="tx1"/>
                        </w14:solidFill>
                      </w14:textFill>
                    </w:rPr>
                  </m:ctrlPr>
                </m:e>
                <m:sub>
                  <m:r>
                    <m:rPr>
                      <m:sty m:val="p"/>
                    </m:rPr>
                    <w:rPr>
                      <w:rFonts w:hint="eastAsia" w:ascii="Cambria Math" w:hAnsi="Cambria Math" w:cs="Cambria Math"/>
                      <w:color w:val="000000" w:themeColor="text1"/>
                      <w:kern w:val="2"/>
                      <w:sz w:val="28"/>
                      <w:szCs w:val="24"/>
                      <w:lang w:val="en-US" w:eastAsia="zh-CN" w:bidi="ar-SA"/>
                      <w14:textFill>
                        <w14:solidFill>
                          <w14:schemeClr w14:val="tx1"/>
                        </w14:solidFill>
                      </w14:textFill>
                    </w:rPr>
                    <m:t>z</m:t>
                  </m:r>
                  <m:ctrlPr>
                    <w:rPr>
                      <w:rFonts w:hint="eastAsia" w:ascii="Cambria Math" w:hAnsi="Cambria Math" w:cs="Cambria Math"/>
                      <w:b w:val="0"/>
                      <w:i w:val="0"/>
                      <w:color w:val="000000" w:themeColor="text1"/>
                      <w:kern w:val="2"/>
                      <w:sz w:val="28"/>
                      <w:szCs w:val="24"/>
                      <w:lang w:val="en-US" w:eastAsia="zh-CN" w:bidi="ar-SA"/>
                      <w14:textFill>
                        <w14:solidFill>
                          <w14:schemeClr w14:val="tx1"/>
                        </w14:solidFill>
                      </w14:textFill>
                    </w:rPr>
                  </m:ctrlPr>
                </m:sub>
              </m:sSub>
              <m:ctrlPr>
                <w:rPr>
                  <w:rFonts w:hint="default" w:ascii="Cambria Math" w:hAnsi="Cambria Math" w:cs="Cambria Math"/>
                  <w:color w:val="000000" w:themeColor="text1"/>
                  <w:kern w:val="2"/>
                  <w:sz w:val="28"/>
                  <w:szCs w:val="24"/>
                  <w:lang w:val="en-US" w:eastAsia="zh-CN" w:bidi="ar-SA"/>
                  <w14:textFill>
                    <w14:solidFill>
                      <w14:schemeClr w14:val="tx1"/>
                    </w14:solidFill>
                  </w14:textFill>
                </w:rPr>
              </m:ctrlPr>
            </m:e>
          </m:rad>
        </m:oMath>
      </m:oMathPara>
    </w:p>
    <w:p>
      <w:pPr>
        <w:bidi w:val="0"/>
        <w:rPr>
          <w:rFonts w:hint="default" w:ascii="Times New Roman" w:hAnsi="Cambria Math" w:eastAsia="宋体" w:cs="Cambria Math"/>
          <w:i w:val="0"/>
          <w:color w:val="000000" w:themeColor="text1"/>
          <w:kern w:val="2"/>
          <w:sz w:val="28"/>
          <w:szCs w:val="24"/>
          <w:lang w:val="en-US" w:eastAsia="zh-CN" w:bidi="ar-SA"/>
          <w14:textFill>
            <w14:solidFill>
              <w14:schemeClr w14:val="tx1"/>
            </w14:solidFill>
          </w14:textFill>
        </w:rPr>
      </w:pPr>
      <m:oMathPara>
        <m:oMath>
          <m:r>
            <m:rPr>
              <m:sty m:val="p"/>
            </m:rPr>
            <w:rPr>
              <w:rFonts w:ascii="Cambria Math" w:hAnsi="Cambria Math" w:cs="Cambria Math"/>
              <w:color w:val="000000" w:themeColor="text1"/>
              <w:lang w:val="en-US"/>
              <w14:textFill>
                <w14:solidFill>
                  <w14:schemeClr w14:val="tx1"/>
                </w14:solidFill>
              </w14:textFill>
            </w:rPr>
            <m:t>μ</m:t>
          </m:r>
          <m:r>
            <m:rPr>
              <m:sty m:val="p"/>
            </m:rPr>
            <w:rPr>
              <w:rFonts w:hint="default" w:ascii="Cambria Math" w:hAnsi="Cambria Math" w:cs="Cambria Math"/>
              <w:color w:val="000000" w:themeColor="text1"/>
              <w:lang w:val="en-US"/>
              <w14:textFill>
                <w14:solidFill>
                  <w14:schemeClr w14:val="tx1"/>
                </w14:solidFill>
              </w14:textFill>
            </w:rPr>
            <m:t>=</m:t>
          </m:r>
          <m:f>
            <m:fPr>
              <m:ctrlPr>
                <w:rPr>
                  <w:rFonts w:hint="default" w:ascii="Cambria Math" w:hAnsi="Cambria Math" w:cs="Cambria Math"/>
                  <w:color w:val="000000" w:themeColor="text1"/>
                  <w:lang w:val="en-US"/>
                  <w14:textFill>
                    <w14:solidFill>
                      <w14:schemeClr w14:val="tx1"/>
                    </w14:solidFill>
                  </w14:textFill>
                </w:rPr>
              </m:ctrlPr>
            </m:fPr>
            <m:num>
              <m:r>
                <m:rPr>
                  <m:sty m:val="p"/>
                </m:rPr>
                <w:rPr>
                  <w:rFonts w:hint="default" w:ascii="Cambria Math" w:hAnsi="Cambria Math" w:cs="Cambria Math"/>
                  <w:color w:val="000000" w:themeColor="text1"/>
                  <w:lang w:val="en-US" w:eastAsia="zh-CN"/>
                  <w14:textFill>
                    <w14:solidFill>
                      <w14:schemeClr w14:val="tx1"/>
                    </w14:solidFill>
                  </w14:textFill>
                </w:rPr>
                <m:t>1</m:t>
              </m:r>
              <m:ctrlPr>
                <w:rPr>
                  <w:rFonts w:hint="default" w:ascii="Cambria Math" w:hAnsi="Cambria Math" w:cs="Cambria Math"/>
                  <w:color w:val="000000" w:themeColor="text1"/>
                  <w:lang w:val="en-US"/>
                  <w14:textFill>
                    <w14:solidFill>
                      <w14:schemeClr w14:val="tx1"/>
                    </w14:solidFill>
                  </w14:textFill>
                </w:rPr>
              </m:ctrlPr>
            </m:num>
            <m:den>
              <m:rad>
                <m:radPr>
                  <m:degHide m:val="1"/>
                  <m:ctrlPr>
                    <w:rPr>
                      <w:rFonts w:hint="default" w:ascii="Cambria Math" w:hAnsi="Cambria Math" w:cs="Cambria Math"/>
                      <w:color w:val="000000" w:themeColor="text1"/>
                      <w:lang w:val="en-US"/>
                      <w14:textFill>
                        <w14:solidFill>
                          <w14:schemeClr w14:val="tx1"/>
                        </w14:solidFill>
                      </w14:textFill>
                    </w:rPr>
                  </m:ctrlPr>
                </m:radPr>
                <m:deg>
                  <m:ctrlPr>
                    <w:rPr>
                      <w:rFonts w:hint="default" w:ascii="Cambria Math" w:hAnsi="Cambria Math" w:cs="Cambria Math"/>
                      <w:color w:val="000000" w:themeColor="text1"/>
                      <w:lang w:val="en-US"/>
                      <w14:textFill>
                        <w14:solidFill>
                          <w14:schemeClr w14:val="tx1"/>
                        </w14:solidFill>
                      </w14:textFill>
                    </w:rPr>
                  </m:ctrlPr>
                </m:deg>
                <m:e>
                  <m:r>
                    <m:rPr>
                      <m:sty m:val="p"/>
                    </m:rPr>
                    <w:rPr>
                      <w:rFonts w:hint="default" w:ascii="Cambria Math" w:hAnsi="Cambria Math" w:cs="Cambria Math"/>
                      <w:color w:val="000000" w:themeColor="text1"/>
                      <w:lang w:val="en-US" w:eastAsia="zh-CN"/>
                      <w14:textFill>
                        <w14:solidFill>
                          <w14:schemeClr w14:val="tx1"/>
                        </w14:solidFill>
                      </w14:textFill>
                    </w:rPr>
                    <m:t>1+</m:t>
                  </m:r>
                  <m:nary>
                    <m:naryPr>
                      <m:chr m:val="∑"/>
                      <m:limLoc m:val="undOvr"/>
                      <m:subHide m:val="1"/>
                      <m:supHide m:val="1"/>
                      <m:ctrlPr>
                        <w:rPr>
                          <w:rFonts w:hint="default" w:ascii="Cambria Math" w:hAnsi="Cambria Math" w:cs="Cambria Math"/>
                          <w:b w:val="0"/>
                          <w:i w:val="0"/>
                          <w:color w:val="000000" w:themeColor="text1"/>
                          <w:lang w:val="en-US" w:eastAsia="zh-CN"/>
                          <w14:textFill>
                            <w14:solidFill>
                              <w14:schemeClr w14:val="tx1"/>
                            </w14:solidFill>
                          </w14:textFill>
                        </w:rPr>
                      </m:ctrlPr>
                    </m:naryPr>
                    <m:sub>
                      <m:ctrlPr>
                        <w:rPr>
                          <w:rFonts w:hint="default" w:ascii="Cambria Math" w:hAnsi="Cambria Math" w:cs="Cambria Math"/>
                          <w:b w:val="0"/>
                          <w:i w:val="0"/>
                          <w:color w:val="000000" w:themeColor="text1"/>
                          <w:lang w:val="en-US" w:eastAsia="zh-CN"/>
                          <w14:textFill>
                            <w14:solidFill>
                              <w14:schemeClr w14:val="tx1"/>
                            </w14:solidFill>
                          </w14:textFill>
                        </w:rPr>
                      </m:ctrlPr>
                    </m:sub>
                    <m:sup>
                      <m:ctrlPr>
                        <w:rPr>
                          <w:rFonts w:hint="default" w:ascii="Cambria Math" w:hAnsi="Cambria Math" w:cs="Cambria Math"/>
                          <w:b w:val="0"/>
                          <w:i w:val="0"/>
                          <w:color w:val="000000" w:themeColor="text1"/>
                          <w:lang w:val="en-US" w:eastAsia="zh-CN"/>
                          <w14:textFill>
                            <w14:solidFill>
                              <w14:schemeClr w14:val="tx1"/>
                            </w14:solidFill>
                          </w14:textFill>
                        </w:rPr>
                      </m:ctrlPr>
                    </m:sup>
                    <m:e>
                      <m:sSub>
                        <m:sSubPr>
                          <m:ctrlPr>
                            <w:rPr>
                              <w:rFonts w:hint="default" w:ascii="Cambria Math" w:hAnsi="Cambria Math" w:cs="Cambria Math"/>
                              <w:color w:val="000000" w:themeColor="text1"/>
                              <w:lang w:val="en-US" w:eastAsia="zh-CN"/>
                              <w14:textFill>
                                <w14:solidFill>
                                  <w14:schemeClr w14:val="tx1"/>
                                </w14:solidFill>
                              </w14:textFill>
                            </w:rPr>
                          </m:ctrlPr>
                        </m:sSubPr>
                        <m:e>
                          <m:r>
                            <m:rPr>
                              <m:sty m:val="p"/>
                            </m:rPr>
                            <w:rPr>
                              <w:rFonts w:ascii="Cambria Math" w:hAnsi="Cambria Math" w:cs="Cambria Math"/>
                              <w:color w:val="000000" w:themeColor="text1"/>
                              <w:lang w:val="en-US"/>
                              <w14:textFill>
                                <w14:solidFill>
                                  <w14:schemeClr w14:val="tx1"/>
                                </w14:solidFill>
                              </w14:textFill>
                            </w:rPr>
                            <m:t>λ</m:t>
                          </m:r>
                          <m:ctrlPr>
                            <w:rPr>
                              <w:rFonts w:hint="default" w:ascii="Cambria Math" w:hAnsi="Cambria Math" w:cs="Cambria Math"/>
                              <w:color w:val="000000" w:themeColor="text1"/>
                              <w:lang w:val="en-US" w:eastAsia="zh-CN"/>
                              <w14:textFill>
                                <w14:solidFill>
                                  <w14:schemeClr w14:val="tx1"/>
                                </w14:solidFill>
                              </w14:textFill>
                            </w:rPr>
                          </m:ctrlPr>
                        </m:e>
                        <m:sub>
                          <m:r>
                            <m:rPr>
                              <m:sty m:val="p"/>
                            </m:rPr>
                            <w:rPr>
                              <w:rFonts w:hint="eastAsia" w:ascii="Cambria Math" w:hAnsi="Cambria Math" w:cs="Cambria Math"/>
                              <w:color w:val="000000" w:themeColor="text1"/>
                              <w:lang w:val="en-US" w:eastAsia="zh-CN"/>
                              <w14:textFill>
                                <w14:solidFill>
                                  <w14:schemeClr w14:val="tx1"/>
                                </w14:solidFill>
                              </w14:textFill>
                            </w:rPr>
                            <m:t>g</m:t>
                          </m:r>
                          <m:ctrlPr>
                            <w:rPr>
                              <w:rFonts w:hint="default" w:ascii="Cambria Math" w:hAnsi="Cambria Math" w:cs="Cambria Math"/>
                              <w:color w:val="000000" w:themeColor="text1"/>
                              <w:lang w:val="en-US" w:eastAsia="zh-CN"/>
                              <w14:textFill>
                                <w14:solidFill>
                                  <w14:schemeClr w14:val="tx1"/>
                                </w14:solidFill>
                              </w14:textFill>
                            </w:rPr>
                          </m:ctrlPr>
                        </m:sub>
                      </m:sSub>
                      <m:f>
                        <m:fPr>
                          <m:ctrlPr>
                            <w:rPr>
                              <w:rFonts w:hint="default" w:ascii="Cambria Math" w:hAnsi="Cambria Math" w:cs="Cambria Math"/>
                              <w:color w:val="000000" w:themeColor="text1"/>
                              <w:lang w:val="en-US" w:eastAsia="zh-CN"/>
                              <w14:textFill>
                                <w14:solidFill>
                                  <w14:schemeClr w14:val="tx1"/>
                                </w14:solidFill>
                              </w14:textFill>
                            </w:rPr>
                          </m:ctrlPr>
                        </m:fPr>
                        <m:num>
                          <m:r>
                            <m:rPr>
                              <m:sty m:val="p"/>
                            </m:rPr>
                            <w:rPr>
                              <w:rFonts w:hint="default" w:ascii="Cambria Math" w:hAnsi="Cambria Math" w:cs="Cambria Math"/>
                              <w:color w:val="000000" w:themeColor="text1"/>
                              <w:lang w:val="en-US" w:eastAsia="zh-CN"/>
                              <w14:textFill>
                                <w14:solidFill>
                                  <w14:schemeClr w14:val="tx1"/>
                                </w14:solidFill>
                              </w14:textFill>
                            </w:rPr>
                            <m:t>L</m:t>
                          </m:r>
                          <m:ctrlPr>
                            <w:rPr>
                              <w:rFonts w:hint="default" w:ascii="Cambria Math" w:hAnsi="Cambria Math" w:cs="Cambria Math"/>
                              <w:color w:val="000000" w:themeColor="text1"/>
                              <w:lang w:val="en-US" w:eastAsia="zh-CN"/>
                              <w14:textFill>
                                <w14:solidFill>
                                  <w14:schemeClr w14:val="tx1"/>
                                </w14:solidFill>
                              </w14:textFill>
                            </w:rPr>
                          </m:ctrlPr>
                        </m:num>
                        <m:den>
                          <m:r>
                            <m:rPr>
                              <m:sty m:val="p"/>
                            </m:rPr>
                            <w:rPr>
                              <w:rFonts w:hint="default" w:ascii="Cambria Math" w:hAnsi="Cambria Math" w:cs="Cambria Math"/>
                              <w:color w:val="000000" w:themeColor="text1"/>
                              <w:lang w:val="en-US" w:eastAsia="zh-CN"/>
                              <w14:textFill>
                                <w14:solidFill>
                                  <w14:schemeClr w14:val="tx1"/>
                                </w14:solidFill>
                              </w14:textFill>
                            </w:rPr>
                            <m:t>D</m:t>
                          </m:r>
                          <m:ctrlPr>
                            <w:rPr>
                              <w:rFonts w:hint="default" w:ascii="Cambria Math" w:hAnsi="Cambria Math" w:cs="Cambria Math"/>
                              <w:color w:val="000000" w:themeColor="text1"/>
                              <w:lang w:val="en-US" w:eastAsia="zh-CN"/>
                              <w14:textFill>
                                <w14:solidFill>
                                  <w14:schemeClr w14:val="tx1"/>
                                </w14:solidFill>
                              </w14:textFill>
                            </w:rPr>
                          </m:ctrlPr>
                        </m:den>
                      </m:f>
                      <m:sSubSup>
                        <m:sSubSupPr>
                          <m:ctrlPr>
                            <w:rPr>
                              <w:rFonts w:hint="default" w:ascii="Cambria Math" w:hAnsi="Cambria Math" w:cs="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s="Cambria Math"/>
                              <w:color w:val="000000" w:themeColor="text1"/>
                              <w:lang w:val="en-US" w:eastAsia="zh-CN"/>
                              <w14:textFill>
                                <w14:solidFill>
                                  <w14:schemeClr w14:val="tx1"/>
                                </w14:solidFill>
                              </w14:textFill>
                            </w:rPr>
                          </m:ctrlPr>
                        </m:e>
                        <m:sub>
                          <m:r>
                            <m:rPr>
                              <m:sty m:val="p"/>
                            </m:rPr>
                            <w:rPr>
                              <w:rFonts w:hint="default" w:ascii="Cambria Math" w:hAnsi="Cambria Math" w:cs="Cambria Math"/>
                              <w:color w:val="000000" w:themeColor="text1"/>
                              <w:lang w:val="en-US" w:eastAsia="zh-CN"/>
                              <w14:textFill>
                                <w14:solidFill>
                                  <w14:schemeClr w14:val="tx1"/>
                                </w14:solidFill>
                              </w14:textFill>
                            </w:rPr>
                            <m:t>3</m:t>
                          </m:r>
                          <m:ctrlPr>
                            <w:rPr>
                              <w:rFonts w:hint="default" w:ascii="Cambria Math" w:hAnsi="Cambria Math" w:cs="Cambria Math"/>
                              <w:color w:val="000000" w:themeColor="text1"/>
                              <w:lang w:val="en-US" w:eastAsia="zh-CN"/>
                              <w14:textFill>
                                <w14:solidFill>
                                  <w14:schemeClr w14:val="tx1"/>
                                </w14:solidFill>
                              </w14:textFill>
                            </w:rPr>
                          </m:ctrlPr>
                        </m:sub>
                        <m:sup>
                          <m:r>
                            <m:rPr>
                              <m:sty m:val="p"/>
                            </m:rPr>
                            <w:rPr>
                              <w:rFonts w:hint="default" w:ascii="Cambria Math" w:hAnsi="Cambria Math" w:cs="Cambria Math"/>
                              <w:color w:val="000000" w:themeColor="text1"/>
                              <w:lang w:val="en-US" w:eastAsia="zh-CN"/>
                              <w14:textFill>
                                <w14:solidFill>
                                  <w14:schemeClr w14:val="tx1"/>
                                </w14:solidFill>
                              </w14:textFill>
                            </w:rPr>
                            <m:t>2</m:t>
                          </m:r>
                          <m:ctrlPr>
                            <w:rPr>
                              <w:rFonts w:hint="default" w:ascii="Cambria Math" w:hAnsi="Cambria Math" w:cs="Cambria Math"/>
                              <w:color w:val="000000" w:themeColor="text1"/>
                              <w:lang w:val="en-US" w:eastAsia="zh-CN"/>
                              <w14:textFill>
                                <w14:solidFill>
                                  <w14:schemeClr w14:val="tx1"/>
                                </w14:solidFill>
                              </w14:textFill>
                            </w:rPr>
                          </m:ctrlPr>
                        </m:sup>
                      </m:sSubSup>
                      <m:ctrlPr>
                        <w:rPr>
                          <w:rFonts w:hint="default" w:ascii="Cambria Math" w:hAnsi="Cambria Math" w:cs="Cambria Math"/>
                          <w:b w:val="0"/>
                          <w:i w:val="0"/>
                          <w:color w:val="000000" w:themeColor="text1"/>
                          <w:lang w:val="en-US" w:eastAsia="zh-CN"/>
                          <w14:textFill>
                            <w14:solidFill>
                              <w14:schemeClr w14:val="tx1"/>
                            </w14:solidFill>
                          </w14:textFill>
                        </w:rPr>
                      </m:ctrlPr>
                    </m:e>
                  </m:nary>
                  <m:r>
                    <m:rPr>
                      <m:sty m:val="p"/>
                    </m:rPr>
                    <w:rPr>
                      <w:rFonts w:hint="default" w:ascii="Cambria Math" w:hAnsi="Cambria Math" w:cs="Cambria Math"/>
                      <w:color w:val="000000" w:themeColor="text1"/>
                      <w:lang w:val="en-US" w:eastAsia="zh-CN"/>
                      <w14:textFill>
                        <w14:solidFill>
                          <w14:schemeClr w14:val="tx1"/>
                        </w14:solidFill>
                      </w14:textFill>
                    </w:rPr>
                    <m:t>+</m:t>
                  </m:r>
                  <m:nary>
                    <m:naryPr>
                      <m:chr m:val="∑"/>
                      <m:limLoc m:val="undOvr"/>
                      <m:subHide m:val="1"/>
                      <m:supHide m:val="1"/>
                      <m:ctrlPr>
                        <w:rPr>
                          <w:rFonts w:hint="default" w:ascii="Cambria Math" w:hAnsi="Cambria Math" w:cs="Cambria Math"/>
                          <w:b w:val="0"/>
                          <w:i w:val="0"/>
                          <w:color w:val="000000" w:themeColor="text1"/>
                          <w:lang w:val="en-US" w:eastAsia="zh-CN"/>
                          <w14:textFill>
                            <w14:solidFill>
                              <w14:schemeClr w14:val="tx1"/>
                            </w14:solidFill>
                          </w14:textFill>
                        </w:rPr>
                      </m:ctrlPr>
                    </m:naryPr>
                    <m:sub>
                      <m:ctrlPr>
                        <w:rPr>
                          <w:rFonts w:hint="default" w:ascii="Cambria Math" w:hAnsi="Cambria Math" w:cs="Cambria Math"/>
                          <w:b w:val="0"/>
                          <w:i w:val="0"/>
                          <w:color w:val="000000" w:themeColor="text1"/>
                          <w:lang w:val="en-US" w:eastAsia="zh-CN"/>
                          <w14:textFill>
                            <w14:solidFill>
                              <w14:schemeClr w14:val="tx1"/>
                            </w14:solidFill>
                          </w14:textFill>
                        </w:rPr>
                      </m:ctrlPr>
                    </m:sub>
                    <m:sup>
                      <m:ctrlPr>
                        <w:rPr>
                          <w:rFonts w:hint="default" w:ascii="Cambria Math" w:hAnsi="Cambria Math" w:cs="Cambria Math"/>
                          <w:b w:val="0"/>
                          <w:i w:val="0"/>
                          <w:color w:val="000000" w:themeColor="text1"/>
                          <w:lang w:val="en-US" w:eastAsia="zh-CN"/>
                          <w14:textFill>
                            <w14:solidFill>
                              <w14:schemeClr w14:val="tx1"/>
                            </w14:solidFill>
                          </w14:textFill>
                        </w:rPr>
                      </m:ctrlPr>
                    </m:sup>
                    <m:e>
                      <m:r>
                        <m:rPr>
                          <m:sty m:val="p"/>
                        </m:rPr>
                        <w:rPr>
                          <w:rFonts w:ascii="Cambria Math" w:hAnsi="Cambria Math"/>
                          <w:color w:val="000000" w:themeColor="text1"/>
                          <w:lang w:val="en-US"/>
                          <w14:textFill>
                            <w14:solidFill>
                              <w14:schemeClr w14:val="tx1"/>
                            </w14:solidFill>
                          </w14:textFill>
                        </w:rPr>
                        <m:t>ζ</m:t>
                      </m:r>
                      <m:sSubSup>
                        <m:sSubSupPr>
                          <m:ctrlPr>
                            <w:rPr>
                              <w:rFonts w:hint="default" w:ascii="Cambria Math" w:hAnsi="Cambria Math" w:cs="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s="Cambria Math"/>
                              <w:color w:val="000000" w:themeColor="text1"/>
                              <w:lang w:val="en-US" w:eastAsia="zh-CN"/>
                              <w14:textFill>
                                <w14:solidFill>
                                  <w14:schemeClr w14:val="tx1"/>
                                </w14:solidFill>
                              </w14:textFill>
                            </w:rPr>
                          </m:ctrlPr>
                        </m:e>
                        <m:sub>
                          <m:r>
                            <m:rPr>
                              <m:sty m:val="p"/>
                            </m:rPr>
                            <w:rPr>
                              <w:rFonts w:hint="default" w:ascii="Cambria Math" w:hAnsi="Cambria Math" w:cs="Cambria Math"/>
                              <w:color w:val="000000" w:themeColor="text1"/>
                              <w:lang w:val="en-US" w:eastAsia="zh-CN"/>
                              <w14:textFill>
                                <w14:solidFill>
                                  <w14:schemeClr w14:val="tx1"/>
                                </w14:solidFill>
                              </w14:textFill>
                            </w:rPr>
                            <m:t>3</m:t>
                          </m:r>
                          <m:ctrlPr>
                            <w:rPr>
                              <w:rFonts w:hint="default" w:ascii="Cambria Math" w:hAnsi="Cambria Math" w:cs="Cambria Math"/>
                              <w:color w:val="000000" w:themeColor="text1"/>
                              <w:lang w:val="en-US" w:eastAsia="zh-CN"/>
                              <w14:textFill>
                                <w14:solidFill>
                                  <w14:schemeClr w14:val="tx1"/>
                                </w14:solidFill>
                              </w14:textFill>
                            </w:rPr>
                          </m:ctrlPr>
                        </m:sub>
                        <m:sup>
                          <m:r>
                            <m:rPr>
                              <m:sty m:val="p"/>
                            </m:rPr>
                            <w:rPr>
                              <w:rFonts w:hint="default" w:ascii="Cambria Math" w:hAnsi="Cambria Math" w:cs="Cambria Math"/>
                              <w:color w:val="000000" w:themeColor="text1"/>
                              <w:lang w:val="en-US" w:eastAsia="zh-CN"/>
                              <w14:textFill>
                                <w14:solidFill>
                                  <w14:schemeClr w14:val="tx1"/>
                                </w14:solidFill>
                              </w14:textFill>
                            </w:rPr>
                            <m:t>2</m:t>
                          </m:r>
                          <m:ctrlPr>
                            <w:rPr>
                              <w:rFonts w:hint="default" w:ascii="Cambria Math" w:hAnsi="Cambria Math" w:cs="Cambria Math"/>
                              <w:color w:val="000000" w:themeColor="text1"/>
                              <w:lang w:val="en-US" w:eastAsia="zh-CN"/>
                              <w14:textFill>
                                <w14:solidFill>
                                  <w14:schemeClr w14:val="tx1"/>
                                </w14:solidFill>
                              </w14:textFill>
                            </w:rPr>
                          </m:ctrlPr>
                        </m:sup>
                      </m:sSubSup>
                      <m:ctrlPr>
                        <w:rPr>
                          <w:rFonts w:hint="default" w:ascii="Cambria Math" w:hAnsi="Cambria Math" w:cs="Cambria Math"/>
                          <w:b w:val="0"/>
                          <w:i w:val="0"/>
                          <w:color w:val="000000" w:themeColor="text1"/>
                          <w:lang w:val="en-US" w:eastAsia="zh-CN"/>
                          <w14:textFill>
                            <w14:solidFill>
                              <w14:schemeClr w14:val="tx1"/>
                            </w14:solidFill>
                          </w14:textFill>
                        </w:rPr>
                      </m:ctrlPr>
                    </m:e>
                  </m:nary>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hint="default" w:ascii="Cambria Math" w:hAnsi="Cambria Math"/>
                          <w:color w:val="000000" w:themeColor="text1"/>
                          <w:lang w:val="en-US" w:eastAsia="zh-CN"/>
                          <w14:textFill>
                            <w14:solidFill>
                              <w14:schemeClr w14:val="tx1"/>
                            </w14:solidFill>
                          </w14:textFill>
                        </w:rPr>
                        <m:t>+</m:t>
                      </m:r>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9</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r>
                    <m:rPr>
                      <m:sty m:val="p"/>
                    </m:rPr>
                    <w:rPr>
                      <w:rFonts w:hint="default" w:ascii="Cambria Math" w:hAnsi="Cambria Math"/>
                      <w:color w:val="000000" w:themeColor="text1"/>
                      <w:lang w:val="en-US" w:eastAsia="zh-CN"/>
                      <w14:textFill>
                        <w14:solidFill>
                          <w14:schemeClr w14:val="tx1"/>
                        </w14:solidFill>
                      </w14:textFill>
                    </w:rPr>
                    <m:t>+</m:t>
                  </m:r>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3</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3</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hint="default" w:ascii="Cambria Math" w:hAnsi="Cambria Math"/>
                          <w:color w:val="000000" w:themeColor="text1"/>
                          <w:lang w:val="en-US" w:eastAsia="zh-CN"/>
                          <w14:textFill>
                            <w14:solidFill>
                              <w14:schemeClr w14:val="tx1"/>
                            </w14:solidFill>
                          </w14:textFill>
                        </w:rPr>
                        <m:t>+</m:t>
                      </m:r>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4</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5</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sSub>
                    <m:sSubPr>
                      <m:ctrlPr>
                        <w:rPr>
                          <w:rFonts w:hint="default" w:ascii="Cambria Math" w:hAnsi="Cambria Math"/>
                          <w:color w:val="000000" w:themeColor="text1"/>
                          <w:lang w:val="en-US" w:eastAsia="zh-CN"/>
                          <w14:textFill>
                            <w14:solidFill>
                              <w14:schemeClr w14:val="tx1"/>
                            </w14:solidFill>
                          </w14:textFill>
                        </w:rPr>
                      </m:ctrlPr>
                    </m:sSubPr>
                    <m:e>
                      <m:r>
                        <m:rPr>
                          <m:sty m:val="p"/>
                        </m:rPr>
                        <w:rPr>
                          <w:rFonts w:hint="default" w:ascii="Cambria Math" w:hAnsi="Cambria Math"/>
                          <w:color w:val="000000" w:themeColor="text1"/>
                          <w:lang w:val="en-US" w:eastAsia="zh-CN"/>
                          <w14:textFill>
                            <w14:solidFill>
                              <w14:schemeClr w14:val="tx1"/>
                            </w14:solidFill>
                          </w14:textFill>
                        </w:rPr>
                        <m:t>+</m:t>
                      </m:r>
                      <m:r>
                        <m:rPr>
                          <m:sty m:val="p"/>
                        </m:rPr>
                        <w:rPr>
                          <w:rFonts w:ascii="Cambria Math" w:hAnsi="Cambria Math"/>
                          <w:color w:val="000000" w:themeColor="text1"/>
                          <w:lang w:val="en-US"/>
                          <w14:textFill>
                            <w14:solidFill>
                              <w14:schemeClr w14:val="tx1"/>
                            </w14:solidFill>
                          </w14:textFill>
                        </w:rPr>
                        <m:t>ζ</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5</m:t>
                      </m:r>
                      <m:ctrlPr>
                        <w:rPr>
                          <w:rFonts w:hint="default" w:ascii="Cambria Math" w:hAnsi="Cambria Math"/>
                          <w:color w:val="000000" w:themeColor="text1"/>
                          <w:lang w:val="en-US" w:eastAsia="zh-CN"/>
                          <w14:textFill>
                            <w14:solidFill>
                              <w14:schemeClr w14:val="tx1"/>
                            </w14:solidFill>
                          </w14:textFill>
                        </w:rPr>
                      </m:ctrlPr>
                    </m:sub>
                  </m:sSub>
                  <m:sSubSup>
                    <m:sSubSupPr>
                      <m:ctrlPr>
                        <w:rPr>
                          <w:rFonts w:hint="default" w:ascii="Cambria Math" w:hAnsi="Cambria Math"/>
                          <w:color w:val="000000" w:themeColor="text1"/>
                          <w:lang w:val="en-US" w:eastAsia="zh-CN"/>
                          <w14:textFill>
                            <w14:solidFill>
                              <w14:schemeClr w14:val="tx1"/>
                            </w14:solidFill>
                          </w14:textFill>
                        </w:rPr>
                      </m:ctrlPr>
                    </m:sSubSupPr>
                    <m:e>
                      <m:r>
                        <m:rPr>
                          <m:sty m:val="p"/>
                        </m:rPr>
                        <w:rPr>
                          <w:rFonts w:hint="eastAsia" w:ascii="Cambria Math" w:hAnsi="Cambria Math" w:cs="Cambria Math"/>
                          <w:color w:val="000000" w:themeColor="text1"/>
                          <w:lang w:val="en-US" w:eastAsia="zh-CN"/>
                          <w14:textFill>
                            <w14:solidFill>
                              <w14:schemeClr w14:val="tx1"/>
                            </w14:solidFill>
                          </w14:textFill>
                        </w:rPr>
                        <m:t>f</m:t>
                      </m:r>
                      <m:ctrlPr>
                        <w:rPr>
                          <w:rFonts w:hint="default" w:ascii="Cambria Math" w:hAnsi="Cambria Math"/>
                          <w:color w:val="000000" w:themeColor="text1"/>
                          <w:lang w:val="en-US" w:eastAsia="zh-CN"/>
                          <w14:textFill>
                            <w14:solidFill>
                              <w14:schemeClr w14:val="tx1"/>
                            </w14:solidFill>
                          </w14:textFill>
                        </w:rPr>
                      </m:ctrlPr>
                    </m:e>
                    <m:sub>
                      <m:r>
                        <m:rPr>
                          <m:sty m:val="p"/>
                        </m:rPr>
                        <w:rPr>
                          <w:rFonts w:hint="default" w:ascii="Cambria Math" w:hAnsi="Cambria Math"/>
                          <w:color w:val="000000" w:themeColor="text1"/>
                          <w:lang w:val="en-US" w:eastAsia="zh-CN"/>
                          <w14:textFill>
                            <w14:solidFill>
                              <w14:schemeClr w14:val="tx1"/>
                            </w14:solidFill>
                          </w14:textFill>
                        </w:rPr>
                        <m:t>8</m:t>
                      </m:r>
                      <m:ctrlPr>
                        <w:rPr>
                          <w:rFonts w:hint="default" w:ascii="Cambria Math" w:hAnsi="Cambria Math"/>
                          <w:color w:val="000000" w:themeColor="text1"/>
                          <w:lang w:val="en-US" w:eastAsia="zh-CN"/>
                          <w14:textFill>
                            <w14:solidFill>
                              <w14:schemeClr w14:val="tx1"/>
                            </w14:solidFill>
                          </w14:textFill>
                        </w:rPr>
                      </m:ctrlPr>
                    </m:sub>
                    <m:sup>
                      <m:r>
                        <m:rPr>
                          <m:sty m:val="p"/>
                        </m:rPr>
                        <w:rPr>
                          <w:rFonts w:hint="default" w:ascii="Cambria Math" w:hAnsi="Cambria Math"/>
                          <w:color w:val="000000" w:themeColor="text1"/>
                          <w:lang w:val="en-US" w:eastAsia="zh-CN"/>
                          <w14:textFill>
                            <w14:solidFill>
                              <w14:schemeClr w14:val="tx1"/>
                            </w14:solidFill>
                          </w14:textFill>
                        </w:rPr>
                        <m:t>2</m:t>
                      </m:r>
                      <m:ctrlPr>
                        <w:rPr>
                          <w:rFonts w:hint="default" w:ascii="Cambria Math" w:hAnsi="Cambria Math"/>
                          <w:color w:val="000000" w:themeColor="text1"/>
                          <w:lang w:val="en-US" w:eastAsia="zh-CN"/>
                          <w14:textFill>
                            <w14:solidFill>
                              <w14:schemeClr w14:val="tx1"/>
                            </w14:solidFill>
                          </w14:textFill>
                        </w:rPr>
                      </m:ctrlPr>
                    </m:sup>
                  </m:sSubSup>
                  <m:ctrlPr>
                    <w:rPr>
                      <w:rFonts w:hint="default" w:ascii="Cambria Math" w:hAnsi="Cambria Math" w:cs="Cambria Math"/>
                      <w:color w:val="000000" w:themeColor="text1"/>
                      <w:lang w:val="en-US"/>
                      <w14:textFill>
                        <w14:solidFill>
                          <w14:schemeClr w14:val="tx1"/>
                        </w14:solidFill>
                      </w14:textFill>
                    </w:rPr>
                  </m:ctrlPr>
                </m:e>
              </m:rad>
              <m:ctrlPr>
                <w:rPr>
                  <w:rFonts w:hint="default" w:ascii="Cambria Math" w:hAnsi="Cambria Math" w:cs="Cambria Math"/>
                  <w:color w:val="000000" w:themeColor="text1"/>
                  <w:lang w:val="en-US"/>
                  <w14:textFill>
                    <w14:solidFill>
                      <w14:schemeClr w14:val="tx1"/>
                    </w14:solidFill>
                  </w14:textFill>
                </w:rPr>
              </m:ctrlPr>
            </m:den>
          </m:f>
        </m:oMath>
      </m:oMathPara>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排水井进水口高程为</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270.6m，根据上述框架式排水井泄流计算公式， 计算排水井泄流能力见下表。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表</w:t>
      </w:r>
      <w:r>
        <w:rPr>
          <w:rFonts w:hint="eastAsia"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 xml:space="preserve">12 </w:t>
      </w:r>
      <w:r>
        <w:rPr>
          <w:rFonts w:hint="default" w:ascii="Times New Roman" w:hAnsi="Times New Roman" w:eastAsia="宋体" w:cs="Times New Roman"/>
          <w:color w:val="000000" w:themeColor="text1"/>
          <w:lang w:val="en-US" w:eastAsia="zh-CN"/>
          <w14:textFill>
            <w14:solidFill>
              <w14:schemeClr w14:val="tx1"/>
            </w14:solidFill>
          </w14:textFill>
        </w:rPr>
        <w:t>排水井泄流能力计算表</w:t>
      </w:r>
    </w:p>
    <w:tbl>
      <w:tblPr>
        <w:tblStyle w:val="30"/>
        <w:tblW w:w="84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1271"/>
        <w:gridCol w:w="1634"/>
        <w:gridCol w:w="1297"/>
        <w:gridCol w:w="1271"/>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水位高程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val="en-US" w:eastAsia="en-US" w:bidi="ar-SA"/>
                <w14:textFill>
                  <w14:solidFill>
                    <w14:schemeClr w14:val="tx1"/>
                  </w14:solidFill>
                </w14:textFill>
              </w:rPr>
              <w:t>泄流水深</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（m）</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5"/>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val="en-US" w:eastAsia="en-US" w:bidi="ar-SA"/>
                <w14:textFill>
                  <w14:solidFill>
                    <w14:schemeClr w14:val="tx1"/>
                  </w14:solidFill>
                </w14:textFill>
              </w:rPr>
              <w:t>泄流能力</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/s）</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水位高程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（m）</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val="en-US" w:eastAsia="en-US" w:bidi="ar-SA"/>
                <w14:textFill>
                  <w14:solidFill>
                    <w14:schemeClr w14:val="tx1"/>
                  </w14:solidFill>
                </w14:textFill>
              </w:rPr>
              <w:t>泄流水深</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（m）</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5"/>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val="en-US" w:eastAsia="en-US" w:bidi="ar-SA"/>
                <w14:textFill>
                  <w14:solidFill>
                    <w14:schemeClr w14:val="tx1"/>
                  </w14:solidFill>
                </w14:textFill>
              </w:rPr>
              <w:t>泄流能力</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270.6</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0</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0.00</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271.9</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1.3</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270.7</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0.1</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0.36</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272.0</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1.4</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270.8</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0.2</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1.11</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272.1</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1.5</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270.9</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0.3</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val="en-US" w:eastAsia="en-US" w:bidi="ar-SA"/>
                <w14:textFill>
                  <w14:solidFill>
                    <w14:schemeClr w14:val="tx1"/>
                  </w14:solidFill>
                </w14:textFill>
              </w:rPr>
              <w:t>2.15</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272.2</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1.6</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271.0</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0.4</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1"/>
                <w:szCs w:val="21"/>
                <w:lang w:val="en-US" w:eastAsia="en-US" w:bidi="ar-SA"/>
                <w14:textFill>
                  <w14:solidFill>
                    <w14:schemeClr w14:val="tx1"/>
                  </w14:solidFill>
                </w14:textFill>
              </w:rPr>
              <w:t>3.06</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272.3</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1.7</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271.1</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0.5</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val="en-US" w:eastAsia="en-US" w:bidi="ar-SA"/>
                <w14:textFill>
                  <w14:solidFill>
                    <w14:schemeClr w14:val="tx1"/>
                  </w14:solidFill>
                </w14:textFill>
              </w:rPr>
              <w:t>4.20</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272.4</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1.8</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271.2</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0.6</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5.43</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7"/>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7"/>
                <w:kern w:val="0"/>
                <w:sz w:val="21"/>
                <w:szCs w:val="21"/>
                <w:lang w:val="en-US" w:eastAsia="zh-CN" w:bidi="ar-SA"/>
                <w14:textFill>
                  <w14:solidFill>
                    <w14:schemeClr w14:val="tx1"/>
                  </w14:solidFill>
                </w14:textFill>
              </w:rPr>
              <w:t>272.5</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1.9</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7.10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271.3</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0.7</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6.45</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272.6</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1"/>
                <w:szCs w:val="21"/>
                <w:lang w:val="en-US" w:eastAsia="en-US" w:bidi="ar-SA"/>
                <w14:textFill>
                  <w14:solidFill>
                    <w14:schemeClr w14:val="tx1"/>
                  </w14:solidFill>
                </w14:textFill>
              </w:rPr>
              <w:t>2.0</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271.4</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0.8</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6.51</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272.7</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1"/>
                <w:szCs w:val="21"/>
                <w:lang w:val="en-US" w:eastAsia="en-US" w:bidi="ar-SA"/>
                <w14:textFill>
                  <w14:solidFill>
                    <w14:schemeClr w14:val="tx1"/>
                  </w14:solidFill>
                </w14:textFill>
              </w:rPr>
              <w:t>2.1</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271.5</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1"/>
                <w:szCs w:val="21"/>
                <w:lang w:val="en-US" w:eastAsia="en-US" w:bidi="ar-SA"/>
                <w14:textFill>
                  <w14:solidFill>
                    <w14:schemeClr w14:val="tx1"/>
                  </w14:solidFill>
                </w14:textFill>
              </w:rPr>
              <w:t>0.9</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6.57</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272.8</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1"/>
                <w:szCs w:val="21"/>
                <w:lang w:val="en-US" w:eastAsia="en-US" w:bidi="ar-SA"/>
                <w14:textFill>
                  <w14:solidFill>
                    <w14:schemeClr w14:val="tx1"/>
                  </w14:solidFill>
                </w14:textFill>
              </w:rPr>
              <w:t>2.2</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271.6</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1.0</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6.63</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272.9</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1"/>
                <w:szCs w:val="21"/>
                <w:lang w:val="en-US" w:eastAsia="en-US" w:bidi="ar-SA"/>
                <w14:textFill>
                  <w14:solidFill>
                    <w14:schemeClr w14:val="tx1"/>
                  </w14:solidFill>
                </w14:textFill>
              </w:rPr>
              <w:t>2.3</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271.7</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1.1</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6.68</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273.0</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1"/>
                <w:szCs w:val="21"/>
                <w:lang w:val="en-US" w:eastAsia="en-US" w:bidi="ar-SA"/>
                <w14:textFill>
                  <w14:solidFill>
                    <w14:schemeClr w14:val="tx1"/>
                  </w14:solidFill>
                </w14:textFill>
              </w:rPr>
              <w:t>2.4</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271.8</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8"/>
                <w:kern w:val="0"/>
                <w:sz w:val="21"/>
                <w:szCs w:val="21"/>
                <w:lang w:val="en-US" w:eastAsia="en-US" w:bidi="ar-SA"/>
                <w14:textFill>
                  <w14:solidFill>
                    <w14:schemeClr w14:val="tx1"/>
                  </w14:solidFill>
                </w14:textFill>
              </w:rPr>
              <w:t>1.2</w:t>
            </w:r>
          </w:p>
        </w:tc>
        <w:tc>
          <w:tcPr>
            <w:tcW w:w="1634"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6.74</w:t>
            </w:r>
          </w:p>
        </w:tc>
        <w:tc>
          <w:tcPr>
            <w:tcW w:w="1297"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273.1</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0"/>
                <w:kern w:val="0"/>
                <w:sz w:val="21"/>
                <w:szCs w:val="21"/>
                <w:lang w:val="en-US" w:eastAsia="en-US" w:bidi="ar-SA"/>
                <w14:textFill>
                  <w14:solidFill>
                    <w14:schemeClr w14:val="tx1"/>
                  </w14:solidFill>
                </w14:textFill>
              </w:rPr>
              <w:t>2.5</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7.39</w:t>
            </w:r>
          </w:p>
        </w:tc>
      </w:tr>
    </w:tbl>
    <w:p>
      <w:pPr>
        <w:numPr>
          <w:ilvl w:val="0"/>
          <w:numId w:val="16"/>
        </w:numPr>
        <w:bidi w:val="0"/>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调洪库容</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现状堆积坝最低处坝顶高程为</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274.0m，滩顶高程为</w:t>
      </w:r>
      <w:r>
        <w:rPr>
          <w:rFonts w:hint="eastAsia"/>
          <w:color w:val="000000" w:themeColor="text1"/>
          <w:lang w:val="en-US" w:eastAsia="zh-CN"/>
          <w14:textFill>
            <w14:solidFill>
              <w14:schemeClr w14:val="tx1"/>
            </w14:solidFill>
          </w14:textFill>
        </w:rPr>
        <w:t>+272.70</w:t>
      </w:r>
      <w:r>
        <w:rPr>
          <w:rFonts w:hint="eastAsia"/>
          <w:color w:val="000000" w:themeColor="text1"/>
          <w14:textFill>
            <w14:solidFill>
              <w14:schemeClr w14:val="tx1"/>
            </w14:solidFill>
          </w14:textFill>
        </w:rPr>
        <w:t>m，库内水位高程为</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270.6m，干滩长度218m，干滩坡度约1.6%，据此数据及地形图计算尾矿库调洪库容，调洪库容见表</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13</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表5-13 现状尾矿库调洪库容</w:t>
      </w:r>
    </w:p>
    <w:tbl>
      <w:tblPr>
        <w:tblStyle w:val="30"/>
        <w:tblW w:w="84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1271"/>
        <w:gridCol w:w="1271"/>
        <w:gridCol w:w="1660"/>
        <w:gridCol w:w="1271"/>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水位高程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4"/>
                <w:szCs w:val="24"/>
                <w:lang w:val="en-US" w:eastAsia="en-US" w:bidi="ar-SA"/>
                <w14:textFill>
                  <w14:solidFill>
                    <w14:schemeClr w14:val="tx1"/>
                  </w14:solidFill>
                </w14:textFill>
              </w:rPr>
              <w:t>调洪深度</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4"/>
                <w:szCs w:val="24"/>
                <w:lang w:val="en-US" w:eastAsia="en-US" w:bidi="ar-SA"/>
                <w14:textFill>
                  <w14:solidFill>
                    <w14:schemeClr w14:val="tx1"/>
                  </w14:solidFill>
                </w14:textFill>
              </w:rPr>
              <w:t>调洪库容</w:t>
            </w:r>
            <w:r>
              <w:rPr>
                <w:rFonts w:hint="default" w:ascii="Times New Roman" w:hAnsi="Times New Roman" w:eastAsia="宋体" w:cs="Times New Roman"/>
                <w:snapToGrid w:val="0"/>
                <w:color w:val="000000" w:themeColor="text1"/>
                <w:spacing w:val="1"/>
                <w:kern w:val="0"/>
                <w:sz w:val="24"/>
                <w:szCs w:val="24"/>
                <w:lang w:val="en-US" w:eastAsia="en-US" w:bidi="ar-SA"/>
                <w14:textFill>
                  <w14:solidFill>
                    <w14:schemeClr w14:val="tx1"/>
                  </w14:solidFill>
                </w14:textFill>
              </w:rPr>
              <w:t xml:space="preserve"> </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1"/>
                <w:kern w:val="0"/>
                <w:sz w:val="24"/>
                <w:szCs w:val="24"/>
                <w:lang w:val="en-US" w:eastAsia="zh-CN" w:bidi="ar-SA"/>
                <w14:textFill>
                  <w14:solidFill>
                    <w14:schemeClr w14:val="tx1"/>
                  </w14:solidFill>
                </w14:textFill>
              </w:rPr>
              <w:t>V</w:t>
            </w:r>
            <w:r>
              <w:rPr>
                <w:rFonts w:hint="eastAsia" w:ascii="Times New Roman" w:hAnsi="Times New Roman" w:eastAsia="宋体" w:cs="Times New Roman"/>
                <w:snapToGrid w:val="0"/>
                <w:color w:val="000000" w:themeColor="text1"/>
                <w:spacing w:val="1"/>
                <w:kern w:val="0"/>
                <w:sz w:val="24"/>
                <w:szCs w:val="24"/>
                <w:vertAlign w:val="subscript"/>
                <w:lang w:val="en-US" w:eastAsia="zh-CN" w:bidi="ar-SA"/>
                <w14:textFill>
                  <w14:solidFill>
                    <w14:schemeClr w14:val="tx1"/>
                  </w14:solidFill>
                </w14:textFill>
              </w:rPr>
              <w:t>t</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水位高程</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4"/>
                <w:szCs w:val="24"/>
                <w:lang w:val="en-US" w:eastAsia="en-US" w:bidi="ar-SA"/>
                <w14:textFill>
                  <w14:solidFill>
                    <w14:schemeClr w14:val="tx1"/>
                  </w14:solidFill>
                </w14:textFill>
              </w:rPr>
              <w:t>调洪深度</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7"/>
                <w:kern w:val="0"/>
                <w:sz w:val="24"/>
                <w:szCs w:val="24"/>
                <w:lang w:val="en-US" w:eastAsia="en-US" w:bidi="ar-SA"/>
                <w14:textFill>
                  <w14:solidFill>
                    <w14:schemeClr w14:val="tx1"/>
                  </w14:solidFill>
                </w14:textFill>
              </w:rPr>
              <w:t>调洪库容</w:t>
            </w:r>
            <w:r>
              <w:rPr>
                <w:rFonts w:hint="default" w:ascii="Times New Roman" w:hAnsi="Times New Roman" w:eastAsia="宋体" w:cs="Times New Roman"/>
                <w:snapToGrid w:val="0"/>
                <w:color w:val="000000" w:themeColor="text1"/>
                <w:spacing w:val="1"/>
                <w:kern w:val="0"/>
                <w:sz w:val="24"/>
                <w:szCs w:val="24"/>
                <w:lang w:val="en-US" w:eastAsia="en-US" w:bidi="ar-SA"/>
                <w14:textFill>
                  <w14:solidFill>
                    <w14:schemeClr w14:val="tx1"/>
                  </w14:solidFill>
                </w14:textFill>
              </w:rPr>
              <w:t xml:space="preserve"> </w:t>
            </w:r>
            <w:r>
              <w:rPr>
                <w:rFonts w:hint="eastAsia" w:ascii="Times New Roman" w:hAnsi="Times New Roman" w:eastAsia="宋体" w:cs="Times New Roman"/>
                <w:snapToGrid w:val="0"/>
                <w:color w:val="000000" w:themeColor="text1"/>
                <w:spacing w:val="1"/>
                <w:kern w:val="0"/>
                <w:sz w:val="24"/>
                <w:szCs w:val="24"/>
                <w:lang w:val="en-US" w:eastAsia="zh-CN" w:bidi="ar-SA"/>
                <w14:textFill>
                  <w14:solidFill>
                    <w14:schemeClr w14:val="tx1"/>
                  </w14:solidFill>
                </w14:textFill>
              </w:rPr>
              <w:t>V</w:t>
            </w:r>
            <w:r>
              <w:rPr>
                <w:rFonts w:hint="eastAsia" w:ascii="Times New Roman" w:hAnsi="Times New Roman" w:eastAsia="宋体" w:cs="Times New Roman"/>
                <w:snapToGrid w:val="0"/>
                <w:color w:val="000000" w:themeColor="text1"/>
                <w:spacing w:val="1"/>
                <w:kern w:val="0"/>
                <w:sz w:val="24"/>
                <w:szCs w:val="24"/>
                <w:vertAlign w:val="subscript"/>
                <w:lang w:val="en-US" w:eastAsia="zh-CN" w:bidi="ar-SA"/>
                <w14:textFill>
                  <w14:solidFill>
                    <w14:schemeClr w14:val="tx1"/>
                  </w14:solidFill>
                </w14:textFill>
              </w:rPr>
              <w:t>t</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3"/>
                <w:kern w:val="0"/>
                <w:sz w:val="24"/>
                <w:szCs w:val="24"/>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4"/>
                <w:szCs w:val="24"/>
                <w:lang w:val="en-US" w:eastAsia="zh-CN" w:bidi="ar-SA"/>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270.6</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0.0</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271.9</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1.3</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19966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270.7</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0.1</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542</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272.0</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1.4</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22008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270.8</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0.2</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1084</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272.1</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1.5</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26815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270.9</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0.3</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1653</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272.2</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1.6</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31623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271.0</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0.4</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2222</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272.3</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1.7</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36430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271.1</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0.5</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4137</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272.4</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1.8</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41334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271.2</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0.6</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6052</w:t>
            </w:r>
          </w:p>
        </w:tc>
        <w:tc>
          <w:tcPr>
            <w:tcW w:w="1660"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272.5</w:t>
            </w:r>
          </w:p>
        </w:tc>
        <w:tc>
          <w:tcPr>
            <w:tcW w:w="1271"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1.9</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46238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271.3</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0.7</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7966</w:t>
            </w:r>
          </w:p>
        </w:tc>
        <w:tc>
          <w:tcPr>
            <w:tcW w:w="1660"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272.6</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2.0</w:t>
            </w:r>
          </w:p>
        </w:tc>
        <w:tc>
          <w:tcPr>
            <w:tcW w:w="1269"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51141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271.4</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0.8</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9924</w:t>
            </w:r>
          </w:p>
        </w:tc>
        <w:tc>
          <w:tcPr>
            <w:tcW w:w="1660"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272.7</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2.1</w:t>
            </w:r>
          </w:p>
        </w:tc>
        <w:tc>
          <w:tcPr>
            <w:tcW w:w="1269"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56237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271.5</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0.9</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11881</w:t>
            </w:r>
          </w:p>
        </w:tc>
        <w:tc>
          <w:tcPr>
            <w:tcW w:w="1660"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272.8</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2.2</w:t>
            </w:r>
          </w:p>
        </w:tc>
        <w:tc>
          <w:tcPr>
            <w:tcW w:w="1269"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61333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271.6</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1.0</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13838</w:t>
            </w:r>
          </w:p>
        </w:tc>
        <w:tc>
          <w:tcPr>
            <w:tcW w:w="1660"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272.9</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2.3</w:t>
            </w:r>
          </w:p>
        </w:tc>
        <w:tc>
          <w:tcPr>
            <w:tcW w:w="1269"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66429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271.7</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1.1</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15881</w:t>
            </w:r>
          </w:p>
        </w:tc>
        <w:tc>
          <w:tcPr>
            <w:tcW w:w="1660"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273.0</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2.4</w:t>
            </w:r>
          </w:p>
        </w:tc>
        <w:tc>
          <w:tcPr>
            <w:tcW w:w="1269"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71525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72"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271.8</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1.2</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17923</w:t>
            </w:r>
          </w:p>
        </w:tc>
        <w:tc>
          <w:tcPr>
            <w:tcW w:w="1660"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273.1</w:t>
            </w:r>
          </w:p>
        </w:tc>
        <w:tc>
          <w:tcPr>
            <w:tcW w:w="1271"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2.5</w:t>
            </w:r>
          </w:p>
        </w:tc>
        <w:tc>
          <w:tcPr>
            <w:tcW w:w="1269" w:type="dxa"/>
            <w:vAlign w:val="top"/>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en-US" w:bidi="ar-SA"/>
                <w14:textFill>
                  <w14:solidFill>
                    <w14:schemeClr w14:val="tx1"/>
                  </w14:solidFill>
                </w14:textFill>
              </w:rPr>
              <w:t>79466</w:t>
            </w:r>
          </w:p>
        </w:tc>
      </w:tr>
    </w:tbl>
    <w:p>
      <w:pPr>
        <w:numPr>
          <w:ilvl w:val="0"/>
          <w:numId w:val="16"/>
        </w:numPr>
        <w:bidi w:val="0"/>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调洪演算原理</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尾矿库调洪演算，可根据来水过程线和排水构筑物的泄水量与尾矿库的调洪库容关系曲线，通过水量平衡计算求出泄洪过程线，从而定出泄流量和调洪库容。尾矿库内任一时段</w:t>
      </w:r>
      <w:r>
        <w:rPr>
          <w:rFonts w:hint="default" w:ascii="Times New Roman" w:hAnsi="Times New Roman" w:cs="Times New Roman"/>
          <w:color w:val="000000" w:themeColor="text1"/>
          <w:lang w:val="en-US" w:eastAsia="zh-CN"/>
          <w14:textFill>
            <w14:solidFill>
              <w14:schemeClr w14:val="tx1"/>
            </w14:solidFill>
          </w14:textFill>
        </w:rPr>
        <w:t>Δt</w:t>
      </w:r>
      <w:r>
        <w:rPr>
          <w:rFonts w:hint="eastAsia"/>
          <w:color w:val="000000" w:themeColor="text1"/>
          <w:lang w:val="en-US" w:eastAsia="zh-CN"/>
          <w14:textFill>
            <w14:solidFill>
              <w14:schemeClr w14:val="tx1"/>
            </w14:solidFill>
          </w14:textFill>
        </w:rPr>
        <w:t>的水量平衡方程式为：</w:t>
      </w:r>
    </w:p>
    <w:p>
      <w:pPr>
        <w:bidi w:val="0"/>
        <w:rPr>
          <w:rFonts w:hAnsi="Cambria Math"/>
          <w:i w:val="0"/>
          <w:color w:val="000000" w:themeColor="text1"/>
          <w:lang w:val="en-US"/>
          <w14:textFill>
            <w14:solidFill>
              <w14:schemeClr w14:val="tx1"/>
            </w14:solidFill>
          </w14:textFill>
        </w:rPr>
      </w:pPr>
      <m:oMathPara>
        <m:oMath>
          <m:f>
            <m:fPr>
              <m:ctrlPr>
                <w:rPr>
                  <w:rFonts w:ascii="Cambria Math" w:hAnsi="Cambria Math"/>
                  <w:i/>
                  <w:color w:val="000000" w:themeColor="text1"/>
                  <w:lang w:val="en-US"/>
                  <w14:textFill>
                    <w14:solidFill>
                      <w14:schemeClr w14:val="tx1"/>
                    </w14:solidFill>
                  </w14:textFill>
                </w:rPr>
              </m:ctrlPr>
            </m:fPr>
            <m:num>
              <m:r>
                <m:rPr/>
                <w:rPr>
                  <w:rFonts w:hint="default" w:ascii="Cambria Math" w:hAnsi="Cambria Math"/>
                  <w:color w:val="000000" w:themeColor="text1"/>
                  <w:lang w:val="en-US" w:eastAsia="zh-CN"/>
                  <w14:textFill>
                    <w14:solidFill>
                      <w14:schemeClr w14:val="tx1"/>
                    </w14:solidFill>
                  </w14:textFill>
                </w:rPr>
                <m:t>1</m:t>
              </m:r>
              <m:ctrlPr>
                <w:rPr>
                  <w:rFonts w:ascii="Cambria Math" w:hAnsi="Cambria Math"/>
                  <w:i/>
                  <w:color w:val="000000" w:themeColor="text1"/>
                  <w:lang w:val="en-US"/>
                  <w14:textFill>
                    <w14:solidFill>
                      <w14:schemeClr w14:val="tx1"/>
                    </w14:solidFill>
                  </w14:textFill>
                </w:rPr>
              </m:ctrlPr>
            </m:num>
            <m:den>
              <m:r>
                <m:rPr/>
                <w:rPr>
                  <w:rFonts w:hint="default" w:ascii="Cambria Math" w:hAnsi="Cambria Math"/>
                  <w:color w:val="000000" w:themeColor="text1"/>
                  <w:lang w:val="en-US" w:eastAsia="zh-CN"/>
                  <w14:textFill>
                    <w14:solidFill>
                      <w14:schemeClr w14:val="tx1"/>
                    </w14:solidFill>
                  </w14:textFill>
                </w:rPr>
                <m:t>2</m:t>
              </m:r>
              <m:ctrlPr>
                <w:rPr>
                  <w:rFonts w:ascii="Cambria Math" w:hAnsi="Cambria Math"/>
                  <w:i/>
                  <w:color w:val="000000" w:themeColor="text1"/>
                  <w:lang w:val="en-US"/>
                  <w14:textFill>
                    <w14:solidFill>
                      <w14:schemeClr w14:val="tx1"/>
                    </w14:solidFill>
                  </w14:textFill>
                </w:rPr>
              </m:ctrlPr>
            </m:den>
          </m:f>
          <m:d>
            <m:dPr>
              <m:ctrlPr>
                <w:rPr>
                  <w:rFonts w:ascii="Cambria Math" w:hAnsi="Cambria Math"/>
                  <w:i/>
                  <w:color w:val="000000" w:themeColor="text1"/>
                  <w:lang w:val="en-US"/>
                  <w14:textFill>
                    <w14:solidFill>
                      <w14:schemeClr w14:val="tx1"/>
                    </w14:solidFill>
                  </w14:textFill>
                </w:rPr>
              </m:ctrlPr>
            </m:dPr>
            <m:e>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s</m:t>
                  </m:r>
                  <m:ctrlPr>
                    <w:rPr>
                      <w:rFonts w:ascii="Cambria Math" w:hAnsi="Cambria Math"/>
                      <w:i/>
                      <w:color w:val="000000" w:themeColor="text1"/>
                      <w:lang w:val="en-US"/>
                      <w14:textFill>
                        <w14:solidFill>
                          <w14:schemeClr w14:val="tx1"/>
                        </w14:solidFill>
                      </w14:textFill>
                    </w:rPr>
                  </m:ctrlPr>
                </m:sub>
              </m:sSub>
              <m:r>
                <m:rPr/>
                <w:rPr>
                  <w:rFonts w:ascii="Cambria Math" w:hAnsi="Cambria Math"/>
                  <w:color w:val="000000" w:themeColor="text1"/>
                  <w:lang w:val="en-US"/>
                  <w14:textFill>
                    <w14:solidFill>
                      <w14:schemeClr w14:val="tx1"/>
                    </w14:solidFill>
                  </w14:textFill>
                </w:rPr>
                <m:t>+</m:t>
              </m:r>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z</m:t>
                  </m:r>
                  <m:ctrlPr>
                    <w:rPr>
                      <w:rFonts w:ascii="Cambria Math" w:hAnsi="Cambria Math"/>
                      <w:i/>
                      <w:color w:val="000000" w:themeColor="text1"/>
                      <w:lang w:val="en-US"/>
                      <w14:textFill>
                        <w14:solidFill>
                          <w14:schemeClr w14:val="tx1"/>
                        </w14:solidFill>
                      </w14:textFill>
                    </w:rPr>
                  </m:ctrlPr>
                </m:sub>
              </m:sSub>
              <m:ctrlPr>
                <w:rPr>
                  <w:rFonts w:ascii="Cambria Math" w:hAnsi="Cambria Math"/>
                  <w:i/>
                  <w:color w:val="000000" w:themeColor="text1"/>
                  <w:lang w:val="en-US"/>
                  <w14:textFill>
                    <w14:solidFill>
                      <w14:schemeClr w14:val="tx1"/>
                    </w14:solidFill>
                  </w14:textFill>
                </w:rPr>
              </m:ctrlPr>
            </m:e>
          </m:d>
          <m:r>
            <m:rPr/>
            <w:rPr>
              <w:rFonts w:hint="default" w:ascii="Cambria Math" w:hAnsi="Cambria Math" w:cs="Cambria Math"/>
              <w:color w:val="000000" w:themeColor="text1"/>
              <w:lang w:val="en-US"/>
              <w14:textFill>
                <w14:solidFill>
                  <w14:schemeClr w14:val="tx1"/>
                </w14:solidFill>
              </w14:textFill>
            </w:rPr>
            <m:t>∆</m:t>
          </m:r>
          <m:r>
            <m:rPr/>
            <w:rPr>
              <w:rFonts w:hint="default" w:ascii="Cambria Math" w:hAnsi="Cambria Math" w:cs="Cambria Math"/>
              <w:color w:val="000000" w:themeColor="text1"/>
              <w:lang w:val="en-US" w:eastAsia="zh-CN"/>
              <w14:textFill>
                <w14:solidFill>
                  <w14:schemeClr w14:val="tx1"/>
                </w14:solidFill>
              </w14:textFill>
            </w:rPr>
            <m:t>t−</m:t>
          </m:r>
          <m:f>
            <m:fPr>
              <m:ctrlPr>
                <w:rPr>
                  <w:rFonts w:ascii="Cambria Math" w:hAnsi="Cambria Math"/>
                  <w:i/>
                  <w:color w:val="000000" w:themeColor="text1"/>
                  <w:lang w:val="en-US"/>
                  <w14:textFill>
                    <w14:solidFill>
                      <w14:schemeClr w14:val="tx1"/>
                    </w14:solidFill>
                  </w14:textFill>
                </w:rPr>
              </m:ctrlPr>
            </m:fPr>
            <m:num>
              <m:r>
                <m:rPr/>
                <w:rPr>
                  <w:rFonts w:hint="default" w:ascii="Cambria Math" w:hAnsi="Cambria Math"/>
                  <w:color w:val="000000" w:themeColor="text1"/>
                  <w:lang w:val="en-US" w:eastAsia="zh-CN"/>
                  <w14:textFill>
                    <w14:solidFill>
                      <w14:schemeClr w14:val="tx1"/>
                    </w14:solidFill>
                  </w14:textFill>
                </w:rPr>
                <m:t>1</m:t>
              </m:r>
              <m:ctrlPr>
                <w:rPr>
                  <w:rFonts w:ascii="Cambria Math" w:hAnsi="Cambria Math"/>
                  <w:i/>
                  <w:color w:val="000000" w:themeColor="text1"/>
                  <w:lang w:val="en-US"/>
                  <w14:textFill>
                    <w14:solidFill>
                      <w14:schemeClr w14:val="tx1"/>
                    </w14:solidFill>
                  </w14:textFill>
                </w:rPr>
              </m:ctrlPr>
            </m:num>
            <m:den>
              <m:r>
                <m:rPr/>
                <w:rPr>
                  <w:rFonts w:hint="default" w:ascii="Cambria Math" w:hAnsi="Cambria Math"/>
                  <w:color w:val="000000" w:themeColor="text1"/>
                  <w:lang w:val="en-US" w:eastAsia="zh-CN"/>
                  <w14:textFill>
                    <w14:solidFill>
                      <w14:schemeClr w14:val="tx1"/>
                    </w14:solidFill>
                  </w14:textFill>
                </w:rPr>
                <m:t>2</m:t>
              </m:r>
              <m:ctrlPr>
                <w:rPr>
                  <w:rFonts w:ascii="Cambria Math" w:hAnsi="Cambria Math"/>
                  <w:i/>
                  <w:color w:val="000000" w:themeColor="text1"/>
                  <w:lang w:val="en-US"/>
                  <w14:textFill>
                    <w14:solidFill>
                      <w14:schemeClr w14:val="tx1"/>
                    </w14:solidFill>
                  </w14:textFill>
                </w:rPr>
              </m:ctrlPr>
            </m:den>
          </m:f>
          <m:d>
            <m:dPr>
              <m:ctrlPr>
                <w:rPr>
                  <w:rFonts w:ascii="Cambria Math" w:hAnsi="Cambria Math"/>
                  <w:i/>
                  <w:color w:val="000000" w:themeColor="text1"/>
                  <w:lang w:val="en-US"/>
                  <w14:textFill>
                    <w14:solidFill>
                      <w14:schemeClr w14:val="tx1"/>
                    </w14:solidFill>
                  </w14:textFill>
                </w:rPr>
              </m:ctrlPr>
            </m:dPr>
            <m:e>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s</m:t>
                  </m:r>
                  <m:ctrlPr>
                    <w:rPr>
                      <w:rFonts w:ascii="Cambria Math" w:hAnsi="Cambria Math"/>
                      <w:i/>
                      <w:color w:val="000000" w:themeColor="text1"/>
                      <w:lang w:val="en-US"/>
                      <w14:textFill>
                        <w14:solidFill>
                          <w14:schemeClr w14:val="tx1"/>
                        </w14:solidFill>
                      </w14:textFill>
                    </w:rPr>
                  </m:ctrlPr>
                </m:sub>
              </m:sSub>
              <m:r>
                <m:rPr/>
                <w:rPr>
                  <w:rFonts w:ascii="Cambria Math" w:hAnsi="Cambria Math"/>
                  <w:color w:val="000000" w:themeColor="text1"/>
                  <w:lang w:val="en-US"/>
                  <w14:textFill>
                    <w14:solidFill>
                      <w14:schemeClr w14:val="tx1"/>
                    </w14:solidFill>
                  </w14:textFill>
                </w:rPr>
                <m:t>+</m:t>
              </m:r>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q</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z</m:t>
                  </m:r>
                  <m:ctrlPr>
                    <w:rPr>
                      <w:rFonts w:ascii="Cambria Math" w:hAnsi="Cambria Math"/>
                      <w:i/>
                      <w:color w:val="000000" w:themeColor="text1"/>
                      <w:lang w:val="en-US"/>
                      <w14:textFill>
                        <w14:solidFill>
                          <w14:schemeClr w14:val="tx1"/>
                        </w14:solidFill>
                      </w14:textFill>
                    </w:rPr>
                  </m:ctrlPr>
                </m:sub>
              </m:sSub>
              <m:ctrlPr>
                <w:rPr>
                  <w:rFonts w:ascii="Cambria Math" w:hAnsi="Cambria Math"/>
                  <w:i/>
                  <w:color w:val="000000" w:themeColor="text1"/>
                  <w:lang w:val="en-US"/>
                  <w14:textFill>
                    <w14:solidFill>
                      <w14:schemeClr w14:val="tx1"/>
                    </w14:solidFill>
                  </w14:textFill>
                </w:rPr>
              </m:ctrlPr>
            </m:e>
          </m:d>
          <m:r>
            <m:rPr/>
            <w:rPr>
              <w:rFonts w:hint="default" w:ascii="Cambria Math" w:hAnsi="Cambria Math" w:cs="Cambria Math"/>
              <w:color w:val="000000" w:themeColor="text1"/>
              <w:lang w:val="en-US"/>
              <w14:textFill>
                <w14:solidFill>
                  <w14:schemeClr w14:val="tx1"/>
                </w14:solidFill>
              </w14:textFill>
            </w:rPr>
            <m:t>∆</m:t>
          </m:r>
          <m:r>
            <m:rPr/>
            <w:rPr>
              <w:rFonts w:hint="default" w:ascii="Cambria Math" w:hAnsi="Cambria Math" w:cs="Cambria Math"/>
              <w:color w:val="000000" w:themeColor="text1"/>
              <w:lang w:val="en-US" w:eastAsia="zh-CN"/>
              <w14:textFill>
                <w14:solidFill>
                  <w14:schemeClr w14:val="tx1"/>
                </w14:solidFill>
              </w14:textFill>
            </w:rPr>
            <m:t>t=</m:t>
          </m:r>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V</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z</m:t>
              </m:r>
              <m:ctrlPr>
                <w:rPr>
                  <w:rFonts w:ascii="Cambria Math" w:hAnsi="Cambria Math"/>
                  <w:i/>
                  <w:color w:val="000000" w:themeColor="text1"/>
                  <w:lang w:val="en-US"/>
                  <w14:textFill>
                    <w14:solidFill>
                      <w14:schemeClr w14:val="tx1"/>
                    </w14:solidFill>
                  </w14:textFill>
                </w:rPr>
              </m:ctrlPr>
            </m:sub>
          </m:sSub>
          <m:r>
            <m:rPr/>
            <w:rPr>
              <w:rFonts w:ascii="Cambria Math" w:hAnsi="Cambria Math"/>
              <w:color w:val="000000" w:themeColor="text1"/>
              <w:lang w:val="en-US"/>
              <w14:textFill>
                <w14:solidFill>
                  <w14:schemeClr w14:val="tx1"/>
                </w14:solidFill>
              </w14:textFill>
            </w:rPr>
            <m:t>+</m:t>
          </m:r>
          <m:sSub>
            <m:sSubPr>
              <m:ctrlPr>
                <w:rPr>
                  <w:rFonts w:ascii="Cambria Math" w:hAnsi="Cambria Math"/>
                  <w:i/>
                  <w:color w:val="000000" w:themeColor="text1"/>
                  <w:lang w:val="en-US"/>
                  <w14:textFill>
                    <w14:solidFill>
                      <w14:schemeClr w14:val="tx1"/>
                    </w14:solidFill>
                  </w14:textFill>
                </w:rPr>
              </m:ctrlPr>
            </m:sSubPr>
            <m:e>
              <m:r>
                <m:rPr/>
                <w:rPr>
                  <w:rFonts w:hint="default" w:ascii="Cambria Math" w:hAnsi="Cambria Math"/>
                  <w:color w:val="000000" w:themeColor="text1"/>
                  <w:lang w:val="en-US" w:eastAsia="zh-CN"/>
                  <w14:textFill>
                    <w14:solidFill>
                      <w14:schemeClr w14:val="tx1"/>
                    </w14:solidFill>
                  </w14:textFill>
                </w:rPr>
                <m:t>V</m:t>
              </m:r>
              <m:ctrlPr>
                <w:rPr>
                  <w:rFonts w:ascii="Cambria Math" w:hAnsi="Cambria Math"/>
                  <w:i/>
                  <w:color w:val="000000" w:themeColor="text1"/>
                  <w:lang w:val="en-US"/>
                  <w14:textFill>
                    <w14:solidFill>
                      <w14:schemeClr w14:val="tx1"/>
                    </w14:solidFill>
                  </w14:textFill>
                </w:rPr>
              </m:ctrlPr>
            </m:e>
            <m:sub>
              <m:r>
                <m:rPr/>
                <w:rPr>
                  <w:rFonts w:hint="default" w:ascii="Cambria Math" w:hAnsi="Cambria Math"/>
                  <w:color w:val="000000" w:themeColor="text1"/>
                  <w:lang w:val="en-US" w:eastAsia="zh-CN"/>
                  <w14:textFill>
                    <w14:solidFill>
                      <w14:schemeClr w14:val="tx1"/>
                    </w14:solidFill>
                  </w14:textFill>
                </w:rPr>
                <m:t>s</m:t>
              </m:r>
              <m:ctrlPr>
                <w:rPr>
                  <w:rFonts w:ascii="Cambria Math" w:hAnsi="Cambria Math"/>
                  <w:i/>
                  <w:color w:val="000000" w:themeColor="text1"/>
                  <w:lang w:val="en-US"/>
                  <w14:textFill>
                    <w14:solidFill>
                      <w14:schemeClr w14:val="tx1"/>
                    </w14:solidFill>
                  </w14:textFill>
                </w:rPr>
              </m:ctrlPr>
            </m:sub>
          </m:sSub>
        </m:oMath>
      </m:oMathPara>
    </w:p>
    <w:p>
      <w:pPr>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式中</w:t>
      </w:r>
      <w:r>
        <w:rPr>
          <w:rFonts w:hint="eastAsia" w:ascii="Times New Roman" w:hAnsi="Times New Roman" w:eastAsia="宋体" w:cs="Times New Roman"/>
          <w:color w:val="000000" w:themeColor="text1"/>
          <w:lang w:val="en-US" w:eastAsia="zh-CN"/>
          <w14:textFill>
            <w14:solidFill>
              <w14:schemeClr w14:val="tx1"/>
            </w14:solidFill>
          </w14:textFill>
        </w:rPr>
        <w:t>：</w:t>
      </w:r>
    </w:p>
    <w:p>
      <w:pPr>
        <w:bidi w:val="0"/>
        <w:ind w:firstLine="1120" w:firstLineChars="40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Q</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lang w:val="en-US" w:eastAsia="zh-CN"/>
          <w14:textFill>
            <w14:solidFill>
              <w14:schemeClr w14:val="tx1"/>
            </w14:solidFill>
          </w14:textFill>
        </w:rPr>
        <w:t>、Q</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z</w:t>
      </w:r>
      <m:oMath>
        <m:r>
          <m:rPr>
            <m:sty m:val="p"/>
          </m:rPr>
          <w:rPr>
            <w:rFonts w:hint="default" w:ascii="Cambria Math" w:hAnsi="Cambria Math"/>
            <w:color w:val="000000" w:themeColor="text1"/>
            <w:lang w:val="en-US" w:eastAsia="zh-CN"/>
            <w14:textFill>
              <w14:solidFill>
                <w14:schemeClr w14:val="tx1"/>
              </w14:solidFill>
            </w14:textFill>
          </w:rPr>
          <m:t>−−</m:t>
        </m:r>
      </m:oMath>
      <w:r>
        <w:rPr>
          <w:rFonts w:hint="default" w:ascii="Times New Roman" w:hAnsi="Times New Roman" w:eastAsia="宋体" w:cs="Times New Roman"/>
          <w:color w:val="000000" w:themeColor="text1"/>
          <w:lang w:val="en-US" w:eastAsia="zh-CN"/>
          <w14:textFill>
            <w14:solidFill>
              <w14:schemeClr w14:val="tx1"/>
            </w14:solidFill>
          </w14:textFill>
        </w:rPr>
        <w:t>时段始、终尾矿库的来洪流量，m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/s</w:t>
      </w:r>
      <w:r>
        <w:rPr>
          <w:rFonts w:hint="eastAsia" w:ascii="Times New Roman" w:hAnsi="Times New Roman" w:eastAsia="宋体" w:cs="Times New Roman"/>
          <w:color w:val="000000" w:themeColor="text1"/>
          <w:lang w:val="en-US" w:eastAsia="zh-CN"/>
          <w14:textFill>
            <w14:solidFill>
              <w14:schemeClr w14:val="tx1"/>
            </w14:solidFill>
          </w14:textFill>
        </w:rPr>
        <w:t>；</w:t>
      </w:r>
    </w:p>
    <w:p>
      <w:pPr>
        <w:bidi w:val="0"/>
        <w:ind w:firstLine="1120" w:firstLineChars="40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q</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lang w:val="en-US" w:eastAsia="zh-CN"/>
          <w14:textFill>
            <w14:solidFill>
              <w14:schemeClr w14:val="tx1"/>
            </w14:solidFill>
          </w14:textFill>
        </w:rPr>
        <w:t>、q</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z</w:t>
      </w:r>
      <m:oMath>
        <m:r>
          <m:rPr>
            <m:sty m:val="p"/>
          </m:rPr>
          <w:rPr>
            <w:rFonts w:hint="default" w:ascii="Cambria Math" w:hAnsi="Cambria Math"/>
            <w:color w:val="000000" w:themeColor="text1"/>
            <w:lang w:val="en-US" w:eastAsia="zh-CN"/>
            <w14:textFill>
              <w14:solidFill>
                <w14:schemeClr w14:val="tx1"/>
              </w14:solidFill>
            </w14:textFill>
          </w:rPr>
          <m:t>−−</m:t>
        </m:r>
      </m:oMath>
      <w:r>
        <w:rPr>
          <w:rFonts w:hint="default" w:ascii="Times New Roman" w:hAnsi="Times New Roman" w:eastAsia="宋体" w:cs="Times New Roman"/>
          <w:color w:val="000000" w:themeColor="text1"/>
          <w:lang w:val="en-US" w:eastAsia="zh-CN"/>
          <w14:textFill>
            <w14:solidFill>
              <w14:schemeClr w14:val="tx1"/>
            </w14:solidFill>
          </w14:textFill>
        </w:rPr>
        <w:t>时段始、终尾矿库的泄洪流量，m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/s</w:t>
      </w:r>
      <w:r>
        <w:rPr>
          <w:rFonts w:hint="eastAsia" w:ascii="Times New Roman" w:hAnsi="Times New Roman" w:eastAsia="宋体" w:cs="Times New Roman"/>
          <w:color w:val="000000" w:themeColor="text1"/>
          <w:lang w:val="en-US" w:eastAsia="zh-CN"/>
          <w14:textFill>
            <w14:solidFill>
              <w14:schemeClr w14:val="tx1"/>
            </w14:solidFill>
          </w14:textFill>
        </w:rPr>
        <w:t>；</w:t>
      </w:r>
    </w:p>
    <w:p>
      <w:pPr>
        <w:bidi w:val="0"/>
        <w:ind w:firstLine="1120" w:firstLineChars="4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V</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lang w:val="en-US" w:eastAsia="zh-CN"/>
          <w14:textFill>
            <w14:solidFill>
              <w14:schemeClr w14:val="tx1"/>
            </w14:solidFill>
          </w14:textFill>
        </w:rPr>
        <w:t>、V</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z</w:t>
      </w:r>
      <m:oMath>
        <m:r>
          <m:rPr>
            <m:sty m:val="p"/>
          </m:rPr>
          <w:rPr>
            <w:rFonts w:hint="default" w:ascii="Cambria Math" w:hAnsi="Cambria Math"/>
            <w:color w:val="000000" w:themeColor="text1"/>
            <w:lang w:val="en-US" w:eastAsia="zh-CN"/>
            <w14:textFill>
              <w14:solidFill>
                <w14:schemeClr w14:val="tx1"/>
              </w14:solidFill>
            </w14:textFill>
          </w:rPr>
          <m:t>−−</m:t>
        </m:r>
      </m:oMath>
      <w:r>
        <w:rPr>
          <w:rFonts w:hint="default" w:ascii="Times New Roman" w:hAnsi="Times New Roman" w:eastAsia="宋体" w:cs="Times New Roman"/>
          <w:color w:val="000000" w:themeColor="text1"/>
          <w:lang w:val="en-US" w:eastAsia="zh-CN"/>
          <w14:textFill>
            <w14:solidFill>
              <w14:schemeClr w14:val="tx1"/>
            </w14:solidFill>
          </w14:textFill>
        </w:rPr>
        <w:t>时段始、终尾矿库的蓄洪量，m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w:t>
      </w:r>
    </w:p>
    <w:p>
      <w:pPr>
        <w:numPr>
          <w:ilvl w:val="0"/>
          <w:numId w:val="16"/>
        </w:numPr>
        <w:bidi w:val="0"/>
        <w:ind w:left="0" w:leftChars="0" w:firstLine="56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调洪演算</w:t>
      </w:r>
      <w:r>
        <w:rPr>
          <w:rFonts w:hint="eastAsia" w:hAnsi="Cambria Math"/>
          <w:i w:val="0"/>
          <w:color w:val="000000" w:themeColor="text1"/>
          <w:lang w:val="en-US" w:eastAsia="zh-CN"/>
          <w14:textFill>
            <w14:solidFill>
              <w14:schemeClr w14:val="tx1"/>
            </w14:solidFill>
          </w14:textFill>
        </w:rPr>
        <w:t>结果</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根据上节所述公式进行调洪演算，调洪演算结果详见表</w:t>
      </w:r>
      <w:r>
        <w:rPr>
          <w:rFonts w:hint="eastAsia"/>
          <w:color w:val="000000" w:themeColor="text1"/>
          <w:lang w:val="en-US" w:eastAsia="zh-CN"/>
          <w14:textFill>
            <w14:solidFill>
              <w14:schemeClr w14:val="tx1"/>
            </w14:solidFill>
          </w14:textFill>
        </w:rPr>
        <w:t>5-14</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表5-14 尾矿库500年一遇调洪演算表</w:t>
      </w:r>
    </w:p>
    <w:tbl>
      <w:tblPr>
        <w:tblStyle w:val="30"/>
        <w:tblW w:w="84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5"/>
        <w:gridCol w:w="1175"/>
        <w:gridCol w:w="1202"/>
        <w:gridCol w:w="1175"/>
        <w:gridCol w:w="1264"/>
        <w:gridCol w:w="1204"/>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jc w:val="center"/>
        </w:trPr>
        <w:tc>
          <w:tcPr>
            <w:tcW w:w="11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eastAsia" w:ascii="Times New Roman" w:hAnsi="Times New Roman" w:eastAsia="宋体" w:cs="Times New Roman"/>
                <w:i/>
                <w:i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
                <w:iCs/>
                <w:snapToGrid w:val="0"/>
                <w:color w:val="000000" w:themeColor="text1"/>
                <w:kern w:val="0"/>
                <w:sz w:val="21"/>
                <w:szCs w:val="21"/>
                <w:lang w:val="en-US" w:eastAsia="zh-CN"/>
                <w14:textFill>
                  <w14:solidFill>
                    <w14:schemeClr w14:val="tx1"/>
                  </w14:solidFill>
                </w14:textFill>
              </w:rPr>
              <w:t>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h</w:t>
            </w:r>
          </w:p>
        </w:tc>
        <w:tc>
          <w:tcPr>
            <w:tcW w:w="11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iCs/>
                <w:snapToGrid w:val="0"/>
                <w:color w:val="000000" w:themeColor="text1"/>
                <w:kern w:val="0"/>
                <w:sz w:val="21"/>
                <w:szCs w:val="21"/>
                <w:lang w:eastAsia="en-US"/>
                <w14:textFill>
                  <w14:solidFill>
                    <w14:schemeClr w14:val="tx1"/>
                  </w14:solidFill>
                </w14:textFill>
              </w:rPr>
              <w:t>Q</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/s</w:t>
            </w:r>
          </w:p>
        </w:tc>
        <w:tc>
          <w:tcPr>
            <w:tcW w:w="1202"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Q</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/s</w:t>
            </w:r>
          </w:p>
        </w:tc>
        <w:tc>
          <w:tcPr>
            <w:tcW w:w="117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firstLine="0" w:firstLineChars="0"/>
              <w:jc w:val="center"/>
              <w:textAlignment w:val="baseline"/>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iCs/>
                <w:snapToGrid w:val="0"/>
                <w:color w:val="000000" w:themeColor="text1"/>
                <w:spacing w:val="-8"/>
                <w:kern w:val="0"/>
                <w:position w:val="17"/>
                <w:sz w:val="21"/>
                <w:szCs w:val="21"/>
                <w:lang w:eastAsia="en-US"/>
                <w14:textFill>
                  <w14:solidFill>
                    <w14:schemeClr w14:val="tx1"/>
                  </w14:solidFill>
                </w14:textFill>
              </w:rPr>
              <w:t>Q</w:t>
            </w:r>
            <w:r>
              <w:rPr>
                <w:rFonts w:hint="eastAsia" w:ascii="Times New Roman" w:hAnsi="Times New Roman" w:eastAsia="宋体" w:cs="Times New Roman"/>
                <w:i/>
                <w:iCs/>
                <w:snapToGrid w:val="0"/>
                <w:color w:val="000000" w:themeColor="text1"/>
                <w:spacing w:val="-8"/>
                <w:kern w:val="0"/>
                <w:position w:val="17"/>
                <w:sz w:val="21"/>
                <w:szCs w:val="21"/>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spacing w:val="-8"/>
                <w:kern w:val="0"/>
                <w:position w:val="17"/>
                <w:sz w:val="21"/>
                <w:szCs w:val="21"/>
                <w:lang w:eastAsia="en-US"/>
                <w14:textFill>
                  <w14:solidFill>
                    <w14:schemeClr w14:val="tx1"/>
                  </w14:solidFill>
                </w14:textFill>
              </w:rPr>
              <w:t>Δ</w:t>
            </w:r>
            <w:r>
              <w:rPr>
                <w:rFonts w:hint="default" w:ascii="Times New Roman" w:hAnsi="Times New Roman" w:eastAsia="宋体" w:cs="Times New Roman"/>
                <w:i/>
                <w:iCs/>
                <w:snapToGrid w:val="0"/>
                <w:color w:val="000000" w:themeColor="text1"/>
                <w:spacing w:val="-8"/>
                <w:kern w:val="0"/>
                <w:position w:val="17"/>
                <w:sz w:val="21"/>
                <w:szCs w:val="21"/>
                <w:lang w:eastAsia="en-US"/>
                <w14:textFill>
                  <w14:solidFill>
                    <w14:schemeClr w14:val="tx1"/>
                  </w14:solidFill>
                </w14:textFill>
              </w:rPr>
              <w:t>t</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p>
        </w:tc>
        <w:tc>
          <w:tcPr>
            <w:tcW w:w="126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i/>
                <w:iCs/>
                <w:snapToGrid w:val="0"/>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i/>
                <w:iCs/>
                <w:snapToGrid w:val="0"/>
                <w:color w:val="000000" w:themeColor="text1"/>
                <w:spacing w:val="4"/>
                <w:kern w:val="0"/>
                <w:sz w:val="21"/>
                <w:szCs w:val="21"/>
                <w:lang w:val="en-US" w:eastAsia="zh-CN"/>
                <w14:textFill>
                  <w14:solidFill>
                    <w14:schemeClr w14:val="tx1"/>
                  </w14:solidFill>
                </w14:textFill>
              </w:rPr>
              <w:t>V+</w:t>
            </w:r>
            <m:oMath>
              <m:f>
                <m:fPr>
                  <m:ctrlPr>
                    <w:rPr>
                      <w:rFonts w:ascii="Cambria Math" w:hAnsi="Cambria Math" w:cs="Times New Roman"/>
                      <w:i/>
                      <w:iCs/>
                      <w:snapToGrid w:val="0"/>
                      <w:color w:val="000000" w:themeColor="text1"/>
                      <w:spacing w:val="4"/>
                      <w:kern w:val="0"/>
                      <w:sz w:val="21"/>
                      <w:szCs w:val="21"/>
                      <w:lang w:val="en-US"/>
                      <w14:textFill>
                        <w14:solidFill>
                          <w14:schemeClr w14:val="tx1"/>
                        </w14:solidFill>
                      </w14:textFill>
                    </w:rPr>
                  </m:ctrlPr>
                </m:fPr>
                <m:num>
                  <m:r>
                    <m:rPr/>
                    <w:rPr>
                      <w:rFonts w:hint="default" w:ascii="Cambria Math" w:hAnsi="Cambria Math" w:cs="Times New Roman"/>
                      <w:snapToGrid w:val="0"/>
                      <w:color w:val="000000" w:themeColor="text1"/>
                      <w:spacing w:val="4"/>
                      <w:kern w:val="0"/>
                      <w:sz w:val="21"/>
                      <w:szCs w:val="21"/>
                      <w:lang w:val="en-US" w:eastAsia="zh-CN"/>
                      <w14:textFill>
                        <w14:solidFill>
                          <w14:schemeClr w14:val="tx1"/>
                        </w14:solidFill>
                      </w14:textFill>
                    </w:rPr>
                    <m:t>1</m:t>
                  </m:r>
                  <m:ctrlPr>
                    <w:rPr>
                      <w:rFonts w:ascii="Cambria Math" w:hAnsi="Cambria Math" w:cs="Times New Roman"/>
                      <w:i/>
                      <w:iCs/>
                      <w:snapToGrid w:val="0"/>
                      <w:color w:val="000000" w:themeColor="text1"/>
                      <w:spacing w:val="4"/>
                      <w:kern w:val="0"/>
                      <w:sz w:val="21"/>
                      <w:szCs w:val="21"/>
                      <w:lang w:val="en-US"/>
                      <w14:textFill>
                        <w14:solidFill>
                          <w14:schemeClr w14:val="tx1"/>
                        </w14:solidFill>
                      </w14:textFill>
                    </w:rPr>
                  </m:ctrlPr>
                </m:num>
                <m:den>
                  <m:r>
                    <m:rPr/>
                    <w:rPr>
                      <w:rFonts w:hint="default" w:ascii="Cambria Math" w:hAnsi="Cambria Math" w:cs="Times New Roman"/>
                      <w:snapToGrid w:val="0"/>
                      <w:color w:val="000000" w:themeColor="text1"/>
                      <w:spacing w:val="4"/>
                      <w:kern w:val="0"/>
                      <w:sz w:val="21"/>
                      <w:szCs w:val="21"/>
                      <w:lang w:val="en-US" w:eastAsia="zh-CN"/>
                      <w14:textFill>
                        <w14:solidFill>
                          <w14:schemeClr w14:val="tx1"/>
                        </w14:solidFill>
                      </w14:textFill>
                    </w:rPr>
                    <m:t>2</m:t>
                  </m:r>
                  <m:ctrlPr>
                    <w:rPr>
                      <w:rFonts w:ascii="Cambria Math" w:hAnsi="Cambria Math" w:cs="Times New Roman"/>
                      <w:i/>
                      <w:iCs/>
                      <w:snapToGrid w:val="0"/>
                      <w:color w:val="000000" w:themeColor="text1"/>
                      <w:spacing w:val="4"/>
                      <w:kern w:val="0"/>
                      <w:sz w:val="21"/>
                      <w:szCs w:val="21"/>
                      <w:lang w:val="en-US"/>
                      <w14:textFill>
                        <w14:solidFill>
                          <w14:schemeClr w14:val="tx1"/>
                        </w14:solidFill>
                      </w14:textFill>
                    </w:rPr>
                  </m:ctrlPr>
                </m:den>
              </m:f>
            </m:oMath>
            <w:r>
              <w:rPr>
                <w:rFonts w:hint="eastAsia" w:ascii="Times New Roman" w:hAnsi="Times New Roman" w:eastAsia="宋体" w:cs="Times New Roman"/>
                <w:i/>
                <w:iCs/>
                <w:snapToGrid w:val="0"/>
                <w:color w:val="000000" w:themeColor="text1"/>
                <w:spacing w:val="4"/>
                <w:kern w:val="0"/>
                <w:sz w:val="21"/>
                <w:szCs w:val="21"/>
                <w:lang w:val="en-US" w:eastAsia="zh-CN"/>
                <w14:textFill>
                  <w14:solidFill>
                    <w14:schemeClr w14:val="tx1"/>
                  </w14:solidFill>
                </w14:textFill>
              </w:rPr>
              <w:t>q</w:t>
            </w:r>
            <m:oMath>
              <m:r>
                <m:rPr/>
                <w:rPr>
                  <w:rFonts w:hint="default" w:ascii="Cambria Math" w:hAnsi="Cambria Math" w:cs="Cambria Math"/>
                  <w:color w:val="000000" w:themeColor="text1"/>
                  <w:sz w:val="21"/>
                  <w:szCs w:val="21"/>
                  <w:lang w:val="en-US"/>
                  <w14:textFill>
                    <w14:solidFill>
                      <w14:schemeClr w14:val="tx1"/>
                    </w14:solidFill>
                  </w14:textFill>
                </w:rPr>
                <m:t>∆</m:t>
              </m:r>
              <m:r>
                <m:rPr/>
                <w:rPr>
                  <w:rFonts w:hint="default" w:ascii="Cambria Math" w:hAnsi="Cambria Math" w:cs="Cambria Math"/>
                  <w:color w:val="000000" w:themeColor="text1"/>
                  <w:sz w:val="21"/>
                  <w:szCs w:val="21"/>
                  <w:lang w:val="en-US" w:eastAsia="zh-CN"/>
                  <w14:textFill>
                    <w14:solidFill>
                      <w14:schemeClr w14:val="tx1"/>
                    </w14:solidFill>
                  </w14:textFill>
                </w:rPr>
                <m:t>t</m:t>
              </m:r>
            </m:oMath>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p>
        </w:tc>
        <w:tc>
          <w:tcPr>
            <w:tcW w:w="120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i/>
                <w:iCs/>
                <w:snapToGrid w:val="0"/>
                <w:color w:val="000000" w:themeColor="text1"/>
                <w:kern w:val="0"/>
                <w:sz w:val="21"/>
                <w:szCs w:val="21"/>
                <w:lang w:eastAsia="en-US"/>
                <w14:textFill>
                  <w14:solidFill>
                    <w14:schemeClr w14:val="tx1"/>
                  </w14:solidFill>
                </w14:textFill>
              </w:rPr>
              <w:t>q</w:t>
            </w:r>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pacing w:val="3"/>
                <w:kern w:val="0"/>
                <w:sz w:val="21"/>
                <w:szCs w:val="21"/>
                <w:lang w:val="en-US" w:eastAsia="zh-CN" w:bidi="ar-SA"/>
                <w14:textFill>
                  <w14:solidFill>
                    <w14:schemeClr w14:val="tx1"/>
                  </w14:solidFill>
                </w14:textFill>
              </w:rPr>
              <w:t>/s</w:t>
            </w:r>
          </w:p>
        </w:tc>
        <w:tc>
          <w:tcPr>
            <w:tcW w:w="126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i/>
                <w:iCs/>
                <w:snapToGrid w:val="0"/>
                <w:color w:val="000000" w:themeColor="text1"/>
                <w:spacing w:val="4"/>
                <w:kern w:val="0"/>
                <w:sz w:val="21"/>
                <w:szCs w:val="21"/>
                <w:lang w:val="en-US" w:eastAsia="zh-CN"/>
                <w14:textFill>
                  <w14:solidFill>
                    <w14:schemeClr w14:val="tx1"/>
                  </w14:solidFill>
                </w14:textFill>
              </w:rPr>
            </w:pPr>
            <w:r>
              <w:rPr>
                <w:rFonts w:hint="eastAsia" w:ascii="Times New Roman" w:hAnsi="Times New Roman" w:eastAsia="宋体" w:cs="Times New Roman"/>
                <w:i/>
                <w:iCs/>
                <w:snapToGrid w:val="0"/>
                <w:color w:val="000000" w:themeColor="text1"/>
                <w:spacing w:val="4"/>
                <w:kern w:val="0"/>
                <w:sz w:val="21"/>
                <w:szCs w:val="21"/>
                <w:lang w:val="en-US" w:eastAsia="zh-CN"/>
                <w14:textFill>
                  <w14:solidFill>
                    <w14:schemeClr w14:val="tx1"/>
                  </w14:solidFill>
                </w14:textFill>
              </w:rPr>
              <w:t>V-</w:t>
            </w:r>
            <m:oMath>
              <m:f>
                <m:fPr>
                  <m:ctrlPr>
                    <w:rPr>
                      <w:rFonts w:ascii="Cambria Math" w:hAnsi="Cambria Math" w:cs="Times New Roman"/>
                      <w:i/>
                      <w:iCs/>
                      <w:snapToGrid w:val="0"/>
                      <w:color w:val="000000" w:themeColor="text1"/>
                      <w:spacing w:val="4"/>
                      <w:kern w:val="0"/>
                      <w:sz w:val="21"/>
                      <w:szCs w:val="21"/>
                      <w:lang w:val="en-US"/>
                      <w14:textFill>
                        <w14:solidFill>
                          <w14:schemeClr w14:val="tx1"/>
                        </w14:solidFill>
                      </w14:textFill>
                    </w:rPr>
                  </m:ctrlPr>
                </m:fPr>
                <m:num>
                  <m:r>
                    <m:rPr/>
                    <w:rPr>
                      <w:rFonts w:hint="default" w:ascii="Cambria Math" w:hAnsi="Cambria Math" w:cs="Times New Roman"/>
                      <w:snapToGrid w:val="0"/>
                      <w:color w:val="000000" w:themeColor="text1"/>
                      <w:spacing w:val="4"/>
                      <w:kern w:val="0"/>
                      <w:sz w:val="21"/>
                      <w:szCs w:val="21"/>
                      <w:lang w:val="en-US" w:eastAsia="zh-CN"/>
                      <w14:textFill>
                        <w14:solidFill>
                          <w14:schemeClr w14:val="tx1"/>
                        </w14:solidFill>
                      </w14:textFill>
                    </w:rPr>
                    <m:t>1</m:t>
                  </m:r>
                  <m:ctrlPr>
                    <w:rPr>
                      <w:rFonts w:ascii="Cambria Math" w:hAnsi="Cambria Math" w:cs="Times New Roman"/>
                      <w:i/>
                      <w:iCs/>
                      <w:snapToGrid w:val="0"/>
                      <w:color w:val="000000" w:themeColor="text1"/>
                      <w:spacing w:val="4"/>
                      <w:kern w:val="0"/>
                      <w:sz w:val="21"/>
                      <w:szCs w:val="21"/>
                      <w:lang w:val="en-US"/>
                      <w14:textFill>
                        <w14:solidFill>
                          <w14:schemeClr w14:val="tx1"/>
                        </w14:solidFill>
                      </w14:textFill>
                    </w:rPr>
                  </m:ctrlPr>
                </m:num>
                <m:den>
                  <m:r>
                    <m:rPr/>
                    <w:rPr>
                      <w:rFonts w:hint="default" w:ascii="Cambria Math" w:hAnsi="Cambria Math" w:cs="Times New Roman"/>
                      <w:snapToGrid w:val="0"/>
                      <w:color w:val="000000" w:themeColor="text1"/>
                      <w:spacing w:val="4"/>
                      <w:kern w:val="0"/>
                      <w:sz w:val="21"/>
                      <w:szCs w:val="21"/>
                      <w:lang w:val="en-US" w:eastAsia="zh-CN"/>
                      <w14:textFill>
                        <w14:solidFill>
                          <w14:schemeClr w14:val="tx1"/>
                        </w14:solidFill>
                      </w14:textFill>
                    </w:rPr>
                    <m:t>2</m:t>
                  </m:r>
                  <m:ctrlPr>
                    <w:rPr>
                      <w:rFonts w:ascii="Cambria Math" w:hAnsi="Cambria Math" w:cs="Times New Roman"/>
                      <w:i/>
                      <w:iCs/>
                      <w:snapToGrid w:val="0"/>
                      <w:color w:val="000000" w:themeColor="text1"/>
                      <w:spacing w:val="4"/>
                      <w:kern w:val="0"/>
                      <w:sz w:val="21"/>
                      <w:szCs w:val="21"/>
                      <w:lang w:val="en-US"/>
                      <w14:textFill>
                        <w14:solidFill>
                          <w14:schemeClr w14:val="tx1"/>
                        </w14:solidFill>
                      </w14:textFill>
                    </w:rPr>
                  </m:ctrlPr>
                </m:den>
              </m:f>
            </m:oMath>
            <w:r>
              <w:rPr>
                <w:rFonts w:hint="eastAsia" w:ascii="Times New Roman" w:hAnsi="Times New Roman" w:eastAsia="宋体" w:cs="Times New Roman"/>
                <w:i/>
                <w:iCs/>
                <w:snapToGrid w:val="0"/>
                <w:color w:val="000000" w:themeColor="text1"/>
                <w:spacing w:val="4"/>
                <w:kern w:val="0"/>
                <w:sz w:val="21"/>
                <w:szCs w:val="21"/>
                <w:lang w:val="en-US" w:eastAsia="zh-CN"/>
                <w14:textFill>
                  <w14:solidFill>
                    <w14:schemeClr w14:val="tx1"/>
                  </w14:solidFill>
                </w14:textFill>
              </w:rPr>
              <w:t>q</w:t>
            </w:r>
            <m:oMath>
              <m:r>
                <m:rPr/>
                <w:rPr>
                  <w:rFonts w:hint="default" w:ascii="Cambria Math" w:hAnsi="Cambria Math" w:cs="Cambria Math"/>
                  <w:color w:val="000000" w:themeColor="text1"/>
                  <w:sz w:val="21"/>
                  <w:szCs w:val="21"/>
                  <w:lang w:val="en-US"/>
                  <w14:textFill>
                    <w14:solidFill>
                      <w14:schemeClr w14:val="tx1"/>
                    </w14:solidFill>
                  </w14:textFill>
                </w:rPr>
                <m:t>∆</m:t>
              </m:r>
              <m:r>
                <m:rPr/>
                <w:rPr>
                  <w:rFonts w:hint="default" w:ascii="Cambria Math" w:hAnsi="Cambria Math" w:cs="Cambria Math"/>
                  <w:color w:val="000000" w:themeColor="text1"/>
                  <w:sz w:val="21"/>
                  <w:szCs w:val="21"/>
                  <w:lang w:val="en-US" w:eastAsia="zh-CN"/>
                  <w14:textFill>
                    <w14:solidFill>
                      <w14:schemeClr w14:val="tx1"/>
                    </w14:solidFill>
                  </w14:textFill>
                </w:rPr>
                <m:t>t</m:t>
              </m:r>
            </m:oMath>
          </w:p>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val="en-US" w:eastAsia="en-US" w:bidi="ar-SA"/>
                <w14:textFill>
                  <w14:solidFill>
                    <w14:schemeClr w14:val="tx1"/>
                  </w14:solidFill>
                </w14:textFill>
              </w:rPr>
              <w:t>m</w:t>
            </w:r>
            <w:r>
              <w:rPr>
                <w:rFonts w:hint="eastAsia" w:ascii="Times New Roman" w:hAnsi="Times New Roman" w:eastAsia="宋体" w:cs="Times New Roman"/>
                <w:snapToGrid w:val="0"/>
                <w:color w:val="000000" w:themeColor="text1"/>
                <w:spacing w:val="3"/>
                <w:kern w:val="0"/>
                <w:sz w:val="21"/>
                <w:szCs w:val="21"/>
                <w:vertAlign w:val="superscript"/>
                <w:lang w:val="en-US" w:eastAsia="zh-CN" w:bidi="ar-SA"/>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112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position w:val="-2"/>
                <w:sz w:val="21"/>
                <w:szCs w:val="21"/>
                <w:lang w:val="en-US" w:eastAsia="en-US" w:bidi="ar-SA"/>
                <w14:textFill>
                  <w14:solidFill>
                    <w14:schemeClr w14:val="tx1"/>
                  </w14:solidFill>
                </w14:textFill>
              </w:rPr>
              <w:t>0.00</w:t>
            </w:r>
          </w:p>
        </w:tc>
        <w:tc>
          <w:tcPr>
            <w:tcW w:w="117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position w:val="-2"/>
                <w:sz w:val="21"/>
                <w:szCs w:val="21"/>
                <w:lang w:val="en-US" w:eastAsia="en-US" w:bidi="ar-SA"/>
                <w14:textFill>
                  <w14:solidFill>
                    <w14:schemeClr w14:val="tx1"/>
                  </w14:solidFill>
                </w14:textFill>
              </w:rPr>
              <w:t>0.00</w:t>
            </w: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0.625</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0</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0</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0.000</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0.33</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1.25</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3.055</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7"/>
                <w:kern w:val="0"/>
                <w:sz w:val="21"/>
                <w:szCs w:val="21"/>
                <w:lang w:val="en-US" w:eastAsia="en-US" w:bidi="ar-SA"/>
                <w14:textFill>
                  <w14:solidFill>
                    <w14:schemeClr w14:val="tx1"/>
                  </w14:solidFill>
                </w14:textFill>
              </w:rPr>
              <w:t>750</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7"/>
                <w:kern w:val="0"/>
                <w:sz w:val="21"/>
                <w:szCs w:val="21"/>
                <w:lang w:val="en-US" w:eastAsia="en-US" w:bidi="ar-SA"/>
                <w14:textFill>
                  <w14:solidFill>
                    <w14:schemeClr w14:val="tx1"/>
                  </w14:solidFill>
                </w14:textFill>
              </w:rPr>
              <w:t>750</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0.324</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0"/>
                <w:kern w:val="0"/>
                <w:sz w:val="21"/>
                <w:szCs w:val="21"/>
                <w:lang w:val="en-US" w:eastAsia="en-US" w:bidi="ar-SA"/>
                <w14:textFill>
                  <w14:solidFill>
                    <w14:schemeClr w14:val="tx1"/>
                  </w14:solidFill>
                </w14:textFill>
              </w:rPr>
              <w:t>361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0.67</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val="en-US" w:eastAsia="en-US" w:bidi="ar-SA"/>
                <w14:textFill>
                  <w14:solidFill>
                    <w14:schemeClr w14:val="tx1"/>
                  </w14:solidFill>
                </w14:textFill>
              </w:rPr>
              <w:t>4.86</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1"/>
                <w:szCs w:val="21"/>
                <w:lang w:val="en-US" w:eastAsia="en-US" w:bidi="ar-SA"/>
                <w14:textFill>
                  <w14:solidFill>
                    <w14:schemeClr w14:val="tx1"/>
                  </w14:solidFill>
                </w14:textFill>
              </w:rPr>
              <w:t>8.575</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9"/>
                <w:kern w:val="0"/>
                <w:sz w:val="21"/>
                <w:szCs w:val="21"/>
                <w:lang w:val="en-US" w:eastAsia="en-US" w:bidi="ar-SA"/>
                <w14:textFill>
                  <w14:solidFill>
                    <w14:schemeClr w14:val="tx1"/>
                  </w14:solidFill>
                </w14:textFill>
              </w:rPr>
              <w:t>3666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6"/>
                <w:kern w:val="0"/>
                <w:sz w:val="21"/>
                <w:szCs w:val="21"/>
                <w:lang w:val="en-US" w:eastAsia="en-US" w:bidi="ar-SA"/>
                <w14:textFill>
                  <w14:solidFill>
                    <w14:schemeClr w14:val="tx1"/>
                  </w14:solidFill>
                </w14:textFill>
              </w:rPr>
              <w:t>4027</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3.034</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0"/>
                <w:kern w:val="0"/>
                <w:sz w:val="21"/>
                <w:szCs w:val="21"/>
                <w:lang w:val="en-US" w:eastAsia="en-US" w:bidi="ar-SA"/>
                <w14:textFill>
                  <w14:solidFill>
                    <w14:schemeClr w14:val="tx1"/>
                  </w14:solidFill>
                </w14:textFill>
              </w:rPr>
              <w:t>386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1"/>
                <w:szCs w:val="21"/>
                <w:lang w:val="en-US" w:eastAsia="en-US" w:bidi="ar-SA"/>
                <w14:textFill>
                  <w14:solidFill>
                    <w14:schemeClr w14:val="tx1"/>
                  </w14:solidFill>
                </w14:textFill>
              </w:rPr>
              <w:t>12.29</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val="en-US" w:eastAsia="en-US" w:bidi="ar-SA"/>
                <w14:textFill>
                  <w14:solidFill>
                    <w14:schemeClr w14:val="tx1"/>
                  </w14:solidFill>
                </w14:textFill>
              </w:rPr>
              <w:t>16.010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7"/>
                <w:kern w:val="0"/>
                <w:sz w:val="21"/>
                <w:szCs w:val="21"/>
                <w:lang w:val="en-US" w:eastAsia="en-US" w:bidi="ar-SA"/>
                <w14:textFill>
                  <w14:solidFill>
                    <w14:schemeClr w14:val="tx1"/>
                  </w14:solidFill>
                </w14:textFill>
              </w:rPr>
              <w:t>10290</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7"/>
                <w:kern w:val="0"/>
                <w:sz w:val="21"/>
                <w:szCs w:val="21"/>
                <w:lang w:val="en-US" w:eastAsia="en-US" w:bidi="ar-SA"/>
                <w14:textFill>
                  <w14:solidFill>
                    <w14:schemeClr w14:val="tx1"/>
                  </w14:solidFill>
                </w14:textFill>
              </w:rPr>
              <w:t>10676</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1"/>
                <w:szCs w:val="21"/>
                <w:lang w:val="en-US" w:eastAsia="en-US" w:bidi="ar-SA"/>
                <w14:textFill>
                  <w14:solidFill>
                    <w14:schemeClr w14:val="tx1"/>
                  </w14:solidFill>
                </w14:textFill>
              </w:rPr>
              <w:t>5.981</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9"/>
                <w:kern w:val="0"/>
                <w:sz w:val="21"/>
                <w:szCs w:val="21"/>
                <w:lang w:val="en-US" w:eastAsia="en-US" w:bidi="ar-SA"/>
                <w14:textFill>
                  <w14:solidFill>
                    <w14:schemeClr w14:val="tx1"/>
                  </w14:solidFill>
                </w14:textFill>
              </w:rPr>
              <w:t>3499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112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position w:val="-2"/>
                <w:sz w:val="21"/>
                <w:szCs w:val="21"/>
                <w:lang w:val="en-US" w:eastAsia="en-US" w:bidi="ar-SA"/>
                <w14:textFill>
                  <w14:solidFill>
                    <w14:schemeClr w14:val="tx1"/>
                  </w14:solidFill>
                </w14:textFill>
              </w:rPr>
              <w:t>1.33</w:t>
            </w:r>
          </w:p>
        </w:tc>
        <w:tc>
          <w:tcPr>
            <w:tcW w:w="117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1"/>
                <w:kern w:val="0"/>
                <w:position w:val="-2"/>
                <w:sz w:val="21"/>
                <w:szCs w:val="21"/>
                <w:lang w:val="en-US" w:eastAsia="en-US" w:bidi="ar-SA"/>
                <w14:textFill>
                  <w14:solidFill>
                    <w14:schemeClr w14:val="tx1"/>
                  </w14:solidFill>
                </w14:textFill>
              </w:rPr>
              <w:t>19.73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1"/>
                <w:kern w:val="0"/>
                <w:sz w:val="21"/>
                <w:szCs w:val="21"/>
                <w:lang w:eastAsia="en-US"/>
                <w14:textFill>
                  <w14:solidFill>
                    <w14:schemeClr w14:val="tx1"/>
                  </w14:solidFill>
                </w14:textFill>
              </w:rPr>
              <w:t>18.180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12"/>
                <w:kern w:val="0"/>
                <w:sz w:val="21"/>
                <w:szCs w:val="21"/>
                <w:lang w:eastAsia="en-US"/>
                <w14:textFill>
                  <w14:solidFill>
                    <w14:schemeClr w14:val="tx1"/>
                  </w14:solidFill>
                </w14:textFill>
              </w:rPr>
              <w:t>19212</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11"/>
                <w:kern w:val="0"/>
                <w:sz w:val="21"/>
                <w:szCs w:val="21"/>
                <w:lang w:eastAsia="en-US"/>
                <w14:textFill>
                  <w14:solidFill>
                    <w14:schemeClr w14:val="tx1"/>
                  </w14:solidFill>
                </w14:textFill>
              </w:rPr>
              <w:t>22711</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eastAsia="en-US"/>
                <w14:textFill>
                  <w14:solidFill>
                    <w14:schemeClr w14:val="tx1"/>
                  </w14:solidFill>
                </w14:textFill>
              </w:rPr>
              <w:t>6.758</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12"/>
                <w:kern w:val="0"/>
                <w:sz w:val="21"/>
                <w:szCs w:val="21"/>
                <w:lang w:eastAsia="en-US"/>
                <w14:textFill>
                  <w14:solidFill>
                    <w14:schemeClr w14:val="tx1"/>
                  </w14:solidFill>
                </w14:textFill>
              </w:rPr>
              <w:t>14602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eastAsia="en-US"/>
                <w14:textFill>
                  <w14:solidFill>
                    <w14:schemeClr w14:val="tx1"/>
                  </w14:solidFill>
                </w14:textFill>
              </w:rPr>
              <w:t>1.67</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16.63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14.620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21816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36418</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6.956</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28070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eastAsia="en-US"/>
                <w14:textFill>
                  <w14:solidFill>
                    <w14:schemeClr w14:val="tx1"/>
                  </w14:solidFill>
                </w14:textFill>
              </w:rPr>
              <w:t>2.00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12.61</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10.605</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17544</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45614</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7.051</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37153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eastAsia="en-US"/>
                <w14:textFill>
                  <w14:solidFill>
                    <w14:schemeClr w14:val="tx1"/>
                  </w14:solidFill>
                </w14:textFill>
              </w:rPr>
              <w:t>2.33</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8.60</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6.595</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12726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49879</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7.094</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41366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eastAsia="en-US"/>
                <w14:textFill>
                  <w14:solidFill>
                    <w14:schemeClr w14:val="tx1"/>
                  </w14:solidFill>
                </w14:textFill>
              </w:rPr>
              <w:t>2.67</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4.59</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4.110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7914</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49280</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7.088</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40775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eastAsia="en-US"/>
                <w14:textFill>
                  <w14:solidFill>
                    <w14:schemeClr w14:val="tx1"/>
                  </w14:solidFill>
                </w14:textFill>
              </w:rPr>
              <w:t>3.00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3.63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3.380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4932</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45707</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7.051</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37246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eastAsia="en-US"/>
                <w14:textFill>
                  <w14:solidFill>
                    <w14:schemeClr w14:val="tx1"/>
                  </w14:solidFill>
                </w14:textFill>
              </w:rPr>
              <w:t>3.33</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3.13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2.880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4056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41302</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7.007</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32893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eastAsia="en-US"/>
                <w14:textFill>
                  <w14:solidFill>
                    <w14:schemeClr w14:val="tx1"/>
                  </w14:solidFill>
                </w14:textFill>
              </w:rPr>
              <w:t>3.67</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2.63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2.380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3456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36349</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6.956</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28002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eastAsia="en-US"/>
                <w14:textFill>
                  <w14:solidFill>
                    <w14:schemeClr w14:val="tx1"/>
                  </w14:solidFill>
                </w14:textFill>
              </w:rPr>
              <w:t>4.00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2.13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1.880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2856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30858</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6.899</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22579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eastAsia="en-US"/>
                <w14:textFill>
                  <w14:solidFill>
                    <w14:schemeClr w14:val="tx1"/>
                  </w14:solidFill>
                </w14:textFill>
              </w:rPr>
              <w:t>4.33</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1.63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1.380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2256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24835</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6.809</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16664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5"/>
                <w:kern w:val="0"/>
                <w:sz w:val="21"/>
                <w:szCs w:val="21"/>
                <w:lang w:eastAsia="en-US"/>
                <w14:textFill>
                  <w14:solidFill>
                    <w14:schemeClr w14:val="tx1"/>
                  </w14:solidFill>
                </w14:textFill>
              </w:rPr>
              <w:t>4.67</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1.13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0.880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1656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18320</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6.642</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10350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eastAsia="en-US"/>
                <w14:textFill>
                  <w14:solidFill>
                    <w14:schemeClr w14:val="tx1"/>
                  </w14:solidFill>
                </w14:textFill>
              </w:rPr>
              <w:t>5.00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0.63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0.380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1056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11406</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6.276</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3875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eastAsia="en-US"/>
                <w14:textFill>
                  <w14:solidFill>
                    <w14:schemeClr w14:val="tx1"/>
                  </w14:solidFill>
                </w14:textFill>
              </w:rPr>
              <w:t>5.33</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0.13</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0.065</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456</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4331</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3.179</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eastAsia="en-US"/>
                <w14:textFill>
                  <w14:solidFill>
                    <w14:schemeClr w14:val="tx1"/>
                  </w14:solidFill>
                </w14:textFill>
              </w:rPr>
              <w:t>5.67</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0.00</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78</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594</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0.282</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112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eastAsia="en-US"/>
                <w14:textFill>
                  <w14:solidFill>
                    <w14:schemeClr w14:val="tx1"/>
                  </w14:solidFill>
                </w14:textFill>
              </w:rPr>
              <w:t>6.00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0.00</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112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p>
        </w:tc>
        <w:tc>
          <w:tcPr>
            <w:tcW w:w="1202"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0.000</w:t>
            </w:r>
          </w:p>
        </w:tc>
        <w:tc>
          <w:tcPr>
            <w:tcW w:w="1175"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w:t>
            </w:r>
          </w:p>
        </w:tc>
        <w:tc>
          <w:tcPr>
            <w:tcW w:w="126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256</w:t>
            </w:r>
          </w:p>
        </w:tc>
        <w:tc>
          <w:tcPr>
            <w:tcW w:w="1204"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0.122</w:t>
            </w:r>
          </w:p>
        </w:tc>
        <w:tc>
          <w:tcPr>
            <w:tcW w:w="126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lang w:val="en-US" w:eastAsia="en-US" w:bidi="ar-SA"/>
                <w14:textFill>
                  <w14:solidFill>
                    <w14:schemeClr w14:val="tx1"/>
                  </w14:solidFill>
                </w14:textFill>
              </w:rPr>
              <w:t>109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11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lang w:eastAsia="en-US"/>
                <w14:textFill>
                  <w14:solidFill>
                    <w14:schemeClr w14:val="tx1"/>
                  </w14:solidFill>
                </w14:textFill>
              </w:rPr>
              <w:t>6.33</w:t>
            </w:r>
          </w:p>
        </w:tc>
        <w:tc>
          <w:tcPr>
            <w:tcW w:w="11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lang w:eastAsia="en-US"/>
                <w14:textFill>
                  <w14:solidFill>
                    <w14:schemeClr w14:val="tx1"/>
                  </w14:solidFill>
                </w14:textFill>
              </w:rPr>
              <w:t>0.00</w:t>
            </w:r>
          </w:p>
        </w:tc>
        <w:tc>
          <w:tcPr>
            <w:tcW w:w="1202"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17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0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c>
          <w:tcPr>
            <w:tcW w:w="126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snapToGrid w:val="0"/>
                <w:color w:val="000000" w:themeColor="text1"/>
                <w:kern w:val="0"/>
                <w:sz w:val="21"/>
                <w:szCs w:val="21"/>
                <w:lang w:eastAsia="en-US"/>
                <w14:textFill>
                  <w14:solidFill>
                    <w14:schemeClr w14:val="tx1"/>
                  </w14:solidFill>
                </w14:textFill>
              </w:rPr>
            </w:pPr>
          </w:p>
        </w:tc>
      </w:tr>
    </w:tbl>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经调洪演算，尾矿库最大的下泄流量为7.094m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/s，所需调洪库容45623m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。查表5-12和表5-13可知，当库内洪水位高程为+272.5m，此时调洪水深1.9m，调洪库容46238m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，排洪系统最大下泄流量7.10m</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/s，可以满足调洪后排洪要求，此时尾矿库安全超高1.5m，干滩长度约96m，说明现状尾矿库排水井+涵洞排洪系统泄流能力满足安全泄洪的需要，安全超高及干滩长度满足规范要求。</w:t>
      </w:r>
    </w:p>
    <w:p>
      <w:pPr>
        <w:pStyle w:val="4"/>
        <w:bidi w:val="0"/>
        <w:rPr>
          <w:rFonts w:hint="default"/>
          <w:color w:val="000000" w:themeColor="text1"/>
          <w:lang w:val="en-US" w:eastAsia="zh-CN"/>
          <w14:textFill>
            <w14:solidFill>
              <w14:schemeClr w14:val="tx1"/>
            </w14:solidFill>
          </w14:textFill>
        </w:rPr>
      </w:pPr>
      <w:bookmarkStart w:id="96" w:name="_Toc32677"/>
      <w:r>
        <w:rPr>
          <w:rFonts w:hint="default"/>
          <w:color w:val="000000" w:themeColor="text1"/>
          <w:lang w:val="en-US" w:eastAsia="zh-CN"/>
          <w14:textFill>
            <w14:solidFill>
              <w14:schemeClr w14:val="tx1"/>
            </w14:solidFill>
          </w14:textFill>
        </w:rPr>
        <w:t>5.3.3</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评价单元小结</w:t>
      </w:r>
      <w:bookmarkEnd w:id="96"/>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（1）盘古山钨业尾矿库原排洪系统按50年一遇构建，不符合现行设计规范要求，不能满足洪水泄流要求。故本次主要按隐患综合治理工程新建排洪系统进行洪水复核，经复核，新建排洪系统能满足洪水泄流要求。</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经现场检查，盘古山钨业尾矿库原排洪设施不尽符合设计要求，新建排洪设施符合设计要求，本次按新建排洪系统进行赋分。防排洪系统单元应得分41分，实际得分39分，得分率95.12%，盘古山钨业尾矿库排洪设施总体上符合安全要求。</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盘古山钨业应按长沙有色冶金设计研究院有限公司2015年3月出具的《盘古山钨矿尾矿库隐患综合治理工程设计总结报告》的要求，原排水涵洞待2#排水井使用至+271.0m标高时予以封堵。实施封堵时，做好封堵施工记录、影像资料和封堵体强度检测，并存档备查。</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（4）新建排洪系统正式投入使用以后，盘古山钨业应按设计要求盖封拱板，确保尾矿库堆积坝安全超高、沉积滩干滩长度两项控制指标满足规程规范和设计要求。</w:t>
      </w:r>
    </w:p>
    <w:p>
      <w:pPr>
        <w:pStyle w:val="3"/>
        <w:bidi w:val="0"/>
        <w:rPr>
          <w:rFonts w:hint="default"/>
          <w:color w:val="000000" w:themeColor="text1"/>
          <w:lang w:val="en-US" w:eastAsia="zh-CN"/>
          <w14:textFill>
            <w14:solidFill>
              <w14:schemeClr w14:val="tx1"/>
            </w14:solidFill>
          </w14:textFill>
        </w:rPr>
      </w:pPr>
      <w:bookmarkStart w:id="97" w:name="_Toc31035"/>
      <w:r>
        <w:rPr>
          <w:rFonts w:hint="default"/>
          <w:color w:val="000000" w:themeColor="text1"/>
          <w:lang w:val="en-US" w:eastAsia="zh-CN"/>
          <w14:textFill>
            <w14:solidFill>
              <w14:schemeClr w14:val="tx1"/>
            </w14:solidFill>
          </w14:textFill>
        </w:rPr>
        <w:t>5.4</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安全监测设施单元</w:t>
      </w:r>
      <w:bookmarkEnd w:id="97"/>
    </w:p>
    <w:p>
      <w:pPr>
        <w:pStyle w:val="4"/>
        <w:bidi w:val="0"/>
        <w:rPr>
          <w:rFonts w:hint="default"/>
          <w:color w:val="000000" w:themeColor="text1"/>
          <w:lang w:val="en-US" w:eastAsia="zh-CN"/>
          <w14:textFill>
            <w14:solidFill>
              <w14:schemeClr w14:val="tx1"/>
            </w14:solidFill>
          </w14:textFill>
        </w:rPr>
      </w:pPr>
      <w:bookmarkStart w:id="98" w:name="_Toc6555"/>
      <w:r>
        <w:rPr>
          <w:rFonts w:hint="default"/>
          <w:color w:val="000000" w:themeColor="text1"/>
          <w:lang w:val="en-US" w:eastAsia="zh-CN"/>
          <w14:textFill>
            <w14:solidFill>
              <w14:schemeClr w14:val="tx1"/>
            </w14:solidFill>
          </w14:textFill>
        </w:rPr>
        <w:t>5.4.1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安全检查法评价</w:t>
      </w:r>
      <w:bookmarkEnd w:id="98"/>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经我中心评价组评价人员现场安全检查，盘古山钨业尾矿库安全监测设施既有传统的人工安全监测设施，也有自动的在线监测设施，且设置位置、数量基本上与设计相符，观测频率和精度符合规定要求</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盘古山钨业</w:t>
      </w:r>
      <w:r>
        <w:rPr>
          <w:rFonts w:hint="eastAsia"/>
          <w:color w:val="000000" w:themeColor="text1"/>
          <w:lang w:val="en-US" w:eastAsia="zh-CN"/>
          <w14:textFill>
            <w14:solidFill>
              <w14:schemeClr w14:val="tx1"/>
            </w14:solidFill>
          </w14:textFill>
        </w:rPr>
        <w:t>尾矿库在线安全监测预警系统接入了省级尾矿库安全生产风险监测预警平台，实现了数据共享、互联互通，与国家灾害风险综合监测预警信息平台的对接。实现了环境监测、安全监管数据共享</w:t>
      </w:r>
      <w:r>
        <w:rPr>
          <w:rFonts w:hint="default"/>
          <w:color w:val="000000" w:themeColor="text1"/>
          <w:lang w:val="en-US" w:eastAsia="zh-CN"/>
          <w14:textFill>
            <w14:solidFill>
              <w14:schemeClr w14:val="tx1"/>
            </w14:solidFill>
          </w14:textFill>
        </w:rPr>
        <w:t>。坝体人工安全监测设施以及在线监测设施运行状况均正常，盘古山钨业较好的落实了安全监测设施（含在线监测设施）维护和定期观测，并保存了观测记录。</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由观测记录可知，坝体沉降位移波动幅度较小，基本无变化，在测量允许误差范围内。在线监测设施运行状况较好，观测值基本上能与人工观测情况吻合，数据波动幅度较小。浸润线埋深均符合规范值要求。</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盘古山钨业应及时根据堆积坝堆筑情况，落实人工安全监测设施和在线监测设施的现场安装、检查和维护工作。并加强观测、数据分析和记录保存工作。</w:t>
      </w:r>
    </w:p>
    <w:p>
      <w:pPr>
        <w:pStyle w:val="3"/>
        <w:bidi w:val="0"/>
        <w:rPr>
          <w:rFonts w:hint="default"/>
          <w:color w:val="000000" w:themeColor="text1"/>
          <w:lang w:val="en-US" w:eastAsia="zh-CN"/>
          <w14:textFill>
            <w14:solidFill>
              <w14:schemeClr w14:val="tx1"/>
            </w14:solidFill>
          </w14:textFill>
        </w:rPr>
      </w:pPr>
      <w:bookmarkStart w:id="99" w:name="_Toc16452"/>
      <w:r>
        <w:rPr>
          <w:rFonts w:hint="default"/>
          <w:color w:val="000000" w:themeColor="text1"/>
          <w:lang w:val="en-US" w:eastAsia="zh-CN"/>
          <w14:textFill>
            <w14:solidFill>
              <w14:schemeClr w14:val="tx1"/>
            </w14:solidFill>
          </w14:textFill>
        </w:rPr>
        <w:t>5.5</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库区环境单元</w:t>
      </w:r>
      <w:bookmarkEnd w:id="99"/>
    </w:p>
    <w:p>
      <w:pPr>
        <w:pStyle w:val="4"/>
        <w:bidi w:val="0"/>
        <w:rPr>
          <w:rFonts w:hint="default"/>
          <w:color w:val="000000" w:themeColor="text1"/>
          <w:lang w:val="en-US" w:eastAsia="zh-CN"/>
          <w14:textFill>
            <w14:solidFill>
              <w14:schemeClr w14:val="tx1"/>
            </w14:solidFill>
          </w14:textFill>
        </w:rPr>
      </w:pPr>
      <w:bookmarkStart w:id="100" w:name="_Toc26460"/>
      <w:r>
        <w:rPr>
          <w:rFonts w:hint="default"/>
          <w:color w:val="000000" w:themeColor="text1"/>
          <w:lang w:val="en-US" w:eastAsia="zh-CN"/>
          <w14:textFill>
            <w14:solidFill>
              <w14:schemeClr w14:val="tx1"/>
            </w14:solidFill>
          </w14:textFill>
        </w:rPr>
        <w:t>5.5.1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安全检查表评价</w:t>
      </w:r>
      <w:bookmarkEnd w:id="100"/>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运用《江西省尾矿库安全检查表》，对</w:t>
      </w:r>
      <w:r>
        <w:rPr>
          <w:rFonts w:hint="eastAsia"/>
          <w:color w:val="000000" w:themeColor="text1"/>
          <w:szCs w:val="28"/>
          <w14:textFill>
            <w14:solidFill>
              <w14:schemeClr w14:val="tx1"/>
            </w14:solidFill>
          </w14:textFill>
        </w:rPr>
        <w:t>盘古山钨业尾矿库</w:t>
      </w:r>
      <w:r>
        <w:rPr>
          <w:rFonts w:hint="default"/>
          <w:color w:val="000000" w:themeColor="text1"/>
          <w:lang w:val="en-US" w:eastAsia="zh-CN"/>
          <w14:textFill>
            <w14:solidFill>
              <w14:schemeClr w14:val="tx1"/>
            </w14:solidFill>
          </w14:textFill>
        </w:rPr>
        <w:t>库区环境单元进行评判，具体见表5-</w:t>
      </w:r>
      <w:r>
        <w:rPr>
          <w:rFonts w:hint="eastAsia"/>
          <w:color w:val="000000" w:themeColor="text1"/>
          <w:lang w:val="en-US" w:eastAsia="zh-CN"/>
          <w14:textFill>
            <w14:solidFill>
              <w14:schemeClr w14:val="tx1"/>
            </w14:solidFill>
          </w14:textFill>
        </w:rPr>
        <w:t>15</w:t>
      </w:r>
      <w:r>
        <w:rPr>
          <w:rFonts w:hint="default"/>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表5-</w:t>
      </w:r>
      <w:r>
        <w:rPr>
          <w:rFonts w:hint="eastAsia"/>
          <w:color w:val="000000" w:themeColor="text1"/>
          <w:lang w:val="en-US" w:eastAsia="zh-CN"/>
          <w14:textFill>
            <w14:solidFill>
              <w14:schemeClr w14:val="tx1"/>
            </w14:solidFill>
          </w14:textFill>
        </w:rPr>
        <w:t xml:space="preserve">15 </w:t>
      </w:r>
      <w:r>
        <w:rPr>
          <w:rFonts w:hint="default"/>
          <w:color w:val="000000" w:themeColor="text1"/>
          <w:lang w:val="en-US" w:eastAsia="zh-CN"/>
          <w14:textFill>
            <w14:solidFill>
              <w14:schemeClr w14:val="tx1"/>
            </w14:solidFill>
          </w14:textFill>
        </w:rPr>
        <w:t>库区环境单元安全检查表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4"/>
        <w:gridCol w:w="2456"/>
        <w:gridCol w:w="1176"/>
        <w:gridCol w:w="1067"/>
        <w:gridCol w:w="958"/>
        <w:gridCol w:w="902"/>
        <w:gridCol w:w="70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2" w:hRule="atLeast"/>
          <w:jc w:val="center"/>
        </w:trPr>
        <w:tc>
          <w:tcPr>
            <w:tcW w:w="83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项目</w:t>
            </w:r>
          </w:p>
        </w:tc>
        <w:tc>
          <w:tcPr>
            <w:tcW w:w="245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pacing w:val="4"/>
                <w:kern w:val="0"/>
                <w:sz w:val="21"/>
                <w:szCs w:val="21"/>
                <w14:textFill>
                  <w14:solidFill>
                    <w14:schemeClr w14:val="tx1"/>
                  </w14:solidFill>
                </w14:textFill>
              </w:rPr>
              <w:t>检查内容</w:t>
            </w:r>
          </w:p>
        </w:tc>
        <w:tc>
          <w:tcPr>
            <w:tcW w:w="11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检查依据</w:t>
            </w:r>
          </w:p>
        </w:tc>
        <w:tc>
          <w:tcPr>
            <w:tcW w:w="106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检查方法及地点</w:t>
            </w:r>
          </w:p>
        </w:tc>
        <w:tc>
          <w:tcPr>
            <w:tcW w:w="95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检查</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记录</w:t>
            </w:r>
          </w:p>
        </w:tc>
        <w:tc>
          <w:tcPr>
            <w:tcW w:w="9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标准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分值</w:t>
            </w:r>
          </w:p>
        </w:tc>
        <w:tc>
          <w:tcPr>
            <w:tcW w:w="7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评分</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标准</w:t>
            </w:r>
          </w:p>
        </w:tc>
        <w:tc>
          <w:tcPr>
            <w:tcW w:w="99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0"/>
                <w:sz w:val="21"/>
                <w:szCs w:val="21"/>
                <w:lang w:val="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zh-CN"/>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2" w:hRule="atLeast"/>
          <w:jc w:val="center"/>
        </w:trPr>
        <w:tc>
          <w:tcPr>
            <w:tcW w:w="83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库区</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安全</w:t>
            </w:r>
          </w:p>
        </w:tc>
        <w:tc>
          <w:tcPr>
            <w:tcW w:w="245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1.1周边山体失稳，随时有可能滑动、坍塌影响尾矿库安全。</w:t>
            </w:r>
          </w:p>
        </w:tc>
        <w:tc>
          <w:tcPr>
            <w:tcW w:w="11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《尾矿库安全规程》第9.5.2条</w:t>
            </w:r>
          </w:p>
        </w:tc>
        <w:tc>
          <w:tcPr>
            <w:tcW w:w="106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查现场</w:t>
            </w:r>
          </w:p>
        </w:tc>
        <w:tc>
          <w:tcPr>
            <w:tcW w:w="95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周边山体较稳定</w:t>
            </w:r>
          </w:p>
        </w:tc>
        <w:tc>
          <w:tcPr>
            <w:tcW w:w="9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隐患</w:t>
            </w:r>
          </w:p>
        </w:tc>
        <w:tc>
          <w:tcPr>
            <w:tcW w:w="7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9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满足</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0" w:hRule="atLeast"/>
          <w:jc w:val="center"/>
        </w:trPr>
        <w:tc>
          <w:tcPr>
            <w:tcW w:w="83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245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1.2库区是否存在违章爆破、采石和建筑；违章进行尾矿回采、取水；外来尾矿、废石、废水和废弃物排入、放牧和开垦和炸鱼等危害尾矿库安全的活动。</w:t>
            </w:r>
          </w:p>
        </w:tc>
        <w:tc>
          <w:tcPr>
            <w:tcW w:w="11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《尾矿库安全规程》第9.5.3条</w:t>
            </w:r>
          </w:p>
        </w:tc>
        <w:tc>
          <w:tcPr>
            <w:tcW w:w="106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5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符合</w:t>
            </w:r>
          </w:p>
        </w:tc>
        <w:tc>
          <w:tcPr>
            <w:tcW w:w="9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c>
          <w:tcPr>
            <w:tcW w:w="7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不符合不得分</w:t>
            </w:r>
          </w:p>
        </w:tc>
        <w:tc>
          <w:tcPr>
            <w:tcW w:w="99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5" w:hRule="atLeast"/>
          <w:jc w:val="center"/>
        </w:trPr>
        <w:tc>
          <w:tcPr>
            <w:tcW w:w="83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小计</w:t>
            </w:r>
          </w:p>
        </w:tc>
        <w:tc>
          <w:tcPr>
            <w:tcW w:w="245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11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06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5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c>
          <w:tcPr>
            <w:tcW w:w="7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p>
        </w:tc>
        <w:tc>
          <w:tcPr>
            <w:tcW w:w="99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14:textFill>
                  <w14:solidFill>
                    <w14:schemeClr w14:val="tx1"/>
                  </w14:solidFill>
                </w14:textFill>
              </w:rPr>
              <w:t>7</w:t>
            </w:r>
          </w:p>
        </w:tc>
      </w:tr>
    </w:tbl>
    <w:p>
      <w:pPr>
        <w:pStyle w:val="4"/>
        <w:bidi w:val="0"/>
        <w:rPr>
          <w:rFonts w:hint="default"/>
          <w:color w:val="000000" w:themeColor="text1"/>
          <w:lang w:val="en-US" w:eastAsia="zh-CN"/>
          <w14:textFill>
            <w14:solidFill>
              <w14:schemeClr w14:val="tx1"/>
            </w14:solidFill>
          </w14:textFill>
        </w:rPr>
      </w:pPr>
      <w:bookmarkStart w:id="101" w:name="_Toc18829"/>
      <w:r>
        <w:rPr>
          <w:rFonts w:hint="default"/>
          <w:color w:val="000000" w:themeColor="text1"/>
          <w:lang w:val="en-US" w:eastAsia="zh-CN"/>
          <w14:textFill>
            <w14:solidFill>
              <w14:schemeClr w14:val="tx1"/>
            </w14:solidFill>
          </w14:textFill>
        </w:rPr>
        <w:t>5.5.2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评价单元小结</w:t>
      </w:r>
      <w:bookmarkEnd w:id="101"/>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（1）经现场检查，盘古山钨业尾矿库周边山体稳定，无滑动、坍塌等影响尾矿库安全情况，尾矿库周边安全状况良好，库区环境单元应得分7分，实际得分7分，得分率为100%，库区环境符合安全要求。</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由于历史遗留问题，盘古山钨业尾矿库与周边村庄距离较近，但建库60年来，未发生过重大安全事故和污染事故。鉴于盘古山钨业尾矿库下游有居民，盘古山钨业应跟当地气象站建立联系，对矿区进行有效的天气预报。并加强与当地人民政府及村民小组的联系，在适当地段设置警报器，或配备锣鼓、喊话器，以便将险情信息及时传达和提醒下游村民；在显眼处张贴避灾线路图和紧急疏散指南，并对村民进行宣传和培训；组织应急协助队伍，专人专责，户户落实制，落实撤离对象，尾矿库应急预案按安全撤离30分钟进行，及时将淹没范围内的村民转移至安全区域。检查、维护好自动雨量计，当10分钟降雨量大于设计雨量时发出紧急警报。并不定期组织当地村民一并参加尾矿库生产安全事故应急演练，做好下游群众的宣传教育、紧急疏散和救护等项工作。</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（3）山森水库集水面积27.5km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，总库容202万m</w:t>
      </w:r>
      <w:r>
        <w:rPr>
          <w:rFonts w:hint="default"/>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，最大坝高40.8m，属小（一）型水库，校核工况下500年一遇洪水下泄流量1055m</w:t>
      </w:r>
      <w:r>
        <w:rPr>
          <w:rFonts w:hint="default"/>
          <w:color w:val="000000" w:themeColor="text1"/>
          <w:vertAlign w:val="superscript"/>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s。仁风河平时水位较低，流经库区下游段河面宽8～12m，该段河堤顶标高+252.7m～+257.4m，河堤南面700余米宽均为平坦的农田，即使发生洪灾，水位超过河堤后过流断面将大大增加，水位上涨有限，该河有记录的最高洪水位为+257.5m。本库初期坝经隐患综合治理工程治理后坝顶标高最低处达+260.0m，高于河堤至少2.6m以上，故上游水库泄洪时不会对本库坝体的稳定安全产生大的影响。</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（4）盘古山钨业尾矿库属于</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头顶库</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，根据《江西省安监局转发《国家安监总局关于印发〈遏制尾矿库</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头顶库</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重特大事故实施方案〉的通知》的通知》，盘古山钨业按“一库一策”的原则，并结合当地实际情况，编制了《江西盘古山钨业有限公司尾矿库</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头顶库</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治理方案》，主要是在2012年实施了隐患综合治理工程，基本上消除了尾矿库原有安全隐患，提升了本质安全程度，拟采取加强内部安全管理和强化外部应急联动机制的治理方式，降低尾矿库险情的危害程度。据悉，盘古山钨业已按江西省应急管理厅有关文件的精神要求，编制了盘古山钨业尾矿库的</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一库一策</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实施方案。</w:t>
      </w:r>
    </w:p>
    <w:p>
      <w:pPr>
        <w:pStyle w:val="3"/>
        <w:bidi w:val="0"/>
        <w:rPr>
          <w:rFonts w:hint="default"/>
          <w:color w:val="000000" w:themeColor="text1"/>
          <w:lang w:val="en-US" w:eastAsia="zh-CN"/>
          <w14:textFill>
            <w14:solidFill>
              <w14:schemeClr w14:val="tx1"/>
            </w14:solidFill>
          </w14:textFill>
        </w:rPr>
      </w:pPr>
      <w:bookmarkStart w:id="102" w:name="_Toc25214"/>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6 </w:t>
      </w:r>
      <w:r>
        <w:rPr>
          <w:rFonts w:hint="default"/>
          <w:color w:val="000000" w:themeColor="text1"/>
          <w:lang w:val="en-US" w:eastAsia="zh-CN"/>
          <w14:textFill>
            <w14:solidFill>
              <w14:schemeClr w14:val="tx1"/>
            </w14:solidFill>
          </w14:textFill>
        </w:rPr>
        <w:t>辅助设施单元</w:t>
      </w:r>
      <w:bookmarkEnd w:id="102"/>
    </w:p>
    <w:p>
      <w:pPr>
        <w:pStyle w:val="4"/>
        <w:bidi w:val="0"/>
        <w:rPr>
          <w:rFonts w:hint="default"/>
          <w:color w:val="000000" w:themeColor="text1"/>
          <w:lang w:val="en-US" w:eastAsia="zh-CN"/>
          <w14:textFill>
            <w14:solidFill>
              <w14:schemeClr w14:val="tx1"/>
            </w14:solidFill>
          </w14:textFill>
        </w:rPr>
      </w:pPr>
      <w:bookmarkStart w:id="103" w:name="_Toc18250"/>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default"/>
          <w:color w:val="000000" w:themeColor="text1"/>
          <w:lang w:val="en-US" w:eastAsia="zh-CN"/>
          <w14:textFill>
            <w14:solidFill>
              <w14:schemeClr w14:val="tx1"/>
            </w14:solidFill>
          </w14:textFill>
        </w:rPr>
        <w:t>.1 安全检查法评价</w:t>
      </w:r>
      <w:bookmarkEnd w:id="103"/>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（1）经现场踏勘，</w:t>
      </w:r>
      <w:r>
        <w:rPr>
          <w:rFonts w:hint="default"/>
          <w:color w:val="000000" w:themeColor="text1"/>
          <w:lang w:val="en-US" w:eastAsia="zh-CN"/>
          <w14:textFill>
            <w14:solidFill>
              <w14:schemeClr w14:val="tx1"/>
            </w14:solidFill>
          </w14:textFill>
        </w:rPr>
        <w:t>盘古山钨业尾矿库尾矿值班观测室在尾矿库东北侧+315.0m标高山坡，距坝顶15m。尾矿工主要通过固定电话及移动电话和选厂及公司调度保持联系。</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经现场踏勘，</w:t>
      </w:r>
      <w:r>
        <w:rPr>
          <w:rFonts w:hint="default"/>
          <w:color w:val="000000" w:themeColor="text1"/>
          <w:lang w:val="en-US" w:eastAsia="zh-CN"/>
          <w14:textFill>
            <w14:solidFill>
              <w14:schemeClr w14:val="tx1"/>
            </w14:solidFill>
          </w14:textFill>
        </w:rPr>
        <w:t>盘古山钨业尾矿库设置了应急物资库，配备了各类应急物资，如木尖、铁锤、铁丝、土工布、编织袋、土箕、铁锹、报警器、救生衣、救生圈、雨衣、应急灯、手动葫芦、排水泵、备用电源等。</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经现场踏勘，</w:t>
      </w:r>
      <w:r>
        <w:rPr>
          <w:rFonts w:hint="default"/>
          <w:color w:val="000000" w:themeColor="text1"/>
          <w:lang w:val="en-US" w:eastAsia="zh-CN"/>
          <w14:textFill>
            <w14:solidFill>
              <w14:schemeClr w14:val="tx1"/>
            </w14:solidFill>
          </w14:textFill>
        </w:rPr>
        <w:t>盘古山钨业尾矿库设立了尾矿库安全运行牌和安全警示牌。</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经现场踏勘，</w:t>
      </w:r>
      <w:r>
        <w:rPr>
          <w:rFonts w:hint="default"/>
          <w:color w:val="000000" w:themeColor="text1"/>
          <w:lang w:val="en-US" w:eastAsia="zh-CN"/>
          <w14:textFill>
            <w14:solidFill>
              <w14:schemeClr w14:val="tx1"/>
            </w14:solidFill>
          </w14:textFill>
        </w:rPr>
        <w:t>盘古山钨业尾矿库坝体</w:t>
      </w:r>
      <w:r>
        <w:rPr>
          <w:rFonts w:hint="eastAsia"/>
          <w:color w:val="000000" w:themeColor="text1"/>
          <w:lang w:val="en-US" w:eastAsia="zh-CN"/>
          <w14:textFill>
            <w14:solidFill>
              <w14:schemeClr w14:val="tx1"/>
            </w14:solidFill>
          </w14:textFill>
        </w:rPr>
        <w:t>上</w:t>
      </w:r>
      <w:r>
        <w:rPr>
          <w:rFonts w:hint="default"/>
          <w:color w:val="000000" w:themeColor="text1"/>
          <w:lang w:val="en-US" w:eastAsia="zh-CN"/>
          <w14:textFill>
            <w14:solidFill>
              <w14:schemeClr w14:val="tx1"/>
            </w14:solidFill>
          </w14:textFill>
        </w:rPr>
        <w:t>设置了照明设施。</w:t>
      </w:r>
    </w:p>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（5）经现场踏勘，</w:t>
      </w:r>
      <w:r>
        <w:rPr>
          <w:rFonts w:hint="default"/>
          <w:color w:val="000000" w:themeColor="text1"/>
          <w:lang w:val="en-US" w:eastAsia="zh-CN"/>
          <w14:textFill>
            <w14:solidFill>
              <w14:schemeClr w14:val="tx1"/>
            </w14:solidFill>
          </w14:textFill>
        </w:rPr>
        <w:t>从矿区及选厂各有一条公路直通尾矿库，可以满足尾矿库应急抢险用。</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综上所述，盘古山钨业尾矿库现场管理较为规范，辅助设施符合规程规范规定。</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盘古山钨业应加大尾矿库检查道路、安全标志、照明设施以及通讯系统的日常维护管理，确保道路畅通无阻、安全标志显眼醒目、照明设施以及通讯系统正常有效。及时更新各类应急物资，确保数量种类齐全有效。</w:t>
      </w:r>
    </w:p>
    <w:p>
      <w:pPr>
        <w:pStyle w:val="3"/>
        <w:bidi w:val="0"/>
        <w:rPr>
          <w:rFonts w:hint="default"/>
          <w:color w:val="000000" w:themeColor="text1"/>
          <w:lang w:val="en-US" w:eastAsia="zh-CN"/>
          <w14:textFill>
            <w14:solidFill>
              <w14:schemeClr w14:val="tx1"/>
            </w14:solidFill>
          </w14:textFill>
        </w:rPr>
      </w:pPr>
      <w:bookmarkStart w:id="104" w:name="_Toc32634"/>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7 </w:t>
      </w:r>
      <w:r>
        <w:rPr>
          <w:rFonts w:hint="default"/>
          <w:color w:val="000000" w:themeColor="text1"/>
          <w:lang w:val="en-US" w:eastAsia="zh-CN"/>
          <w14:textFill>
            <w14:solidFill>
              <w14:schemeClr w14:val="tx1"/>
            </w14:solidFill>
          </w14:textFill>
        </w:rPr>
        <w:t>综合安全评价</w:t>
      </w:r>
      <w:bookmarkEnd w:id="104"/>
    </w:p>
    <w:p>
      <w:pPr>
        <w:pStyle w:val="4"/>
        <w:bidi w:val="0"/>
        <w:rPr>
          <w:rFonts w:hint="default"/>
          <w:color w:val="000000" w:themeColor="text1"/>
          <w:lang w:val="en-US" w:eastAsia="zh-CN"/>
          <w14:textFill>
            <w14:solidFill>
              <w14:schemeClr w14:val="tx1"/>
            </w14:solidFill>
          </w14:textFill>
        </w:rPr>
      </w:pPr>
      <w:bookmarkStart w:id="105" w:name="_Toc736"/>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概述</w:t>
      </w:r>
      <w:bookmarkEnd w:id="105"/>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节采用安全检查表分析法对尾矿库的综合安全状况进行评价，该检查表对尾矿库系统状况的安全综合情况进行检查，并对各项检查内容赋予了分值，依据尾矿库所得分值，将尾矿库分成四个安全等级，以此来确定尾矿库的安全生产现状。</w:t>
      </w:r>
    </w:p>
    <w:p>
      <w:pPr>
        <w:pStyle w:val="4"/>
        <w:bidi w:val="0"/>
        <w:rPr>
          <w:rFonts w:hint="default"/>
          <w:color w:val="000000" w:themeColor="text1"/>
          <w:lang w:val="en-US" w:eastAsia="zh-CN"/>
          <w14:textFill>
            <w14:solidFill>
              <w14:schemeClr w14:val="tx1"/>
            </w14:solidFill>
          </w14:textFill>
        </w:rPr>
      </w:pPr>
      <w:bookmarkStart w:id="106" w:name="_Toc5570"/>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评价标准说明</w:t>
      </w:r>
      <w:bookmarkEnd w:id="106"/>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表5-2</w:t>
      </w:r>
      <w:r>
        <w:rPr>
          <w:rFonts w:hint="eastAsia"/>
          <w:color w:val="000000" w:themeColor="text1"/>
          <w:lang w:val="en-US" w:eastAsia="zh-CN"/>
          <w14:textFill>
            <w14:solidFill>
              <w14:schemeClr w14:val="tx1"/>
            </w14:solidFill>
          </w14:textFill>
        </w:rPr>
        <w:t xml:space="preserve">2 </w:t>
      </w:r>
      <w:r>
        <w:rPr>
          <w:rFonts w:hint="default"/>
          <w:color w:val="000000" w:themeColor="text1"/>
          <w:lang w:val="en-US" w:eastAsia="zh-CN"/>
          <w14:textFill>
            <w14:solidFill>
              <w14:schemeClr w14:val="tx1"/>
            </w14:solidFill>
          </w14:textFill>
        </w:rPr>
        <w:t xml:space="preserve"> 评价标准说明见表</w:t>
      </w:r>
    </w:p>
    <w:tbl>
      <w:tblPr>
        <w:tblStyle w:val="15"/>
        <w:tblW w:w="9035" w:type="dxa"/>
        <w:tblInd w:w="2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19"/>
        <w:gridCol w:w="5908"/>
        <w:gridCol w:w="23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8" w:hRule="atLeast"/>
        </w:trPr>
        <w:tc>
          <w:tcPr>
            <w:tcW w:w="819" w:type="dxa"/>
            <w:tcBorders>
              <w:top w:val="single" w:color="000000" w:sz="2"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类型</w:t>
            </w:r>
          </w:p>
        </w:tc>
        <w:tc>
          <w:tcPr>
            <w:tcW w:w="5908" w:type="dxa"/>
            <w:tcBorders>
              <w:top w:val="single" w:color="000000" w:sz="2"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概念</w:t>
            </w:r>
          </w:p>
        </w:tc>
        <w:tc>
          <w:tcPr>
            <w:tcW w:w="2308" w:type="dxa"/>
            <w:tcBorders>
              <w:top w:val="single" w:color="000000" w:sz="2"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7" w:hRule="atLeast"/>
        </w:trPr>
        <w:tc>
          <w:tcPr>
            <w:tcW w:w="819"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A类库</w:t>
            </w:r>
          </w:p>
        </w:tc>
        <w:tc>
          <w:tcPr>
            <w:tcW w:w="59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安全生产条件较好，生产活动有安全保障。</w:t>
            </w:r>
          </w:p>
        </w:tc>
        <w:tc>
          <w:tcPr>
            <w:tcW w:w="23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得分率在90%以上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9" w:hRule="atLeast"/>
        </w:trPr>
        <w:tc>
          <w:tcPr>
            <w:tcW w:w="819"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B类库</w:t>
            </w:r>
          </w:p>
        </w:tc>
        <w:tc>
          <w:tcPr>
            <w:tcW w:w="59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安全生产条件一般，能满足基本的安全生产活动。</w:t>
            </w:r>
          </w:p>
        </w:tc>
        <w:tc>
          <w:tcPr>
            <w:tcW w:w="23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得分率在76%～89%之间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0" w:hRule="atLeast"/>
        </w:trPr>
        <w:tc>
          <w:tcPr>
            <w:tcW w:w="819"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C类库</w:t>
            </w:r>
          </w:p>
        </w:tc>
        <w:tc>
          <w:tcPr>
            <w:tcW w:w="59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安全生产条件较差，不能完全保证安全生产活动，需要限期整改。</w:t>
            </w:r>
          </w:p>
        </w:tc>
        <w:tc>
          <w:tcPr>
            <w:tcW w:w="23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得分率在60%～75%之间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0" w:hRule="atLeast"/>
        </w:trPr>
        <w:tc>
          <w:tcPr>
            <w:tcW w:w="819"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D类库</w:t>
            </w:r>
          </w:p>
        </w:tc>
        <w:tc>
          <w:tcPr>
            <w:tcW w:w="5908"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不具备基本的安全生产条件，或未通过验收，需要责令停产整顿的尾矿库。</w:t>
            </w:r>
          </w:p>
        </w:tc>
        <w:tc>
          <w:tcPr>
            <w:tcW w:w="2308"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得分率在60%以下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49" w:hRule="atLeast"/>
        </w:trPr>
        <w:tc>
          <w:tcPr>
            <w:tcW w:w="819" w:type="dxa"/>
            <w:tcBorders>
              <w:top w:val="single" w:color="auto" w:sz="4" w:space="0"/>
              <w:left w:val="single" w:color="auto" w:sz="4" w:space="0"/>
              <w:bottom w:val="single" w:color="auto" w:sz="4" w:space="0"/>
              <w:right w:val="single" w:color="000000" w:sz="2"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备  注</w:t>
            </w:r>
          </w:p>
        </w:tc>
        <w:tc>
          <w:tcPr>
            <w:tcW w:w="59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1.表中带“*”号的项目为否决项：达不到“**”项目要求的，归为D类库；达不到“*”号项目要求的，归为C类库。</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2.本表评价内容，采用百分制。</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3.尾矿库分类，采用得分率。因尾矿库型式不同，没有涉及的项目，可不予评估，总分为实际评价项目的分值总和。最后得分采用得分率，即：实际评价得分÷实际评价项目的分值总和×100%.</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4.评价方法及扣分尺度，评价人员根据实际情况具体掌握。</w:t>
            </w:r>
          </w:p>
        </w:tc>
        <w:tc>
          <w:tcPr>
            <w:tcW w:w="2308" w:type="dxa"/>
            <w:tcBorders>
              <w:top w:val="single" w:color="auto" w:sz="4" w:space="0"/>
              <w:left w:val="single" w:color="auto" w:sz="4" w:space="0"/>
              <w:bottom w:val="single" w:color="000000" w:sz="2" w:space="0"/>
              <w:right w:val="single" w:color="000000" w:sz="2"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标准分120分</w:t>
            </w:r>
          </w:p>
        </w:tc>
      </w:tr>
    </w:tbl>
    <w:p>
      <w:pPr>
        <w:pStyle w:val="4"/>
        <w:bidi w:val="0"/>
        <w:rPr>
          <w:rFonts w:hint="default"/>
          <w:color w:val="000000" w:themeColor="text1"/>
          <w:lang w:val="en-US" w:eastAsia="zh-CN"/>
          <w14:textFill>
            <w14:solidFill>
              <w14:schemeClr w14:val="tx1"/>
            </w14:solidFill>
          </w14:textFill>
        </w:rPr>
      </w:pPr>
      <w:bookmarkStart w:id="107" w:name="_Toc25354"/>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尾矿库综合评分表</w:t>
      </w:r>
      <w:bookmarkEnd w:id="107"/>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表5-2</w:t>
      </w:r>
      <w:r>
        <w:rPr>
          <w:rFonts w:hint="eastAsia"/>
          <w:color w:val="000000" w:themeColor="text1"/>
          <w:lang w:val="en-US" w:eastAsia="zh-CN"/>
          <w14:textFill>
            <w14:solidFill>
              <w14:schemeClr w14:val="tx1"/>
            </w14:solidFill>
          </w14:textFill>
        </w:rPr>
        <w:t xml:space="preserve">3 </w:t>
      </w:r>
      <w:r>
        <w:rPr>
          <w:rFonts w:hint="default"/>
          <w:color w:val="000000" w:themeColor="text1"/>
          <w:lang w:val="en-US" w:eastAsia="zh-CN"/>
          <w14:textFill>
            <w14:solidFill>
              <w14:schemeClr w14:val="tx1"/>
            </w14:solidFill>
          </w14:textFill>
        </w:rPr>
        <w:t>尾矿库综合评分表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420"/>
        <w:gridCol w:w="1619"/>
        <w:gridCol w:w="161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序号</w:t>
            </w:r>
          </w:p>
        </w:tc>
        <w:tc>
          <w:tcPr>
            <w:tcW w:w="34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评价项目</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应得分</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实得分</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p>
        </w:tc>
        <w:tc>
          <w:tcPr>
            <w:tcW w:w="34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综合安全管理单元</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51</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val="en-US" w:eastAsia="zh-CN"/>
                <w14:textFill>
                  <w14:solidFill>
                    <w14:schemeClr w14:val="tx1"/>
                  </w14:solidFill>
                </w14:textFill>
              </w:rPr>
              <w:t>8</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14:textFill>
                  <w14:solidFill>
                    <w14:schemeClr w14:val="tx1"/>
                  </w14:solidFill>
                </w14:textFill>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p>
        </w:tc>
        <w:tc>
          <w:tcPr>
            <w:tcW w:w="34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尾矿坝体单元</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77</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63</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p>
        </w:tc>
        <w:tc>
          <w:tcPr>
            <w:tcW w:w="34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防排洪系统单元</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41</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39</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w:t>
            </w:r>
          </w:p>
        </w:tc>
        <w:tc>
          <w:tcPr>
            <w:tcW w:w="34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库区环境单元</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合计</w:t>
            </w:r>
          </w:p>
        </w:tc>
        <w:tc>
          <w:tcPr>
            <w:tcW w:w="34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176</w:t>
            </w:r>
          </w:p>
        </w:tc>
        <w:tc>
          <w:tcPr>
            <w:tcW w:w="16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157</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89.20</w:t>
            </w:r>
          </w:p>
        </w:tc>
      </w:tr>
    </w:tbl>
    <w:p>
      <w:pPr>
        <w:pStyle w:val="4"/>
        <w:bidi w:val="0"/>
        <w:rPr>
          <w:rFonts w:hint="default"/>
          <w:color w:val="000000" w:themeColor="text1"/>
          <w:lang w:val="en-US" w:eastAsia="zh-CN"/>
          <w14:textFill>
            <w14:solidFill>
              <w14:schemeClr w14:val="tx1"/>
            </w14:solidFill>
          </w14:textFill>
        </w:rPr>
      </w:pPr>
      <w:bookmarkStart w:id="108" w:name="_Toc4565"/>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7</w:t>
      </w:r>
      <w:r>
        <w:rPr>
          <w:rFonts w:hint="default"/>
          <w:color w:val="000000" w:themeColor="text1"/>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评价结论</w:t>
      </w:r>
      <w:bookmarkEnd w:id="108"/>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经现场检查，盘古山钨业安全管理机构健全，安全生产管理制度完善，盘古山钨业尾矿库尾矿坝基本符合设计要求，尾矿坝整体稳定性符合《规范》要求；排洪能力符合设计洪水泄流要求，尾矿库运行安全。尾矿库采用安全检查表法评价得分率为89.</w:t>
      </w:r>
      <w:r>
        <w:rPr>
          <w:rFonts w:hint="eastAsia"/>
          <w:color w:val="000000" w:themeColor="text1"/>
          <w:lang w:val="en-US" w:eastAsia="zh-CN"/>
          <w14:textFill>
            <w14:solidFill>
              <w14:schemeClr w14:val="tx1"/>
            </w14:solidFill>
          </w14:textFill>
        </w:rPr>
        <w:t>20</w:t>
      </w:r>
      <w:r>
        <w:rPr>
          <w:rFonts w:hint="default"/>
          <w:color w:val="000000" w:themeColor="text1"/>
          <w:lang w:val="en-US" w:eastAsia="zh-CN"/>
          <w14:textFill>
            <w14:solidFill>
              <w14:schemeClr w14:val="tx1"/>
            </w14:solidFill>
          </w14:textFill>
        </w:rPr>
        <w:t>%，属于安全生产条件一般，能满足基本安全生产活动的尾矿库，为正常库。</w:t>
      </w:r>
      <w:r>
        <w:rPr>
          <w:rFonts w:hint="default"/>
          <w:color w:val="000000" w:themeColor="text1"/>
          <w:lang w:val="en-US" w:eastAsia="zh-CN"/>
          <w14:textFill>
            <w14:solidFill>
              <w14:schemeClr w14:val="tx1"/>
            </w14:solidFill>
          </w14:textFill>
        </w:rPr>
        <w:br w:type="page"/>
      </w:r>
    </w:p>
    <w:p>
      <w:pPr>
        <w:pStyle w:val="2"/>
        <w:numPr>
          <w:ilvl w:val="0"/>
          <w:numId w:val="1"/>
        </w:numPr>
        <w:bidi w:val="0"/>
        <w:rPr>
          <w:rStyle w:val="23"/>
          <w:rFonts w:hint="default" w:ascii="Times New Roman" w:hAnsi="Times New Roman" w:cs="Times New Roman"/>
          <w:b/>
          <w:color w:val="000000" w:themeColor="text1"/>
          <w:lang w:val="en-US" w:eastAsia="zh-CN"/>
          <w14:textFill>
            <w14:solidFill>
              <w14:schemeClr w14:val="tx1"/>
            </w14:solidFill>
          </w14:textFill>
        </w:rPr>
      </w:pPr>
      <w:bookmarkStart w:id="109" w:name="_Toc2110"/>
      <w:r>
        <w:rPr>
          <w:rStyle w:val="23"/>
          <w:rFonts w:hint="default" w:ascii="Times New Roman" w:hAnsi="Times New Roman" w:cs="Times New Roman"/>
          <w:b/>
          <w:color w:val="000000" w:themeColor="text1"/>
          <w:lang w:val="en-US" w:eastAsia="zh-CN"/>
          <w14:textFill>
            <w14:solidFill>
              <w14:schemeClr w14:val="tx1"/>
            </w14:solidFill>
          </w14:textFill>
        </w:rPr>
        <w:t>安全对策措施建议</w:t>
      </w:r>
      <w:bookmarkEnd w:id="109"/>
    </w:p>
    <w:p>
      <w:pPr>
        <w:pStyle w:val="3"/>
        <w:bidi w:val="0"/>
        <w:rPr>
          <w:rFonts w:hint="default"/>
          <w:color w:val="000000" w:themeColor="text1"/>
          <w:lang w:val="en-US" w:eastAsia="zh-CN"/>
          <w14:textFill>
            <w14:solidFill>
              <w14:schemeClr w14:val="tx1"/>
            </w14:solidFill>
          </w14:textFill>
        </w:rPr>
      </w:pPr>
      <w:bookmarkStart w:id="110" w:name="_Toc2198"/>
      <w:r>
        <w:rPr>
          <w:rFonts w:hint="default"/>
          <w:color w:val="000000" w:themeColor="text1"/>
          <w:lang w:val="en-US" w:eastAsia="zh-CN"/>
          <w14:textFill>
            <w14:solidFill>
              <w14:schemeClr w14:val="tx1"/>
            </w14:solidFill>
          </w14:textFill>
        </w:rPr>
        <w:t>6.1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安全管理对策措施建议</w:t>
      </w:r>
      <w:bookmarkEnd w:id="110"/>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 企业应编制年、季作业计划和详细运行图表，严格按照《尾矿库安全规程》《尾矿库安全监督管理规定》和设计文件的要求，统筹安排和实施尾矿输送、排放和排洪的管理工作。</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 企业应督促并检查尾矿工日常巡坝、检查尾矿库安全设施的执行情况，指导尾矿工认真填写好日常尾矿库交接班、巡查记录及尾矿库安全运行牌记录。</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 企业应根据盘古山钨业尾矿库的现状，配齐备足应急救援物资器材，并每年至少组织一次综合应急预案演练或者专项应急预案演练，每半年至少组织一次现场处置方案演练，保留演练影像资料，分析评估演练效果，每3年进行一次应急预案评估、修订完善尾矿库生产安全事故应急预案，使之具有针对性、有效性和及时性。</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 企业应加强尾矿工的安全教育培训工作，并落实到位、做到持证上岗。并按《尾矿库安全规程》的规定，配备安全监测设施检查人员、检测设施和检测人员及主管技术人员。</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 企业应配备选矿、水工、土木工程、地质等专业技术人员管理尾矿库，重视和加强尾矿库的建设和管理资料的归档和保管工作。</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（1）文件和图纸：①如设计图纸和说明，施工、竣工图纸和文字材料，包括初期坝、堆积坝、排水系统等；②立项报告、批复，竣工验收报告及工程的相关文件等。</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（2）应制定观测设施管理制度，加强观测和保护，由安全监测设施检查人员负责观测，形成观测、分析记录，并备档存查。</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 盘古山钨业尾矿库专职安全生产管理人员应当不少于</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人，专业技术人员应当不少于</w:t>
      </w: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人。特种作业人员数量必须能够满足实际生产需求，并持证上岗。生产经营单位的主要负责人和安全生产管理人员应当依照有关规定经培训考核合格并取得安全生产知识和管理能力考核合格证。</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 企业应确保安全措施费用定额提取、专款专用，并得到落实。</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 企业应密切关注当地气象信息，在出入库区公路上设置安全警示牌，或配备锣鼓、喊话器，以便将险情信息及时传达和提醒下游居民。一旦发生险情，人员不得往下游奔跑，应往上游或山坡上避险。</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9. 鉴于盘古山钨业尾矿库离下游村庄较近，盘古山钨业应跟当地气象部门建立联系，对矿区进行有效的天气预报。并加强与当地人民政府及村民小组的联系，宜在适当地段设置警报器或配置锣鼓、喊话器，在显眼处张贴避灾线路图和紧急疏散指南，并对村民进行宣传和培训。</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10. 应加强库区山体巡查，详细观察周边山体有无异常和急变，有无滑坡、塌方和泥石流以及放牧、开垦、砍伐等情况。分析周边山体发生滑坡可能性，尤其是建库时开挖的山体的稳定性，防止山体滑塌伤人。</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 应持续开展尾矿库危险源辨识与风险评价，建立隐患排查治理与风险管控双重预防体系，规范设立尾矿库安全风险告知牌、避灾线路图、安全风险分级管控四色图及安全风险管控“三清单”，及时发现并消除隐患。</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12. 应积极开展尾矿库班组建设，持续改进尾矿库安全生产标准化体系。</w:t>
      </w:r>
    </w:p>
    <w:p>
      <w:pPr>
        <w:pStyle w:val="3"/>
        <w:bidi w:val="0"/>
        <w:rPr>
          <w:rFonts w:hint="default"/>
          <w:color w:val="000000" w:themeColor="text1"/>
          <w:lang w:val="en-US" w:eastAsia="zh-CN"/>
          <w14:textFill>
            <w14:solidFill>
              <w14:schemeClr w14:val="tx1"/>
            </w14:solidFill>
          </w14:textFill>
        </w:rPr>
      </w:pPr>
      <w:bookmarkStart w:id="111" w:name="_Toc22792"/>
      <w:r>
        <w:rPr>
          <w:rFonts w:hint="default"/>
          <w:color w:val="000000" w:themeColor="text1"/>
          <w:lang w:val="en-US" w:eastAsia="zh-CN"/>
          <w14:textFill>
            <w14:solidFill>
              <w14:schemeClr w14:val="tx1"/>
            </w14:solidFill>
          </w14:textFill>
        </w:rPr>
        <w:t>6.2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安全技术对策措施建议</w:t>
      </w:r>
      <w:bookmarkEnd w:id="111"/>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 加强尾矿坝检查</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（1）检查坝体位移。要求坝的位移量变化应均衡，无突变现象，且应逐年减小。当位移量变化出现突变或有增大趋势时，应查明原因，妥善处理；</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（2）检查坝体有无纵、横向裂缝。坝体出现裂缝时．应查明裂缝的长度、宽度、深度、走向、形态和成因，判定危害程度，妥善处理；</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（3）检查坝体滑坡。坝体出现滑坡时，应查明滑坡位置、范围和形态以及滑坡的动态趋势；</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（4）检查坝体及坝肩山体渗漏。应查明有无渗漏出逸点，出连点的位置、形态、流量及含沙量等；</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（5）检查坝肩沟沿线山坡稳定性、沟内淤堵等。</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 xml:space="preserve">2. 加强尾矿库的防洪度汛安全管理工作 </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（1）汛前应按下列要求制定度汛方案：</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①及时清除库区排洪设施、块石和树木杂草，尤其要做好排水设施（如排水斜槽、</w:t>
      </w:r>
      <w:r>
        <w:rPr>
          <w:rFonts w:hint="eastAsia"/>
          <w:color w:val="000000" w:themeColor="text1"/>
          <w:lang w:val="en-US" w:eastAsia="zh-CN"/>
          <w14:textFill>
            <w14:solidFill>
              <w14:schemeClr w14:val="tx1"/>
            </w14:solidFill>
          </w14:textFill>
        </w:rPr>
        <w:t>排水井</w:t>
      </w:r>
      <w:r>
        <w:rPr>
          <w:rFonts w:hint="default"/>
          <w:color w:val="000000" w:themeColor="text1"/>
          <w:lang w:val="en-US" w:eastAsia="zh-CN"/>
          <w14:textFill>
            <w14:solidFill>
              <w14:schemeClr w14:val="tx1"/>
            </w14:solidFill>
          </w14:textFill>
        </w:rPr>
        <w:t>上方山体）的清堵除堵工作，避免汛期因排水斜槽、</w:t>
      </w:r>
      <w:r>
        <w:rPr>
          <w:rFonts w:hint="eastAsia"/>
          <w:color w:val="000000" w:themeColor="text1"/>
          <w:lang w:val="en-US" w:eastAsia="zh-CN"/>
          <w14:textFill>
            <w14:solidFill>
              <w14:schemeClr w14:val="tx1"/>
            </w14:solidFill>
          </w14:textFill>
        </w:rPr>
        <w:t>排水井</w:t>
      </w:r>
      <w:r>
        <w:rPr>
          <w:rFonts w:hint="default"/>
          <w:color w:val="000000" w:themeColor="text1"/>
          <w:lang w:val="en-US" w:eastAsia="zh-CN"/>
          <w14:textFill>
            <w14:solidFill>
              <w14:schemeClr w14:val="tx1"/>
            </w14:solidFill>
          </w14:textFill>
        </w:rPr>
        <w:t>内淤堵而出现洪水漫顶现象；</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②应准备好必要的抢险、交通、通讯、供电及照明器材或设施，维护整修上坝道路，并确保安全畅通；</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③应加强值班和巡逻，设警报信号和组织抢险队伍，根据当地具体情况与地方政府一起制定下游居民撤离险区方案及实施办法；</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④及时了解掌握汛期水情和气象预报。</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（2）暴雨过后应对排水斜槽、</w:t>
      </w:r>
      <w:r>
        <w:rPr>
          <w:rFonts w:hint="eastAsia"/>
          <w:color w:val="000000" w:themeColor="text1"/>
          <w:lang w:val="en-US" w:eastAsia="zh-CN"/>
          <w14:textFill>
            <w14:solidFill>
              <w14:schemeClr w14:val="tx1"/>
            </w14:solidFill>
          </w14:textFill>
        </w:rPr>
        <w:t>排水井</w:t>
      </w:r>
      <w:r>
        <w:rPr>
          <w:rFonts w:hint="default"/>
          <w:color w:val="000000" w:themeColor="text1"/>
          <w:lang w:val="en-US" w:eastAsia="zh-CN"/>
          <w14:textFill>
            <w14:solidFill>
              <w14:schemeClr w14:val="tx1"/>
            </w14:solidFill>
          </w14:textFill>
        </w:rPr>
        <w:t>进行全面认真的检查与清理，并不定期清除进水口附近水面的漂浮物、杂草等杂物。若发现问题应及时修复。</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（3）对出现蜂窝麻面、露筋、缺角等状况的排水斜槽盖板，应予以报废、损毁，并加强现场检查。</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（4）库水位观测标尺应标明正常运行水位和警戒水位，并及时刷新排水斜槽附近的库水位标尺。</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企业应配足备齐符合盘古山钨业尾矿库应急抢险所需的应急物资、及时了解和掌握汛期水情和气象预报情况。高温天气，督促员工尽量短时间巡查一遍；雷雨天气，督促员工在值班房内通过在线监测系统观察库区、尾矿坝、排水构筑物，防止雷击；蛇鼠出入季节，督促员工穿戴好劳动防护用品和驱赶棍棒。大风扬尘，督促员工佩戴防尘口罩入库检查。</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每年汛期前，企业可委托设计单位根据盘古山钨业尾矿库实测地形图、水位等实际情况进行调洪演算，复核尾矿库防洪能力，确定汛期尾矿库的运行水位等安全运行控制参数。每三年对排洪、排水构筑物进行一次质量检测，保存好检测报告。</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（7）严格控制放矿高程，严禁尾矿沉积滩滩面超过溢洪道底板。</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应加强安全监测设施（含避雷、接地装置）的维护和检查。一旦监测设施出现故障或损坏，应尽快修护或联系在线监测系统设计（安装调试）单位维修事宜。若在线监测设施长时间维修不好，应发挥人工观测设施的作用，做到观测记录不断档。应加强员工责任心教育和在线监测系统应用及维护培训。</w:t>
      </w:r>
      <w:r>
        <w:rPr>
          <w:rFonts w:hint="default"/>
          <w:color w:val="000000" w:themeColor="text1"/>
          <w:lang w:val="en-US" w:eastAsia="zh-CN"/>
          <w14:textFill>
            <w14:solidFill>
              <w14:schemeClr w14:val="tx1"/>
            </w14:solidFill>
          </w14:textFill>
        </w:rPr>
        <w:br w:type="page"/>
      </w:r>
    </w:p>
    <w:p>
      <w:pPr>
        <w:pStyle w:val="2"/>
        <w:numPr>
          <w:ilvl w:val="0"/>
          <w:numId w:val="1"/>
        </w:numPr>
        <w:bidi w:val="0"/>
        <w:rPr>
          <w:rStyle w:val="23"/>
          <w:rFonts w:hint="default" w:ascii="Times New Roman" w:hAnsi="Times New Roman" w:cs="Times New Roman"/>
          <w:b/>
          <w:color w:val="000000" w:themeColor="text1"/>
          <w:lang w:val="en-US" w:eastAsia="zh-CN"/>
          <w14:textFill>
            <w14:solidFill>
              <w14:schemeClr w14:val="tx1"/>
            </w14:solidFill>
          </w14:textFill>
        </w:rPr>
      </w:pPr>
      <w:bookmarkStart w:id="112" w:name="_Toc16045"/>
      <w:r>
        <w:rPr>
          <w:rStyle w:val="23"/>
          <w:rFonts w:hint="default" w:ascii="Times New Roman" w:hAnsi="Times New Roman" w:cs="Times New Roman"/>
          <w:b/>
          <w:color w:val="000000" w:themeColor="text1"/>
          <w:lang w:val="en-US" w:eastAsia="zh-CN"/>
          <w14:textFill>
            <w14:solidFill>
              <w14:schemeClr w14:val="tx1"/>
            </w14:solidFill>
          </w14:textFill>
        </w:rPr>
        <w:t>安全评价结论</w:t>
      </w:r>
      <w:bookmarkEnd w:id="112"/>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本次评价根据国家已颁布的有关安全生产法律、法规及相关文件精神，本着科学、公正、合法、自主的原则对江西</w:t>
      </w:r>
      <w:r>
        <w:rPr>
          <w:rFonts w:hint="eastAsia"/>
          <w:color w:val="000000" w:themeColor="text1"/>
          <w:lang w:eastAsia="zh-CN"/>
          <w14:textFill>
            <w14:solidFill>
              <w14:schemeClr w14:val="tx1"/>
            </w14:solidFill>
          </w14:textFill>
        </w:rPr>
        <w:t>盘古山</w:t>
      </w:r>
      <w:r>
        <w:rPr>
          <w:rFonts w:hint="default"/>
          <w:color w:val="000000" w:themeColor="text1"/>
          <w:lang w:val="en-US" w:eastAsia="zh-CN"/>
          <w14:textFill>
            <w14:solidFill>
              <w14:schemeClr w14:val="tx1"/>
            </w14:solidFill>
          </w14:textFill>
        </w:rPr>
        <w:t>钨业有限公司</w:t>
      </w:r>
      <w:r>
        <w:rPr>
          <w:rFonts w:hint="eastAsia"/>
          <w:color w:val="000000" w:themeColor="text1"/>
          <w:lang w:eastAsia="zh-CN"/>
          <w14:textFill>
            <w14:solidFill>
              <w14:schemeClr w14:val="tx1"/>
            </w14:solidFill>
          </w14:textFill>
        </w:rPr>
        <w:t>盘古山钨业尾矿库</w:t>
      </w:r>
      <w:r>
        <w:rPr>
          <w:rFonts w:hint="default"/>
          <w:color w:val="000000" w:themeColor="text1"/>
          <w:lang w:val="en-US" w:eastAsia="zh-CN"/>
          <w14:textFill>
            <w14:solidFill>
              <w14:schemeClr w14:val="tx1"/>
            </w14:solidFill>
          </w14:textFill>
        </w:rPr>
        <w:t>在运营过程中存在的主要危险、有害因素的种类及危害程度进行了分析，对导致该尾矿库重大事故的危险、有害因素进行定性、定量评价，得出如下结论：</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（1）江西盘古山钨业有限公司尾矿库暂不属于重大危险源，也不存在重大生产安全事故隐患。企业应按要求进行申报登记、制定应急预案并备案、定期组织应急演练，正确引导下游居民紧急疏散。</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江西盘古山钨业有限公司尾矿库运营期间存在滑坡（坝坡失稳）；坝体位移、沉陷；裂缝；坝体坍滑；渗漏；排洪构筑物破坏（裂缝、垮塌、堵塞、错动）；淹溺；高处坠落；触电；粉尘；不良环境因素；库区山体滑坡、塌方和泥石流等1</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类，其危险等级为</w:t>
      </w:r>
      <w:r>
        <w:rPr>
          <w:rFonts w:hint="eastAsia" w:ascii="宋体" w:hAnsi="宋体" w:eastAsia="宋体" w:cs="宋体"/>
          <w:color w:val="000000" w:themeColor="text1"/>
          <w:lang w:val="en-US" w:eastAsia="zh-CN"/>
          <w14:textFill>
            <w14:solidFill>
              <w14:schemeClr w14:val="tx1"/>
            </w14:solidFill>
          </w14:textFill>
        </w:rPr>
        <w:t>Ⅱ-Ⅳ</w:t>
      </w:r>
      <w:r>
        <w:rPr>
          <w:rFonts w:hint="default"/>
          <w:color w:val="000000" w:themeColor="text1"/>
          <w:lang w:val="en-US" w:eastAsia="zh-CN"/>
          <w14:textFill>
            <w14:solidFill>
              <w14:schemeClr w14:val="tx1"/>
            </w14:solidFill>
          </w14:textFill>
        </w:rPr>
        <w:t>。应重点防范尾矿坝滑坡、位移、沉陷及排洪构筑物破坏等危害因素。</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江西盘古山钨业有限公司安全管理机构健全，尾矿库安全管理制度完善，安全管理措施基本落实到位；尾矿坝基本符合设计要求，现状完好，经尾矿坝稳定性分析，坝坡安全系数符合《规范》要求；原有排水构筑物不尽符合设计要求，待库内水位达+271.0m高程时应按设计要求进行封堵。新建排洪系统符合设计要求，本次按新建排水构筑物进行洪水复核，其泄流能力满足洪水泄流要求；尾矿库库区安全状况良好，运行安全。鉴于尾矿库下游居民较多，江西盘古山钨业有限公司应密切联系当地气象站、镇人民政府及村民小组，定期演练，做好下游村民的宣传教育工作和正确引导下游村民疏散撤离工作。</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（4）经采用安全检查表法对江西盘古山钨业有限公司尾矿库综合评价，得分率为</w:t>
      </w:r>
      <w:r>
        <w:rPr>
          <w:rFonts w:hint="eastAsia"/>
          <w:color w:val="000000" w:themeColor="text1"/>
          <w:lang w:val="en-US" w:eastAsia="zh-CN"/>
          <w14:textFill>
            <w14:solidFill>
              <w14:schemeClr w14:val="tx1"/>
            </w14:solidFill>
          </w14:textFill>
        </w:rPr>
        <w:t>89.20</w:t>
      </w:r>
      <w:r>
        <w:rPr>
          <w:rFonts w:hint="default"/>
          <w:color w:val="000000" w:themeColor="text1"/>
          <w:lang w:val="en-US" w:eastAsia="zh-CN"/>
          <w14:textFill>
            <w14:solidFill>
              <w14:schemeClr w14:val="tx1"/>
            </w14:solidFill>
          </w14:textFill>
        </w:rPr>
        <w:t>%，安全生产条件一般，能满足基本的安全生产活动，属正常库。</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江西盘古山钨业有限公司应认真考虑本报告中分析的危险、有害因素，积极落实所提出的各项安全对策措施和建议，按照国家安全生产法律、法规、行业规程要求进行完善，全面推动、持续改进安全生产标准化工作，提高尾矿库的本质安全程度，实现长周期安全生产。</w:t>
      </w:r>
    </w:p>
    <w:p>
      <w:pPr>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结论：江西盘古山钨业有限公司尾矿库属于正常库，现状符合安全生产条件。</w:t>
      </w:r>
    </w:p>
    <w:p>
      <w:pPr>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br w:type="page"/>
      </w:r>
    </w:p>
    <w:p>
      <w:pPr>
        <w:pStyle w:val="2"/>
        <w:numPr>
          <w:ilvl w:val="0"/>
          <w:numId w:val="1"/>
        </w:numPr>
        <w:bidi w:val="0"/>
        <w:rPr>
          <w:rStyle w:val="23"/>
          <w:rFonts w:hint="default" w:ascii="Times New Roman" w:hAnsi="Times New Roman" w:cs="Times New Roman"/>
          <w:b/>
          <w:color w:val="000000" w:themeColor="text1"/>
          <w:lang w:val="en-US" w:eastAsia="zh-CN"/>
          <w14:textFill>
            <w14:solidFill>
              <w14:schemeClr w14:val="tx1"/>
            </w14:solidFill>
          </w14:textFill>
        </w:rPr>
      </w:pPr>
      <w:bookmarkStart w:id="113" w:name="_Toc26236"/>
      <w:r>
        <w:rPr>
          <w:rStyle w:val="23"/>
          <w:rFonts w:hint="default" w:ascii="Times New Roman" w:hAnsi="Times New Roman" w:cs="Times New Roman"/>
          <w:b/>
          <w:color w:val="000000" w:themeColor="text1"/>
          <w:lang w:val="en-US" w:eastAsia="zh-CN"/>
          <w14:textFill>
            <w14:solidFill>
              <w14:schemeClr w14:val="tx1"/>
            </w14:solidFill>
          </w14:textFill>
        </w:rPr>
        <w:t>附图附件</w:t>
      </w:r>
      <w:bookmarkEnd w:id="113"/>
    </w:p>
    <w:p>
      <w:pPr>
        <w:pStyle w:val="3"/>
        <w:bidi w:val="0"/>
        <w:rPr>
          <w:rFonts w:hint="default"/>
          <w:color w:val="000000" w:themeColor="text1"/>
          <w:lang w:val="en-US" w:eastAsia="zh-CN"/>
          <w14:textFill>
            <w14:solidFill>
              <w14:schemeClr w14:val="tx1"/>
            </w14:solidFill>
          </w14:textFill>
        </w:rPr>
      </w:pPr>
      <w:bookmarkStart w:id="114" w:name="_Toc3016"/>
      <w:r>
        <w:rPr>
          <w:rFonts w:hint="default"/>
          <w:color w:val="000000" w:themeColor="text1"/>
          <w:lang w:val="en-US" w:eastAsia="zh-CN"/>
          <w14:textFill>
            <w14:solidFill>
              <w14:schemeClr w14:val="tx1"/>
            </w14:solidFill>
          </w14:textFill>
        </w:rPr>
        <w:t>8.1</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附图</w:t>
      </w:r>
      <w:bookmarkEnd w:id="114"/>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（1）尾矿库平面布置图</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（2）尾矿坝剖面图</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（3）排水构筑物剖面图</w:t>
      </w:r>
    </w:p>
    <w:p>
      <w:pPr>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（4）尾矿库放矿图</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）尾矿库库容曲线图</w:t>
      </w:r>
    </w:p>
    <w:p>
      <w:pPr>
        <w:pStyle w:val="3"/>
        <w:bidi w:val="0"/>
        <w:rPr>
          <w:rFonts w:hint="default"/>
          <w:color w:val="000000" w:themeColor="text1"/>
          <w:lang w:val="en-US" w:eastAsia="zh-CN"/>
          <w14:textFill>
            <w14:solidFill>
              <w14:schemeClr w14:val="tx1"/>
            </w14:solidFill>
          </w14:textFill>
        </w:rPr>
      </w:pPr>
      <w:bookmarkStart w:id="115" w:name="_Toc4328"/>
      <w:r>
        <w:rPr>
          <w:rFonts w:hint="default"/>
          <w:color w:val="000000" w:themeColor="text1"/>
          <w:lang w:val="en-US" w:eastAsia="zh-CN"/>
          <w14:textFill>
            <w14:solidFill>
              <w14:schemeClr w14:val="tx1"/>
            </w14:solidFill>
          </w14:textFill>
        </w:rPr>
        <w:t>8.2</w:t>
      </w:r>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附件</w:t>
      </w:r>
      <w:bookmarkEnd w:id="115"/>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企业提供的各类证照和其他佐证材料</w:t>
      </w: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附：评价人员与企业安全管理人员现场合影</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3964940" cy="3964940"/>
            <wp:effectExtent l="0" t="0" r="16510" b="16510"/>
            <wp:docPr id="3" name="图片 3" descr="IMG_20230221_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221_110938"/>
                    <pic:cNvPicPr>
                      <a:picLocks noChangeAspect="1"/>
                    </pic:cNvPicPr>
                  </pic:nvPicPr>
                  <pic:blipFill>
                    <a:blip r:embed="rId23"/>
                    <a:stretch>
                      <a:fillRect/>
                    </a:stretch>
                  </pic:blipFill>
                  <pic:spPr>
                    <a:xfrm>
                      <a:off x="0" y="0"/>
                      <a:ext cx="3964940" cy="3964940"/>
                    </a:xfrm>
                    <a:prstGeom prst="rect">
                      <a:avLst/>
                    </a:prstGeom>
                  </pic:spPr>
                </pic:pic>
              </a:graphicData>
            </a:graphic>
          </wp:inline>
        </w:drawing>
      </w:r>
    </w:p>
    <w:sectPr>
      <w:footerReference r:id="rId7" w:type="default"/>
      <w:type w:val="continuous"/>
      <w:pgSz w:w="11906" w:h="16839"/>
      <w:pgMar w:top="1417" w:right="1417" w:bottom="1417" w:left="1417" w:header="850" w:footer="992" w:gutter="0"/>
      <w:pgNumType w:fmt="decimal" w:start="1"/>
      <w:cols w:space="425"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jc w:val="left"/>
    </w:pPr>
    <w:r>
      <w:rPr>
        <w:rFonts w:hint="eastAsia"/>
      </w:rPr>
      <w:t xml:space="preserve">江西盘古山钨业有限公司尾矿库安全现状评价报告                                    </w:t>
    </w:r>
    <w:r>
      <w:rPr>
        <w:rFonts w:hint="default" w:ascii="Times New Roman" w:hAnsi="Times New Roman" w:cs="Times New Roman"/>
      </w:rPr>
      <w:t xml:space="preserve">   GAAP[2023]</w:t>
    </w:r>
    <w:r>
      <w:rPr>
        <w:rFonts w:hint="eastAsia" w:cs="Times New Roman"/>
        <w:lang w:val="en-US" w:eastAsia="zh-CN"/>
      </w:rPr>
      <w:t>0628</w:t>
    </w:r>
    <w:r>
      <w:rPr>
        <w:rFonts w:hint="default" w:ascii="Times New Roman" w:hAnsi="Times New Roman" w:cs="Times New Roman"/>
      </w:rPr>
      <w:t>号</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3F0D5"/>
    <w:multiLevelType w:val="singleLevel"/>
    <w:tmpl w:val="8983F0D5"/>
    <w:lvl w:ilvl="0" w:tentative="0">
      <w:start w:val="1"/>
      <w:numFmt w:val="decimal"/>
      <w:suff w:val="space"/>
      <w:lvlText w:val="%1."/>
      <w:lvlJc w:val="left"/>
    </w:lvl>
  </w:abstractNum>
  <w:abstractNum w:abstractNumId="1">
    <w:nsid w:val="96730DD3"/>
    <w:multiLevelType w:val="singleLevel"/>
    <w:tmpl w:val="96730DD3"/>
    <w:lvl w:ilvl="0" w:tentative="0">
      <w:start w:val="1"/>
      <w:numFmt w:val="decimal"/>
      <w:suff w:val="space"/>
      <w:lvlText w:val="%1."/>
      <w:lvlJc w:val="left"/>
    </w:lvl>
  </w:abstractNum>
  <w:abstractNum w:abstractNumId="2">
    <w:nsid w:val="A5DAC804"/>
    <w:multiLevelType w:val="singleLevel"/>
    <w:tmpl w:val="A5DAC804"/>
    <w:lvl w:ilvl="0" w:tentative="0">
      <w:start w:val="1"/>
      <w:numFmt w:val="decimal"/>
      <w:suff w:val="space"/>
      <w:lvlText w:val="%1."/>
      <w:lvlJc w:val="left"/>
    </w:lvl>
  </w:abstractNum>
  <w:abstractNum w:abstractNumId="3">
    <w:nsid w:val="AA5AACD7"/>
    <w:multiLevelType w:val="singleLevel"/>
    <w:tmpl w:val="AA5AACD7"/>
    <w:lvl w:ilvl="0" w:tentative="0">
      <w:start w:val="1"/>
      <w:numFmt w:val="decimal"/>
      <w:suff w:val="space"/>
      <w:lvlText w:val="%1."/>
      <w:lvlJc w:val="left"/>
    </w:lvl>
  </w:abstractNum>
  <w:abstractNum w:abstractNumId="4">
    <w:nsid w:val="B353AE29"/>
    <w:multiLevelType w:val="singleLevel"/>
    <w:tmpl w:val="B353AE29"/>
    <w:lvl w:ilvl="0" w:tentative="0">
      <w:start w:val="1"/>
      <w:numFmt w:val="decimal"/>
      <w:suff w:val="space"/>
      <w:lvlText w:val="%1."/>
      <w:lvlJc w:val="left"/>
    </w:lvl>
  </w:abstractNum>
  <w:abstractNum w:abstractNumId="5">
    <w:nsid w:val="C321F9A9"/>
    <w:multiLevelType w:val="multilevel"/>
    <w:tmpl w:val="C321F9A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C3378BB1"/>
    <w:multiLevelType w:val="singleLevel"/>
    <w:tmpl w:val="C3378BB1"/>
    <w:lvl w:ilvl="0" w:tentative="0">
      <w:start w:val="1"/>
      <w:numFmt w:val="decimal"/>
      <w:suff w:val="space"/>
      <w:lvlText w:val="%1."/>
      <w:lvlJc w:val="left"/>
    </w:lvl>
  </w:abstractNum>
  <w:abstractNum w:abstractNumId="7">
    <w:nsid w:val="DCCC172A"/>
    <w:multiLevelType w:val="singleLevel"/>
    <w:tmpl w:val="DCCC172A"/>
    <w:lvl w:ilvl="0" w:tentative="0">
      <w:start w:val="1"/>
      <w:numFmt w:val="decimal"/>
      <w:suff w:val="space"/>
      <w:lvlText w:val="%1."/>
      <w:lvlJc w:val="left"/>
    </w:lvl>
  </w:abstractNum>
  <w:abstractNum w:abstractNumId="8">
    <w:nsid w:val="F309B587"/>
    <w:multiLevelType w:val="singleLevel"/>
    <w:tmpl w:val="F309B587"/>
    <w:lvl w:ilvl="0" w:tentative="0">
      <w:start w:val="1"/>
      <w:numFmt w:val="decimal"/>
      <w:suff w:val="space"/>
      <w:lvlText w:val="%1."/>
      <w:lvlJc w:val="left"/>
    </w:lvl>
  </w:abstractNum>
  <w:abstractNum w:abstractNumId="9">
    <w:nsid w:val="0BAEFD0F"/>
    <w:multiLevelType w:val="singleLevel"/>
    <w:tmpl w:val="0BAEFD0F"/>
    <w:lvl w:ilvl="0" w:tentative="0">
      <w:start w:val="1"/>
      <w:numFmt w:val="chineseCounting"/>
      <w:suff w:val="nothing"/>
      <w:lvlText w:val="%1、"/>
      <w:lvlJc w:val="left"/>
      <w:rPr>
        <w:rFonts w:hint="eastAsia"/>
      </w:rPr>
    </w:lvl>
  </w:abstractNum>
  <w:abstractNum w:abstractNumId="10">
    <w:nsid w:val="10EB8147"/>
    <w:multiLevelType w:val="singleLevel"/>
    <w:tmpl w:val="10EB8147"/>
    <w:lvl w:ilvl="0" w:tentative="0">
      <w:start w:val="2"/>
      <w:numFmt w:val="decimal"/>
      <w:suff w:val="nothing"/>
      <w:lvlText w:val="%1）"/>
      <w:lvlJc w:val="left"/>
    </w:lvl>
  </w:abstractNum>
  <w:abstractNum w:abstractNumId="11">
    <w:nsid w:val="13405DB4"/>
    <w:multiLevelType w:val="singleLevel"/>
    <w:tmpl w:val="13405DB4"/>
    <w:lvl w:ilvl="0" w:tentative="0">
      <w:start w:val="1"/>
      <w:numFmt w:val="decimal"/>
      <w:suff w:val="space"/>
      <w:lvlText w:val="%1."/>
      <w:lvlJc w:val="left"/>
    </w:lvl>
  </w:abstractNum>
  <w:abstractNum w:abstractNumId="12">
    <w:nsid w:val="1F1C2EDE"/>
    <w:multiLevelType w:val="singleLevel"/>
    <w:tmpl w:val="1F1C2EDE"/>
    <w:lvl w:ilvl="0" w:tentative="0">
      <w:start w:val="1"/>
      <w:numFmt w:val="decimal"/>
      <w:suff w:val="space"/>
      <w:lvlText w:val="%1."/>
      <w:lvlJc w:val="left"/>
    </w:lvl>
  </w:abstractNum>
  <w:abstractNum w:abstractNumId="13">
    <w:nsid w:val="348DC2A2"/>
    <w:multiLevelType w:val="singleLevel"/>
    <w:tmpl w:val="348DC2A2"/>
    <w:lvl w:ilvl="0" w:tentative="0">
      <w:start w:val="1"/>
      <w:numFmt w:val="decimal"/>
      <w:suff w:val="space"/>
      <w:lvlText w:val="%1."/>
      <w:lvlJc w:val="left"/>
    </w:lvl>
  </w:abstractNum>
  <w:abstractNum w:abstractNumId="14">
    <w:nsid w:val="34E396BC"/>
    <w:multiLevelType w:val="singleLevel"/>
    <w:tmpl w:val="34E396BC"/>
    <w:lvl w:ilvl="0" w:tentative="0">
      <w:start w:val="1"/>
      <w:numFmt w:val="decimal"/>
      <w:suff w:val="space"/>
      <w:lvlText w:val="%1."/>
      <w:lvlJc w:val="left"/>
    </w:lvl>
  </w:abstractNum>
  <w:abstractNum w:abstractNumId="15">
    <w:nsid w:val="4836877F"/>
    <w:multiLevelType w:val="singleLevel"/>
    <w:tmpl w:val="4836877F"/>
    <w:lvl w:ilvl="0" w:tentative="0">
      <w:start w:val="1"/>
      <w:numFmt w:val="decimal"/>
      <w:suff w:val="space"/>
      <w:lvlText w:val="%1."/>
      <w:lvlJc w:val="left"/>
    </w:lvl>
  </w:abstractNum>
  <w:abstractNum w:abstractNumId="16">
    <w:nsid w:val="57268BD3"/>
    <w:multiLevelType w:val="singleLevel"/>
    <w:tmpl w:val="57268BD3"/>
    <w:lvl w:ilvl="0" w:tentative="0">
      <w:start w:val="1"/>
      <w:numFmt w:val="decimal"/>
      <w:suff w:val="space"/>
      <w:lvlText w:val="%1."/>
      <w:lvlJc w:val="left"/>
    </w:lvl>
  </w:abstractNum>
  <w:abstractNum w:abstractNumId="17">
    <w:nsid w:val="6AC63534"/>
    <w:multiLevelType w:val="singleLevel"/>
    <w:tmpl w:val="6AC63534"/>
    <w:lvl w:ilvl="0" w:tentative="0">
      <w:start w:val="1"/>
      <w:numFmt w:val="decimal"/>
      <w:suff w:val="space"/>
      <w:lvlText w:val="%1."/>
      <w:lvlJc w:val="left"/>
    </w:lvl>
  </w:abstractNum>
  <w:abstractNum w:abstractNumId="18">
    <w:nsid w:val="757FFCAD"/>
    <w:multiLevelType w:val="singleLevel"/>
    <w:tmpl w:val="757FFCAD"/>
    <w:lvl w:ilvl="0" w:tentative="0">
      <w:start w:val="1"/>
      <w:numFmt w:val="decimal"/>
      <w:suff w:val="space"/>
      <w:lvlText w:val="%1."/>
      <w:lvlJc w:val="left"/>
    </w:lvl>
  </w:abstractNum>
  <w:num w:numId="1">
    <w:abstractNumId w:val="5"/>
  </w:num>
  <w:num w:numId="2">
    <w:abstractNumId w:val="0"/>
  </w:num>
  <w:num w:numId="3">
    <w:abstractNumId w:val="18"/>
  </w:num>
  <w:num w:numId="4">
    <w:abstractNumId w:val="17"/>
  </w:num>
  <w:num w:numId="5">
    <w:abstractNumId w:val="14"/>
  </w:num>
  <w:num w:numId="6">
    <w:abstractNumId w:val="7"/>
  </w:num>
  <w:num w:numId="7">
    <w:abstractNumId w:val="1"/>
  </w:num>
  <w:num w:numId="8">
    <w:abstractNumId w:val="2"/>
  </w:num>
  <w:num w:numId="9">
    <w:abstractNumId w:val="8"/>
  </w:num>
  <w:num w:numId="10">
    <w:abstractNumId w:val="13"/>
  </w:num>
  <w:num w:numId="11">
    <w:abstractNumId w:val="3"/>
  </w:num>
  <w:num w:numId="12">
    <w:abstractNumId w:val="12"/>
  </w:num>
  <w:num w:numId="13">
    <w:abstractNumId w:val="4"/>
  </w:num>
  <w:num w:numId="14">
    <w:abstractNumId w:val="15"/>
  </w:num>
  <w:num w:numId="15">
    <w:abstractNumId w:val="11"/>
  </w:num>
  <w:num w:numId="16">
    <w:abstractNumId w:val="9"/>
  </w:num>
  <w:num w:numId="17">
    <w:abstractNumId w:val="16"/>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1ZjJiNTUwNjRkOGM5OGE5OTg0ZGE5ZWFlNjA4ODEifQ=="/>
  </w:docVars>
  <w:rsids>
    <w:rsidRoot w:val="00000000"/>
    <w:rsid w:val="00A94756"/>
    <w:rsid w:val="00DE185F"/>
    <w:rsid w:val="010D7DD7"/>
    <w:rsid w:val="0155716D"/>
    <w:rsid w:val="02283016"/>
    <w:rsid w:val="02290253"/>
    <w:rsid w:val="03126EE3"/>
    <w:rsid w:val="03435D32"/>
    <w:rsid w:val="03546191"/>
    <w:rsid w:val="047E3532"/>
    <w:rsid w:val="053B7F7E"/>
    <w:rsid w:val="057B0FFA"/>
    <w:rsid w:val="07E618D5"/>
    <w:rsid w:val="08B70A65"/>
    <w:rsid w:val="08F32F05"/>
    <w:rsid w:val="0A015732"/>
    <w:rsid w:val="0D36577E"/>
    <w:rsid w:val="0D417485"/>
    <w:rsid w:val="0DCE4EE9"/>
    <w:rsid w:val="0DDE3227"/>
    <w:rsid w:val="0EE4067B"/>
    <w:rsid w:val="0F317370"/>
    <w:rsid w:val="0F5F0397"/>
    <w:rsid w:val="0F8876CA"/>
    <w:rsid w:val="100D48FD"/>
    <w:rsid w:val="10A404D8"/>
    <w:rsid w:val="11360C84"/>
    <w:rsid w:val="11586E4C"/>
    <w:rsid w:val="142D3A1C"/>
    <w:rsid w:val="145439BE"/>
    <w:rsid w:val="14596B6E"/>
    <w:rsid w:val="14913DAE"/>
    <w:rsid w:val="15362A79"/>
    <w:rsid w:val="17214184"/>
    <w:rsid w:val="177034A9"/>
    <w:rsid w:val="17D17BE5"/>
    <w:rsid w:val="17E728EB"/>
    <w:rsid w:val="17F263D6"/>
    <w:rsid w:val="18A22B9C"/>
    <w:rsid w:val="1C312FB0"/>
    <w:rsid w:val="1C7A0F4E"/>
    <w:rsid w:val="1D3474BE"/>
    <w:rsid w:val="1D64530A"/>
    <w:rsid w:val="1EDF0A76"/>
    <w:rsid w:val="1F260691"/>
    <w:rsid w:val="1F78690B"/>
    <w:rsid w:val="2077630A"/>
    <w:rsid w:val="20901CE0"/>
    <w:rsid w:val="21140CED"/>
    <w:rsid w:val="21BA0FE9"/>
    <w:rsid w:val="23290CD7"/>
    <w:rsid w:val="235853C4"/>
    <w:rsid w:val="23A83C63"/>
    <w:rsid w:val="247E2C16"/>
    <w:rsid w:val="24C04FDC"/>
    <w:rsid w:val="25097693"/>
    <w:rsid w:val="25A920F9"/>
    <w:rsid w:val="272D447F"/>
    <w:rsid w:val="280671AA"/>
    <w:rsid w:val="282D2989"/>
    <w:rsid w:val="29231FDE"/>
    <w:rsid w:val="292D6E86"/>
    <w:rsid w:val="295D34AF"/>
    <w:rsid w:val="296353E8"/>
    <w:rsid w:val="2B260BDC"/>
    <w:rsid w:val="2D1A7254"/>
    <w:rsid w:val="2D7C1CBC"/>
    <w:rsid w:val="2D853E99"/>
    <w:rsid w:val="2E664D9E"/>
    <w:rsid w:val="2EBB2CB1"/>
    <w:rsid w:val="2F3758E4"/>
    <w:rsid w:val="303A2E5F"/>
    <w:rsid w:val="30C94C38"/>
    <w:rsid w:val="326055F9"/>
    <w:rsid w:val="32DE21FE"/>
    <w:rsid w:val="32EB35B4"/>
    <w:rsid w:val="33D22636"/>
    <w:rsid w:val="349831C4"/>
    <w:rsid w:val="353F360F"/>
    <w:rsid w:val="35B73417"/>
    <w:rsid w:val="36A04C6E"/>
    <w:rsid w:val="37272C99"/>
    <w:rsid w:val="3787198A"/>
    <w:rsid w:val="37A54D91"/>
    <w:rsid w:val="37DE146E"/>
    <w:rsid w:val="386B37E8"/>
    <w:rsid w:val="390F1C37"/>
    <w:rsid w:val="39B0341A"/>
    <w:rsid w:val="39C43F44"/>
    <w:rsid w:val="3B0E11B9"/>
    <w:rsid w:val="3BA82BFD"/>
    <w:rsid w:val="3C8203BB"/>
    <w:rsid w:val="3DAC3EF8"/>
    <w:rsid w:val="3E650AC7"/>
    <w:rsid w:val="3E6850E9"/>
    <w:rsid w:val="3E8417B1"/>
    <w:rsid w:val="3F481E53"/>
    <w:rsid w:val="3F4D5963"/>
    <w:rsid w:val="409F2538"/>
    <w:rsid w:val="4283791D"/>
    <w:rsid w:val="43E87689"/>
    <w:rsid w:val="440B6BE2"/>
    <w:rsid w:val="44BF6C07"/>
    <w:rsid w:val="45AE3109"/>
    <w:rsid w:val="45B74BFB"/>
    <w:rsid w:val="45C45BA1"/>
    <w:rsid w:val="463B050F"/>
    <w:rsid w:val="47586573"/>
    <w:rsid w:val="483B143E"/>
    <w:rsid w:val="483E2E8C"/>
    <w:rsid w:val="48484E0B"/>
    <w:rsid w:val="48B3355A"/>
    <w:rsid w:val="49B17A19"/>
    <w:rsid w:val="4A176B9D"/>
    <w:rsid w:val="4A3C1AFC"/>
    <w:rsid w:val="4A425D44"/>
    <w:rsid w:val="4AB935C3"/>
    <w:rsid w:val="4BE74CD7"/>
    <w:rsid w:val="4C636ED9"/>
    <w:rsid w:val="4E173AED"/>
    <w:rsid w:val="4E920EE8"/>
    <w:rsid w:val="50993895"/>
    <w:rsid w:val="51120B54"/>
    <w:rsid w:val="51DA56D9"/>
    <w:rsid w:val="523572D3"/>
    <w:rsid w:val="52E52E06"/>
    <w:rsid w:val="53C102A5"/>
    <w:rsid w:val="549E05E7"/>
    <w:rsid w:val="552079AD"/>
    <w:rsid w:val="55865E7A"/>
    <w:rsid w:val="55AD03B6"/>
    <w:rsid w:val="569A4893"/>
    <w:rsid w:val="589870FB"/>
    <w:rsid w:val="593257A1"/>
    <w:rsid w:val="59FD5D36"/>
    <w:rsid w:val="5A0507C0"/>
    <w:rsid w:val="5A106D9C"/>
    <w:rsid w:val="5A1153B7"/>
    <w:rsid w:val="5A5055AA"/>
    <w:rsid w:val="5BA31F6D"/>
    <w:rsid w:val="5E256920"/>
    <w:rsid w:val="5E951201"/>
    <w:rsid w:val="5ECC3F6D"/>
    <w:rsid w:val="5EF977B3"/>
    <w:rsid w:val="5F7E172D"/>
    <w:rsid w:val="60C63C94"/>
    <w:rsid w:val="6142054C"/>
    <w:rsid w:val="617565F6"/>
    <w:rsid w:val="617A7C83"/>
    <w:rsid w:val="64532812"/>
    <w:rsid w:val="64780290"/>
    <w:rsid w:val="6589396E"/>
    <w:rsid w:val="671B39FF"/>
    <w:rsid w:val="678E44EB"/>
    <w:rsid w:val="6841330B"/>
    <w:rsid w:val="6875755D"/>
    <w:rsid w:val="69126A56"/>
    <w:rsid w:val="69DA57C5"/>
    <w:rsid w:val="6A2716C9"/>
    <w:rsid w:val="6A6A173C"/>
    <w:rsid w:val="6AE84A72"/>
    <w:rsid w:val="6B1B3F84"/>
    <w:rsid w:val="6B4E7EEE"/>
    <w:rsid w:val="6C846764"/>
    <w:rsid w:val="6CA200F0"/>
    <w:rsid w:val="6CFE3B02"/>
    <w:rsid w:val="6D88670D"/>
    <w:rsid w:val="6DE309C1"/>
    <w:rsid w:val="6EA405A9"/>
    <w:rsid w:val="6EC16F54"/>
    <w:rsid w:val="6F834209"/>
    <w:rsid w:val="70A11939"/>
    <w:rsid w:val="71421785"/>
    <w:rsid w:val="7180259E"/>
    <w:rsid w:val="721253F9"/>
    <w:rsid w:val="72CC5EC7"/>
    <w:rsid w:val="7314591F"/>
    <w:rsid w:val="73972979"/>
    <w:rsid w:val="756747A2"/>
    <w:rsid w:val="75734190"/>
    <w:rsid w:val="77EA5801"/>
    <w:rsid w:val="791F1447"/>
    <w:rsid w:val="7A3507F6"/>
    <w:rsid w:val="7A4822D7"/>
    <w:rsid w:val="7A925C48"/>
    <w:rsid w:val="7B4968BF"/>
    <w:rsid w:val="7BA93985"/>
    <w:rsid w:val="7BDD225D"/>
    <w:rsid w:val="7E3A287F"/>
    <w:rsid w:val="7E696CC0"/>
    <w:rsid w:val="7F024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3"/>
    <w:autoRedefine/>
    <w:qFormat/>
    <w:uiPriority w:val="0"/>
    <w:pPr>
      <w:keepNext/>
      <w:keepLines/>
      <w:spacing w:beforeLines="0" w:beforeAutospacing="0" w:afterLines="0" w:afterAutospacing="0" w:line="360" w:lineRule="auto"/>
      <w:ind w:left="0" w:leftChars="0" w:firstLine="0" w:firstLineChars="0"/>
      <w:jc w:val="center"/>
      <w:outlineLvl w:val="0"/>
    </w:pPr>
    <w:rPr>
      <w:rFonts w:ascii="Times New Roman" w:hAnsi="Times New Roman" w:eastAsia="黑体"/>
      <w:b/>
      <w:kern w:val="44"/>
      <w:sz w:val="32"/>
    </w:rPr>
  </w:style>
  <w:style w:type="paragraph" w:styleId="3">
    <w:name w:val="heading 2"/>
    <w:basedOn w:val="1"/>
    <w:next w:val="1"/>
    <w:unhideWhenUsed/>
    <w:qFormat/>
    <w:uiPriority w:val="0"/>
    <w:pPr>
      <w:keepNext/>
      <w:keepLines/>
      <w:spacing w:beforeLines="0" w:beforeAutospacing="0" w:afterLines="0" w:afterAutospacing="0" w:line="360" w:lineRule="auto"/>
      <w:ind w:left="280" w:leftChars="100" w:firstLine="0" w:firstLineChars="0"/>
      <w:outlineLvl w:val="1"/>
    </w:pPr>
    <w:rPr>
      <w:rFonts w:eastAsia="黑体"/>
      <w:b/>
      <w:sz w:val="30"/>
    </w:rPr>
  </w:style>
  <w:style w:type="paragraph" w:styleId="4">
    <w:name w:val="heading 3"/>
    <w:basedOn w:val="1"/>
    <w:next w:val="1"/>
    <w:autoRedefine/>
    <w:unhideWhenUsed/>
    <w:qFormat/>
    <w:uiPriority w:val="0"/>
    <w:pPr>
      <w:keepNext/>
      <w:keepLines/>
      <w:spacing w:beforeLines="0" w:beforeAutospacing="0" w:afterLines="0" w:afterAutospacing="0" w:line="360" w:lineRule="auto"/>
      <w:ind w:left="560" w:leftChars="200" w:firstLine="0" w:firstLineChars="0"/>
      <w:outlineLvl w:val="2"/>
    </w:pPr>
    <w:rPr>
      <w:rFonts w:eastAsia="黑体"/>
      <w:b/>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table of authorities"/>
    <w:basedOn w:val="1"/>
    <w:next w:val="1"/>
    <w:autoRedefine/>
    <w:qFormat/>
    <w:uiPriority w:val="0"/>
    <w:pPr>
      <w:ind w:left="420" w:leftChars="200"/>
    </w:pPr>
  </w:style>
  <w:style w:type="paragraph" w:styleId="6">
    <w:name w:val="annotation text"/>
    <w:basedOn w:val="1"/>
    <w:autoRedefine/>
    <w:qFormat/>
    <w:uiPriority w:val="0"/>
    <w:pPr>
      <w:jc w:val="left"/>
    </w:pPr>
  </w:style>
  <w:style w:type="paragraph" w:styleId="7">
    <w:name w:val="Body Text"/>
    <w:link w:val="26"/>
    <w:autoRedefine/>
    <w:qFormat/>
    <w:uiPriority w:val="0"/>
    <w:pPr>
      <w:widowControl w:val="0"/>
      <w:spacing w:after="120" w:line="360" w:lineRule="auto"/>
      <w:jc w:val="both"/>
    </w:pPr>
    <w:rPr>
      <w:rFonts w:ascii="Times New Roman" w:hAnsi="Times New Roman" w:eastAsia="宋体" w:cs="Times New Roman"/>
      <w:kern w:val="2"/>
      <w:sz w:val="28"/>
      <w:szCs w:val="24"/>
      <w:lang w:val="en-US" w:eastAsia="zh-CN" w:bidi="ar-SA"/>
    </w:rPr>
  </w:style>
  <w:style w:type="paragraph" w:styleId="8">
    <w:name w:val="toc 3"/>
    <w:basedOn w:val="1"/>
    <w:next w:val="1"/>
    <w:autoRedefine/>
    <w:qFormat/>
    <w:uiPriority w:val="0"/>
    <w:pPr>
      <w:ind w:left="840" w:leftChars="400"/>
    </w:pPr>
    <w:rPr>
      <w:rFonts w:ascii="Times New Roman" w:hAnsi="Times New Roman" w:eastAsia="宋体"/>
      <w:sz w:val="21"/>
    </w:rPr>
  </w:style>
  <w:style w:type="paragraph" w:styleId="9">
    <w:name w:val="footer"/>
    <w:basedOn w:val="1"/>
    <w:autoRedefine/>
    <w:qFormat/>
    <w:uiPriority w:val="0"/>
    <w:pPr>
      <w:tabs>
        <w:tab w:val="center" w:pos="4153"/>
        <w:tab w:val="right" w:pos="8306"/>
      </w:tabs>
      <w:snapToGrid w:val="0"/>
      <w:spacing w:line="240" w:lineRule="auto"/>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autoRedefine/>
    <w:qFormat/>
    <w:uiPriority w:val="0"/>
  </w:style>
  <w:style w:type="paragraph" w:styleId="12">
    <w:name w:val="toc 2"/>
    <w:basedOn w:val="1"/>
    <w:next w:val="1"/>
    <w:autoRedefine/>
    <w:qFormat/>
    <w:uiPriority w:val="0"/>
    <w:pPr>
      <w:ind w:left="420" w:leftChars="200"/>
    </w:pPr>
    <w:rPr>
      <w:rFonts w:ascii="Times New Roman" w:hAnsi="Times New Roman" w:eastAsia="宋体"/>
      <w:sz w:val="24"/>
    </w:rPr>
  </w:style>
  <w:style w:type="paragraph" w:styleId="13">
    <w:name w:val="Body Text 2"/>
    <w:autoRedefine/>
    <w:qFormat/>
    <w:uiPriority w:val="0"/>
    <w:pPr>
      <w:widowControl w:val="0"/>
      <w:spacing w:after="120" w:line="480" w:lineRule="auto"/>
      <w:jc w:val="both"/>
    </w:pPr>
    <w:rPr>
      <w:rFonts w:ascii="Times New Roman" w:hAnsi="Times New Roman" w:eastAsia="宋体" w:cs="Times New Roman"/>
      <w:kern w:val="2"/>
      <w:sz w:val="28"/>
      <w:szCs w:val="24"/>
      <w:lang w:val="en-US" w:eastAsia="zh-CN" w:bidi="ar-SA"/>
    </w:rPr>
  </w:style>
  <w:style w:type="paragraph" w:styleId="14">
    <w:name w:val="Normal (Web)"/>
    <w:autoRedefine/>
    <w:qFormat/>
    <w:uiPriority w:val="99"/>
    <w:pPr>
      <w:widowControl/>
      <w:spacing w:before="100" w:beforeAutospacing="1" w:after="100" w:afterAutospacing="1"/>
      <w:jc w:val="left"/>
    </w:pPr>
    <w:rPr>
      <w:rFonts w:ascii="宋体" w:hAnsi="宋体" w:eastAsia="宋体" w:cs="宋体"/>
      <w:kern w:val="0"/>
      <w:sz w:val="24"/>
      <w:szCs w:val="24"/>
      <w:lang w:val="en-US" w:eastAsia="zh-CN" w:bidi="ar-SA"/>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paragraph" w:customStyle="1" w:styleId="19">
    <w:name w:val="目录1"/>
    <w:basedOn w:val="5"/>
    <w:autoRedefine/>
    <w:qFormat/>
    <w:uiPriority w:val="0"/>
    <w:pPr>
      <w:spacing w:line="240" w:lineRule="auto"/>
      <w:ind w:left="0" w:leftChars="0" w:firstLine="0" w:firstLineChars="0"/>
    </w:pPr>
  </w:style>
  <w:style w:type="paragraph" w:customStyle="1" w:styleId="20">
    <w:name w:val="目录2"/>
    <w:basedOn w:val="5"/>
    <w:autoRedefine/>
    <w:qFormat/>
    <w:uiPriority w:val="0"/>
    <w:pPr>
      <w:spacing w:line="240" w:lineRule="auto"/>
      <w:ind w:firstLine="0" w:firstLineChars="0"/>
    </w:pPr>
    <w:rPr>
      <w:sz w:val="24"/>
    </w:rPr>
  </w:style>
  <w:style w:type="paragraph" w:customStyle="1" w:styleId="21">
    <w:name w:val="目录3"/>
    <w:basedOn w:val="5"/>
    <w:autoRedefine/>
    <w:qFormat/>
    <w:uiPriority w:val="0"/>
    <w:pPr>
      <w:spacing w:line="240" w:lineRule="auto"/>
      <w:ind w:left="1120" w:leftChars="400" w:firstLine="0" w:firstLineChars="0"/>
    </w:pPr>
    <w:rPr>
      <w:sz w:val="21"/>
    </w:rPr>
  </w:style>
  <w:style w:type="paragraph" w:customStyle="1" w:styleId="22">
    <w:name w:val="样式 小四 首行缩进:  0.85 厘米 行距: 固定值 22 磅"/>
    <w:autoRedefine/>
    <w:qFormat/>
    <w:uiPriority w:val="0"/>
    <w:pPr>
      <w:widowControl/>
      <w:spacing w:line="440" w:lineRule="exact"/>
      <w:ind w:firstLine="480" w:firstLineChars="200"/>
      <w:jc w:val="both"/>
    </w:pPr>
    <w:rPr>
      <w:rFonts w:ascii="新宋体" w:hAnsi="新宋体" w:eastAsia="新宋体" w:cs="新宋体"/>
      <w:kern w:val="0"/>
      <w:sz w:val="24"/>
      <w:szCs w:val="20"/>
      <w:lang w:val="en-US" w:eastAsia="en-US" w:bidi="en-US"/>
    </w:rPr>
  </w:style>
  <w:style w:type="character" w:customStyle="1" w:styleId="23">
    <w:name w:val="标题 1 Char1"/>
    <w:link w:val="2"/>
    <w:autoRedefine/>
    <w:qFormat/>
    <w:uiPriority w:val="0"/>
    <w:rPr>
      <w:rFonts w:ascii="Times New Roman" w:hAnsi="Times New Roman" w:eastAsia="黑体"/>
      <w:b/>
      <w:kern w:val="44"/>
      <w:sz w:val="32"/>
    </w:rPr>
  </w:style>
  <w:style w:type="paragraph" w:customStyle="1" w:styleId="24">
    <w:name w:val="Char1"/>
    <w:basedOn w:val="1"/>
    <w:autoRedefine/>
    <w:qFormat/>
    <w:uiPriority w:val="0"/>
    <w:pPr>
      <w:autoSpaceDE w:val="0"/>
      <w:autoSpaceDN w:val="0"/>
      <w:adjustRightInd w:val="0"/>
      <w:snapToGrid w:val="0"/>
      <w:spacing w:before="50" w:after="50"/>
      <w:ind w:firstLine="560" w:firstLineChars="200"/>
    </w:pPr>
    <w:rPr>
      <w:sz w:val="21"/>
      <w:szCs w:val="20"/>
    </w:rPr>
  </w:style>
  <w:style w:type="character" w:customStyle="1" w:styleId="25">
    <w:name w:val="正文文本 + 10.5 pt6"/>
    <w:autoRedefine/>
    <w:qFormat/>
    <w:uiPriority w:val="0"/>
    <w:rPr>
      <w:rFonts w:ascii="宋体" w:hAnsi="宋体" w:eastAsia="宋体" w:cs="宋体"/>
      <w:kern w:val="2"/>
      <w:sz w:val="21"/>
      <w:szCs w:val="21"/>
      <w:u w:val="none"/>
      <w:lang w:val="en-US" w:eastAsia="zh-CN" w:bidi="ar-SA"/>
    </w:rPr>
  </w:style>
  <w:style w:type="character" w:customStyle="1" w:styleId="26">
    <w:name w:val="正文文本_"/>
    <w:link w:val="7"/>
    <w:autoRedefine/>
    <w:qFormat/>
    <w:uiPriority w:val="0"/>
    <w:rPr>
      <w:kern w:val="2"/>
      <w:sz w:val="28"/>
      <w:szCs w:val="24"/>
      <w:lang w:val="en-US" w:eastAsia="zh-CN" w:bidi="ar-SA"/>
    </w:rPr>
  </w:style>
  <w:style w:type="character" w:customStyle="1" w:styleId="27">
    <w:name w:val="正文文本 + Batang19"/>
    <w:autoRedefine/>
    <w:qFormat/>
    <w:uiPriority w:val="0"/>
    <w:rPr>
      <w:rFonts w:ascii="Batang" w:hAnsi="宋体" w:eastAsia="Batang" w:cs="Batang"/>
      <w:kern w:val="2"/>
      <w:sz w:val="19"/>
      <w:szCs w:val="19"/>
      <w:u w:val="none"/>
      <w:lang w:val="en-US" w:eastAsia="en-US" w:bidi="ar-SA"/>
    </w:rPr>
  </w:style>
  <w:style w:type="character" w:customStyle="1" w:styleId="28">
    <w:name w:val="正文文本 + MS Gothic"/>
    <w:autoRedefine/>
    <w:qFormat/>
    <w:uiPriority w:val="0"/>
    <w:rPr>
      <w:rFonts w:ascii="MS Gothic" w:hAnsi="宋体" w:eastAsia="MS Gothic" w:cs="MS Gothic"/>
      <w:spacing w:val="-20"/>
      <w:kern w:val="2"/>
      <w:sz w:val="8"/>
      <w:szCs w:val="8"/>
      <w:u w:val="none"/>
      <w:lang w:val="en-US" w:eastAsia="zh-CN" w:bidi="ar-SA"/>
    </w:rPr>
  </w:style>
  <w:style w:type="character" w:customStyle="1" w:styleId="29">
    <w:name w:val="正文文本 + Batang18"/>
    <w:autoRedefine/>
    <w:qFormat/>
    <w:uiPriority w:val="0"/>
    <w:rPr>
      <w:rFonts w:ascii="Batang" w:hAnsi="宋体" w:eastAsia="Batang" w:cs="Batang"/>
      <w:kern w:val="2"/>
      <w:sz w:val="19"/>
      <w:szCs w:val="19"/>
      <w:u w:val="none"/>
      <w:lang w:val="en-US" w:eastAsia="zh-CN" w:bidi="ar-SA"/>
    </w:rPr>
  </w:style>
  <w:style w:type="table" w:customStyle="1" w:styleId="30">
    <w:name w:val="Table Normal"/>
    <w:autoRedefine/>
    <w:semiHidden/>
    <w:unhideWhenUsed/>
    <w:qFormat/>
    <w:uiPriority w:val="0"/>
    <w:tblPr>
      <w:tblCellMar>
        <w:top w:w="0" w:type="dxa"/>
        <w:left w:w="0" w:type="dxa"/>
        <w:bottom w:w="0" w:type="dxa"/>
        <w:right w:w="0" w:type="dxa"/>
      </w:tblCellMar>
    </w:tblPr>
  </w:style>
  <w:style w:type="paragraph" w:customStyle="1" w:styleId="31">
    <w:name w:val="Table Text"/>
    <w:basedOn w:val="1"/>
    <w:autoRedefine/>
    <w:semiHidden/>
    <w:qFormat/>
    <w:uiPriority w:val="0"/>
    <w:rPr>
      <w:rFonts w:ascii="微软雅黑" w:hAnsi="微软雅黑" w:eastAsia="微软雅黑" w:cs="微软雅黑"/>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2023-03-13T03:26:00Z</dcterms:created>
  <dc:creator>Administrator</dc:creator>
  <cp:lastModifiedBy>爱哭的男孩</cp:lastModifiedBy>
  <dcterms:modified xsi:type="dcterms:W3CDTF">2023-12-27T06:35:09Z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B1C61FD6A7CB416B823A93B2F1477084</vt:lpwstr>
  </property>
</Properties>
</file>